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Ahlwat v. Green, [2014] B.C.J. No. 2452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Sharma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28 and 29,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September 19,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S141956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2452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1865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Brijindersingh Bob Ahlwat, Plaintiff, and Christopher G. Green, Christopher G. Green carrying on Business as GreenWay Legal Centre,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Civil litigation — Civil procedure — Judgments and orders — Summary judgments — Availability — Delay in applying — To dismiss action — Application by defendant for summary dismissal of plaintiff's claim dismissed — While application was brought not long before scheduled trial, plaintiff had caused most of delay so could not rely on it to defeat application — Matter not suitable for summary trial, however — Legal advice was given by defendant in person with no written record and plaintiff claimed significant intellectual challenges — It would be unjust to rule on narrow record, and seeing witnesses testify would give court valuable insight — It would also be unjust to rule on proximate cause and loss without trial.</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Legal profession — Barristers and solicitors — Liability — Settlements — Standard of care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Application by defendant for summary dismissal of plaintiff's claim dismissed — While application was brought not long before scheduled trial, plaintiff had caused most of delay so could not rely on it to defeat application — Matter not suitable for summary trial, however — Legal advice was given by defendant in person with no written record and plaintiff claimed significant intellectual challenges — It would be unjust to rule on narrow record, and seeing witnesses testify would give court valuable insight — It would also be unjust to rule on proximate cause and loss without trial.</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Self-governing professions — Duties — Duty of care — Standard of care — Professions — Legal — Barristers and solicitors — Application by defendant for summary dismissal of plaintiff's claim dismissed — While application was brought not long before scheduled trial, plaintiff had caused most of delay so could not rely on it to defeat application — Matter not suitable for summary trial, however — Legal advice was given by defendant in person with no written record and plaintiff claimed significant intellectual challenges — It would be unjust to rule on narrow record, and seeing witnesses testify would give court valuable insight — It would also be unjust to rule on proximate cause and loss without trial.</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for summary dismissal of the plaintiff's claim. The plaintiff claimed the defendant was negligent and in breach of fiduciary duty when he gave the plaintiff legal advice regarding his separation agreement. After signing the agreement, the plaintiff and his spouse remained living together for five years. When they finally separated, the plaintiff commenced and settled a family proceeding, in which he sought to set aside the separation agreement. The trial was scheduled for five days beginning this month. The plaintiff argued the matter was not suitable for summary judgment.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 w:name="Holdings of Court"/>
            <w:bookmarkEnd w:id="2"/>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was not to blame for the application being heard so close to trial. The defendant had been attempting diligently to have it heard for nearly a year, and the plaintiff could not take advantage of delays he caused to thwart the application. The case was ready for trial, discoveries were completed and deadlines for production of documents had passed, which weighed heavily in favour of the case being suitable for summary trial. Summary trial would also reduce court time by at least half, and the affidavits were not diametrically opposed on all critical events. There was no dispute the defendant owed the plaintiff a duty of care. However, the legal advice was given in person with no written record, and the plaintiff claimed to have significant intellectual challenges. It would be unjust to rule on the narrow record and seeing the witnesses testify would give the court valuable insight. It would also be difficult to make findings of fact on whether the plaintiff would have signed the agreement had the defendant met the standard of care and whether his wife would have agreed to change the agreement to his benefit, so proximate cause and loss could also not be fairly adjudicated on a summary basis. Given the findings on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it would be inappropriate to proceed summarily with the breach of fiduciary duty claim and slice the case in two right before trial.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 w:name="Legislation Cited"/>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1-3, Rule 9-7(11), Rule 9-7(15)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 w:name="Counsel"/>
      <w:bookmarkEnd w:id="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7" style="position:absolute;z-index:2517606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D.T. Moseley.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L.J. Hamilton.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 w:name="Judgment"/>
      <w:bookmarkEnd w:id="5"/>
      <w:r>
        <w:pict>
          <v:line id="_x0000_s1028" style="position:absolute;z-index:25181184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October 22, 2014;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 w:name="N. SHARMA J. (orally)"/>
            <w:bookmarkEnd w:id="6"/>
            <w:r>
              <w:rPr>
                <w:rFonts w:ascii="arial" w:eastAsia="arial" w:hAnsi="arial" w:cs="arial"/>
                <w:b/>
                <w:color w:val="000000"/>
                <w:sz w:val="30"/>
                <w:lang w:val="en-US" w:eastAsia="en-US" w:bidi="ar-SA"/>
              </w:rPr>
              <w:t>N. SHARMA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Christopher G. Green and Christopher G. Green carrying on business as Greenway Legal Centre, seek summary dismissal of this claim. The plaintiff Brijindersingh Bob Ahlwat ("Mr. Ahlwat") claims Mr. Green was negligent and/or in breach of his fiduciary duty when he gave legal advice to Mr. Ahlwat in 2002 regarding a separation agreement. Mr. Ahlwat seeks damages, or equitable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An unusual aspect of this case is that after signing the separation agreement in question, Mr. Ahlwat and his spouse remained living together and then separated permanently about five years later. After that separation, Mr. Ahlwat started and settled a family proceeding, which included a claim that the separation agreement upon which Mr. Green gave advice, ought to be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says that this case is not suitable for summary trial and seeks to dismiss the application on that basis. He points primarily to the upcoming trial dates (October 20 - 25, 2014) and contradictions in the affidavit evidence to support his position. In the alternative, he says the evidence does establish that Mr. Green is liable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decided to hear submissions on both the suitability of this case for summary trial and the merits of the claim. Both parties agreed that a trial judge does have discretion to rule on the suitability of an application for summary trial at any time, including simultaneously with the application being argued.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will address the two issues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 This Case Suitable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parties agree on the basic legal principles that underlie Rule 9-7(15). That Rule states that the court may grant judgment under this Rule in favour of any party on an issue, or generally, unless the court is unable to find the facts necessary to decide issues before it, or if it would be unjust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addition, Rule 9-7(11) states that the court may dismiss the application on the basis that the issues raised are not suitable for summary disposition or that it will not assist in the efficient resolution of the proceeding. I must apply these rules mindful of the overarching purpose of the Rules to secure just, speedy and inexpensive determinations in a way proportionate to the characteristics of the proceeding (Rule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Suitability for summary trial is determined with reference to a number of factors which I have summarized from </w:t>
      </w:r>
      <w:r>
        <w:rPr>
          <w:rFonts w:ascii="arial" w:eastAsia="arial" w:hAnsi="arial" w:cs="arial"/>
          <w:i/>
          <w:color w:val="000000"/>
          <w:sz w:val="20"/>
          <w:lang w:val="en-US" w:eastAsia="en-US" w:bidi="ar-SA"/>
        </w:rPr>
        <w:t>Gichuru</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Pallai</w:t>
      </w:r>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2013 BCCA 60</w:t>
        </w:r>
      </w:hyperlink>
      <w:r>
        <w:rPr>
          <w:rFonts w:ascii="arial" w:eastAsia="arial" w:hAnsi="arial" w:cs="arial"/>
          <w:color w:val="000000"/>
          <w:sz w:val="20"/>
          <w:lang w:val="en-US" w:eastAsia="en-US" w:bidi="ar-SA"/>
        </w:rPr>
        <w:t xml:space="preserve">, paras. 30 and 31; and </w:t>
      </w:r>
      <w:r>
        <w:rPr>
          <w:rFonts w:ascii="arial" w:eastAsia="arial" w:hAnsi="arial" w:cs="arial"/>
          <w:i/>
          <w:color w:val="000000"/>
          <w:sz w:val="20"/>
          <w:lang w:val="en-US" w:eastAsia="en-US" w:bidi="ar-SA"/>
        </w:rPr>
        <w:t>Dahl</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Royal Bank of Canada</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2005 BCSC 1263</w:t>
        </w:r>
      </w:hyperlink>
      <w:r>
        <w:rPr>
          <w:rFonts w:ascii="arial" w:eastAsia="arial" w:hAnsi="arial" w:cs="arial"/>
          <w:color w:val="000000"/>
          <w:sz w:val="20"/>
          <w:lang w:val="en-US" w:eastAsia="en-US" w:bidi="ar-SA"/>
        </w:rPr>
        <w:t xml:space="preserve"> at 12,(upheld on appeal </w:t>
      </w:r>
      <w:hyperlink r:id="rId13" w:history="1">
        <w:r>
          <w:rPr>
            <w:rFonts w:ascii="arial" w:eastAsia="arial" w:hAnsi="arial" w:cs="arial"/>
            <w:i/>
            <w:color w:val="0077CC"/>
            <w:sz w:val="20"/>
            <w:u w:val="single"/>
            <w:shd w:val="clear" w:color="auto" w:fill="FFFFFF"/>
            <w:lang w:val="en-US" w:eastAsia="en-US" w:bidi="ar-SA"/>
          </w:rPr>
          <w:t>2006 BCCA 369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involved;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matter;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its urgency;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prejudice likely to arise by reasons of delay;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taking the case forward to a conventional trial in relation to the amount involved;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course of the proceedings;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the litigation and the time of the summary trial;</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credibility is a critical factor in the determination of the dispute;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summary trial may create an unnecessary complexity in the resolution of the dispute;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application would result in litigating in slices.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Mauldin</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2014 SCC 7</w:t>
        </w:r>
      </w:hyperlink>
      <w:r>
        <w:rPr>
          <w:rFonts w:ascii="arial" w:eastAsia="arial" w:hAnsi="arial" w:cs="arial"/>
          <w:color w:val="000000"/>
          <w:sz w:val="20"/>
          <w:lang w:val="en-US" w:eastAsia="en-US" w:bidi="ar-SA"/>
        </w:rPr>
        <w:t xml:space="preserve"> has called for a shift in litigation culture to better utilize available tools, such as a summary trial, to address the rising costs of litigation. New models of adjudication can be fair and just, balancing critical access to justice and procedural concerns. While a fair and just process must allow a judge to find the facts and apply the relevant law to those findings, such a process is illusory unless it is accessible to ordinary Canadians. A shift in legal culture is necessary to ensure access to justice, a modern reality that the Supreme Court of Canada calls "the greatest challenge to the rule of law in Canada today"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xml:space="preserve"> para.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But as Justice Ehrcke noted at para. 33 of </w:t>
      </w:r>
      <w:r>
        <w:rPr>
          <w:rFonts w:ascii="arial" w:eastAsia="arial" w:hAnsi="arial" w:cs="arial"/>
          <w:i/>
          <w:color w:val="000000"/>
          <w:sz w:val="20"/>
          <w:lang w:val="en-US" w:eastAsia="en-US" w:bidi="ar-SA"/>
        </w:rPr>
        <w:t>N.J.</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Aitken Estate</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2014 BCSC 419</w:t>
        </w:r>
      </w:hyperlink>
      <w:r>
        <w:rPr>
          <w:rFonts w:ascii="arial" w:eastAsia="arial" w:hAnsi="arial" w:cs="arial"/>
          <w:color w:val="000000"/>
          <w:sz w:val="20"/>
          <w:lang w:val="en-US" w:eastAsia="en-US" w:bidi="ar-SA"/>
        </w:rPr>
        <w:t>, this call for a cultural shift does not alter the approach to suitability as developed in the case law about former Rule 18A in British Columbia; what it does do is emphasize the importance of the balancing a judge must undertake when determining suitability.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 take this to mean that the laudable goals of proportionality and efficiency can never outweigh what a judge determines, in the ultimate calculation, to be the best manner of hearing a case to achieve justice between the parties. In my view this is simply a reflection of the fact that justice cannot be achieved if, because of the nature of the summary trial proceeding itself, the facts necessary to decide the issues of fact or law raised by the application cannot be found. In other words, there must be some impediment to a judge finding necessary facts that arises </w:t>
      </w:r>
      <w:r>
        <w:rPr>
          <w:rFonts w:ascii="arial" w:eastAsia="arial" w:hAnsi="arial" w:cs="arial"/>
          <w:color w:val="000000"/>
          <w:sz w:val="20"/>
          <w:u w:val="single"/>
          <w:lang w:val="en-US" w:eastAsia="en-US" w:bidi="ar-SA"/>
        </w:rPr>
        <w:t>because</w:t>
      </w:r>
      <w:r>
        <w:rPr>
          <w:rFonts w:ascii="arial" w:eastAsia="arial" w:hAnsi="arial" w:cs="arial"/>
          <w:color w:val="000000"/>
          <w:sz w:val="20"/>
          <w:lang w:val="en-US" w:eastAsia="en-US" w:bidi="ar-SA"/>
        </w:rPr>
        <w:t xml:space="preserve"> of the summary nature of the trial. I do not understand this principle to limit a trial judge's discretion. Rather, it underscores that it is unlikely that discretion will have been exercised judicially if a summary trial was conducted where necessary facts could not be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With that in mind, I turn to two factors the plaintiff asserts make the case unsuitable for summary trial: 1. impending trial date &amp; other factors relating to the trial; 2. the importance of the credibility of the witnesses to the legal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 the Application Too Close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trial is scheduled for five days in October 2014 (defendant's counsel suggested seven days may be necessary). The procedural provides important context:</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notice of civil claim and response were filed in December 2011 and documents were exchanged by mid-May 2012.</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allegations in the notice of civil claim related to events that occurred in 2002.</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one time, the plaintiff alleged Mr. Green had forged Mr. Ahlwat's signature on a key legal document so the parties were expecting to adduce opinion evidence from hand-writing experts. The plaintiff's expert was scheduled to be cross-examined in late September 2013 but the expert did not show up.</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deadline for notifying an opposing party of an intention to adduce expert evidence at trial passed in late June 2014 and neither party gave such notice.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notice of application for summary trial was originally set to be heard on December 17, 2013 at the same time as a trial management conference. The date for the hearing and trial management conference had been set at the case planning conference in April 2013.</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appeared in court in person on December 17, 2013 seeking an adjournment because he wanted to retain counsel, which he did in late January 2014.</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Through counsel, the parties consented to a number of orders at a trial management conference before Master Caldwell on January 31, 2014 including, at the plaintiff's request and by consent, an adjournment of the trial from February to October 2014.</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Master Caldwell also granted an order permitting the plaintiff to amend his pleadings as long as the amended claim and his amended list of documents were delivered by the end of February.</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were to complete discoveries in early April 2014, which they did.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ordered to provide responding material to the defendants' summary trial application by April 30, 2014. The defendants had filed the application on April 24, 2014, although as I understand it, that material was not significantly different to what the plaintiff received in December 2013.</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Master Caldwell stipulated the application would be heard during the week of May 26, 2014. In fact, it was set for May 27, 2014.</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responding materials were not delivered to defendants' counsel until the Friday evening preceding the Tuesday hearing date. The defendants successfully obtained an adjournment because of that extremely late delivery of responsive materials.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 trial management conference in early June, the hearing was set for August 28 and 29, 2014, which is when the parties came before me. I understand earlier dates were not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is clear from this summary that the defendants are not to blame for the application being heard close to trial. On the contrary, they have been attempting diligently to have the application heard since December 2013. The defendants say the plaintiff should not be able to take advantage of delay to frustrate this application being heard when he has been the main cause of that delay. Case law supports this position: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In my opinion, the summary trial procedure contemplated by R. 18A cannot be open to being frustrated by one of the parties delaying the pre-trial procedures until it is too late for the summary procedure to use them effectively.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I am not suggesting that there was any intentional delay in this case. But it must be the case that if adequate notice is given to an opposing party that a summary trial application is going to be brought on, there then falls on that party an obligation to take every reasonable step to complete as much of the pre-trial procedures as is necessary to put him into the best mastery of the facts that is reasonably possible before the summary trial proceedings are heard. He cannot, by failing to take those pre-trial procedures, frustrate the benefits of the summary trial rule.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Anglo Can. Shipping Co. v. Pulp, Paper &amp; Woodworkers of Can., Loc. 8</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(1988), 27 B.C.L.R. (2d) 378</w:t>
        </w:r>
      </w:hyperlink>
      <w:r>
        <w:rPr>
          <w:rFonts w:ascii="arial" w:eastAsia="arial" w:hAnsi="arial" w:cs="arial"/>
          <w:color w:val="000000"/>
          <w:sz w:val="20"/>
          <w:lang w:val="en-US" w:eastAsia="en-US" w:bidi="ar-SA"/>
        </w:rPr>
        <w:t xml:space="preserve"> at paras. 19 &amp; 20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Those comments are helpful. In the application before me, the case is ready for trial; discoveries are complete and document production deadlines have passed. This weighs heavily in favour of this case being suitable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Other Factors Relating to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says that a summary trial would not achieve significant savings or efficiencies because it is a two-day hearing and the trial is only five days (although the defendants think it may need seven days). I disagree; the court time will be reduced by more than half, perhaps more, which also weighs in favour of 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It is also significant that the application for summary trial deals with all issues in the claim. As the application is framed, judgment on the summary trial would not result in "litigating by slices". This also avoids the type of complexity which can arise if the trial judge is faced with previous findings of facts from an issue that had already been tried summarily.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agree with the plaintiff, however, that there is no urgency to have the matter heard and no prejudice to the defendants by a further delay. Mr. Green says the delay causes more stress given the nature of the allegations made against him. I am sure that is true but that is not the type of prejudice that gives support towards a summary trial; there is no indication that any evidence is in jeopardy or anything other than the inherent risk, stresses and burden of litigation are being visited upon the defendants because of a delay. Moreover, the delay is not lengthy.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Balancing all of the factors, I do not find the proximity of the trial, or any other trial factors, weighs against proceeding with a summary trial in the circumstances of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Are the Credibility Issues of a Nature that Summary Trial is Unsuitable?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plaintiff says the parties' evidence is "diametrically opposed" which leads to a conflict going to the heart of the matter; thus, a summary trial is inappropriate because the court is best equipped to resolve those conflicts by seeing the witnesses testify on the stand. He puts it this way in his written submissions: "a case is not suitable for determination by summary trial where credibility is in issue because the parties assert significantly disparate accounts of the facts on essential issues", citing </w:t>
      </w:r>
      <w:r>
        <w:rPr>
          <w:rFonts w:ascii="arial" w:eastAsia="arial" w:hAnsi="arial" w:cs="arial"/>
          <w:i/>
          <w:color w:val="000000"/>
          <w:sz w:val="20"/>
          <w:lang w:val="en-US" w:eastAsia="en-US" w:bidi="ar-SA"/>
        </w:rPr>
        <w:t>International Sausage House Ltd</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Hammer</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2014 BCSC 1442</w:t>
        </w:r>
      </w:hyperlink>
      <w:r>
        <w:rPr>
          <w:rFonts w:ascii="arial" w:eastAsia="arial" w:hAnsi="arial" w:cs="arial"/>
          <w:color w:val="000000"/>
          <w:sz w:val="20"/>
          <w:lang w:val="en-US" w:eastAsia="en-US" w:bidi="ar-SA"/>
        </w:rPr>
        <w:t xml:space="preserve"> at para 111.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is true that there is a limit to the extent that the court can assess credibility based on affidavit evidence, as stated in the same paragraph of the case cited above. In particular circumstances, a judge may find it impossible to find the facts necessary to determine the case for this very reason. However, when there is a credibility conflict on an essential issue, the case may still proceed summarily if the conflict can be resolved another way, such as by weighing the evidence or giving it different value based on collateral evidence, the contents of the documents or the conduct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 do not agree with the plaintiff's characterization of the conflict in the evidence. The affidavits are not diametrically opposed on all critical events. What is important is to consider where there is such a conflict, if it hinders the court's ability to find necessary facts. Although there is some overlap, the essential elements of proving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do differ from those for proving breach of fiduciary duty so I will analyze these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Impact of Conflicts in Evidence on the Claim in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Ahlwat's description of events does contradict Mr. Green's version of the same events. That does not necessarily render them irreconcilable. In almost all cases of contradictory versions of events, there is collateral evidence on the record that can assist a judge in making findings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One example is what the plaintiff says about signing the separation agreement. He says he has no recollection of signing it. Mr. Green maintains he witnessed Mr. Ahlwat sign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Ahlwat's lack of recollection does not conflict with Mr. Green's evidence; both can be true. There are also other circumstances that may assist in assessing the credibility of these claims including the fact that the plaintiff's claim of forgery has been dropped and according to the defendants, Mr. Ahlwat's own evidence is somewhat contradictory on this issue (at one point apparently, he "accepts" he signed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plaintiff also says that what happened and what was said at two key meetings is critical to the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Mr. Green's version differs from Mr. Ahlwat's in some important respects: date of one of the meetings, length of meeting, who attended and what was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Again, there is some collateral evidence that could assist in deciding which version is, on the balance of probabilities, true, such other signed documents, Mr. Green's calendar entries and internal files and Mr. Ahlwat's work log. I am satisfied a court could rely on all of these to make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will not review each instance where the plaintiff alleges a significant conflict in the evidence that justifies a full trial but, in my view, save one instance, none were so startling or unverifiable by other evidence that a judge "could not" make findings of fact, the first step in the legal analysis on the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 is no dispute Mr. Green owed a duty of care to Mr. Ahlwat by virtue of his solicitor-client relationship. The plaintiff says the court cannot properly find facts about whether Mr. Green met that standard of care in relation to Mr. Ahlwat.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plaintiff says that this case cries out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His argument on this point relies on his claim that he is illiterate and suffers from dyslexia. The plaintiff says by Mr. Green's conduct falls below the standard of care of a reasonably competent solicitor because he failed to tailor the manner in which he gave legal advice to account for Mr. Ahlwat's reading and comprehension challenges. Because he did not know or suspect Mr. Ahlwat had any difficulties, it is not controversial that Mr. Green did not alter his legal advice and how he delivered it to Mr. Ahlwat. Mr. Ahlwat admits he did not tell Mr. Green he had difficulty understanding what he was signing, or any other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Ahlwat says a judge cannot fairly assess this claim without seeing Mr. Ahlwat testify; by taking the stand, Mr. Ahlwat says it will be very obvious that Mr. Green should have suspected something was wrong and modified his legal advice accordingly. In place of affidavits, his testimony will allow the judge to hear Mr. Ahlwat explain in his own words the nature of his intellectual difficulties and how they may have impacted the events in question. Together with the judge's observation of Mr. Ahlwat, this is critical evidence that is missing in the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answer, the defendants point out that how Mr. Ahlwat appears on the stand in 2014 is unlikely to replicate how he appeared to Mr. Green in 2002, especially because Mr. Ahlwat now has an appreciation of his difficulties that he admits he did not have in 2002. In that way, they say nothing relevant will be added to the facts by having Mr. Ahlwat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This is a valid point but it can only go so far, and it is certainly an issue that can be addressed through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Only if I take a narrow view of what are the "necessary facts" to establishing Mr. Green failed to meet the requisite standard of care, can I conclude that a court can find the necessary facts on the record. That narrow approach is not appropriate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Green's legal advice was given in person; there was no written retainer or written advice. Mr. Ahlwat claims he has significant intellectual challenges. Even if I am wrong about whether a court can find the necessary facts as the record exists now, I find it would be unjust for a court to do so. Beyond a recitation of events, seeing witnesses testify can give a judge insight that assist in findings not only of credibility, but, as in this case, about what the particular standard of care required of Mr. Green when he met in person with Mr. Ahlwat to deliver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 am careful to point out that it is the particular constellation of factors in this case that persuade me it would be unjust to rely solely on the affidavits to find the facts necessary to the critical issues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This comment should not in any way be taken to comment on the suitability of summary trial in cases of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where the affidavits of the lawyer and client conflict.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 and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defendants say regardless of the conclusion about whether the requisite standard of care was met; the plaintiff also has the burden to prove that Mr. Ahlwat suffered loss, and Mr. Green's action was the proximate cause of that loss. The defendants say there is no dispute about the facts critical to these issues. So if the court looks at the claim as a whole, it is not unjust to conduct a summary trial because it is only the facts on one branch of the test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where credibility is a significant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There are certainly non-controversial facts that are relevant to loss and proximate cause. The parties agree that despite the separation agreement, the parties lived together and then finally separated about five years after Mr. Ahlwat received the advice from Mr. Green that is the foundation of this claim. Mr. Ahlwat started a family law action in which he pled that there was a power imbalance such that his ex-wife took advantage of him and that the separation agreement ought to be set aside. That case was settled without going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Ahlwat says his loss is the amount of legal fees (or the increase in legal fees) he spent to set aside the separation agreement. Credibility ought not to be an issue because evidence is easily available in documentary form. The defendants point out that despite a court order to produce the entire file of the lawyers who worked on the family law matter that settled, specifically including invoices and bills, no such documents are on the record. However, that point goes to the merit of Mr. Ahlwat's claim and not whether it is suitable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more difficult hurdle will be establishing proximate cause. If we assume, purely for this analysis, that Mr. Green's actions fell below the standard of care expected of a competent solicitor, the plaintiff may still have to prove one of more of a number of other issues to prove proximate cause, including:</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settlement agreement unfairly favoured his former wife;</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Ahlwat would not have signed the agreement if Mr. Green's actions had met the standard of care;</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Ahlwat's former wife would have agreed to change the separation agreement to Mr. Ahlwat's benefit,</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Ahlwat paid more in legal fees to settle the family law claim than he would have if Mr. Green's actions had met the standard of care;</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settlement of the family law proceeding has not adequately compensated Mr. Ahlwat for 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point out quickly that I am not making findings about the relevance or importance of the issues in this list because that will be a task for the trial judge; I am merely identifying possible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my view, a judge probably could find the facts necessary to determine the issues relating to the fairness of the separation agreement and details about the settlement agreement on affidavit and documentary evidence (factors a, d, and 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 am less certain about the other two issues (in b and c). Those issues probably involve an assessment about the dynamics of Mr. Ahlwat's relationship with his former wife and his interaction with Mr. Green. Even though Mr. Ahlwat's affidavits do contain evidence about those issues, in my view it would be difficult for a judge to make findings of fact without hearing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that would be subjected to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defendants say the record does contain evidence on those issues from which inferences can be drawn. For instance, they point out Mr. Ahlwat says he felt "bullied" by his former wife and that would be evidence tending to defeat the factors b and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must be careful not to confuse the analysis of suitability with an assessment of the relative strength of the claim. The defendants' point above seems relevant to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Again, I am persuaded that taking into account all circumstances, even if a judge could find all facts necessary to decide proximate cause and loss, it would be unjust to do so. Like the issue of Mr. Ahlwat's intellectual capacity, I find a judge will not be sufficiently informed about the state of Mr. Ahlwat's relationship with his wife in 2002 based only on affidavit evidence and therefore it would be unjust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Based on the above, I conclude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is not suitable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 find that it would be inappropriate to proceed with this claim in light of my findings about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because that would effectively slice the case in two, less than a month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Also, in my view, the plaintiff's objection to the suitability is much stronger on this claim. It is likely, although I make no finding on this point, that the fiduciary duty on Mr. Green towards Mr. Ahlwat may be more onerous than the standard of care discussed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aspect of this decision. I refer to </w:t>
      </w:r>
      <w:r>
        <w:rPr>
          <w:rFonts w:ascii="arial" w:eastAsia="arial" w:hAnsi="arial" w:cs="arial"/>
          <w:i/>
          <w:color w:val="000000"/>
          <w:sz w:val="20"/>
          <w:lang w:val="en-US" w:eastAsia="en-US" w:bidi="ar-SA"/>
        </w:rPr>
        <w:t>Strother v. 3464920 Canada Inc.</w:t>
      </w:r>
      <w:r>
        <w:rPr>
          <w:rFonts w:ascii="arial" w:eastAsia="arial" w:hAnsi="arial" w:cs="arial"/>
          <w:color w:val="000000"/>
          <w:sz w:val="20"/>
          <w:lang w:val="en-US" w:eastAsia="en-US" w:bidi="ar-SA"/>
        </w:rPr>
        <w:t xml:space="preserve">, </w:t>
      </w:r>
      <w:hyperlink r:id="rId18" w:history="1">
        <w:r>
          <w:rPr>
            <w:rFonts w:ascii="arial" w:eastAsia="arial" w:hAnsi="arial" w:cs="arial"/>
            <w:i/>
            <w:color w:val="0077CC"/>
            <w:sz w:val="20"/>
            <w:u w:val="single"/>
            <w:shd w:val="clear" w:color="auto" w:fill="FFFFFF"/>
            <w:lang w:val="en-US" w:eastAsia="en-US" w:bidi="ar-SA"/>
          </w:rPr>
          <w:t>2007 SCC 24</w:t>
        </w:r>
      </w:hyperlink>
      <w:r>
        <w:rPr>
          <w:rFonts w:ascii="arial" w:eastAsia="arial" w:hAnsi="arial" w:cs="arial"/>
          <w:color w:val="000000"/>
          <w:sz w:val="20"/>
          <w:lang w:val="en-US" w:eastAsia="en-US" w:bidi="ar-SA"/>
        </w:rPr>
        <w:t xml:space="preserve"> where the Court stated at para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lawyer is retained by a client, the scope of the retainer is governed by contract. It is for the parties to determine how many, or how few, services the lawyer is to perform, and other contractual terms of the engagement. The solicitor-client relationship thus created is, however, overlaid with certain fiduciary responsibilities, which are imposed as a matter of law. The Davis factum puts it well: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source of the duty is not the retainer itself, but all the circumstances (including the retainer) creating a relationship of trust and confidence from which flow obligations of loyalty and transparency. [para. 95]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Not every breach of the contract of retainer is a breach of a fiduciary duty. On the other hand, fiduciary duties provide a framework within which the lawyer performs the work and may include obligations that go beyond what the parties expressly bargained for. The foundation of this branch of the law is the need to protect the integrity of the administration of justice: </w:t>
      </w:r>
      <w:r>
        <w:rPr>
          <w:rFonts w:ascii="arial" w:eastAsia="arial" w:hAnsi="arial" w:cs="arial"/>
          <w:i/>
          <w:color w:val="000000"/>
          <w:sz w:val="20"/>
          <w:lang w:val="en-US" w:eastAsia="en-US" w:bidi="ar-SA"/>
        </w:rPr>
        <w:t>MacDonald Estate v. Martin</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[1990] 3 S.C.R. 1235</w:t>
        </w:r>
      </w:hyperlink>
      <w:r>
        <w:rPr>
          <w:rFonts w:ascii="arial" w:eastAsia="arial" w:hAnsi="arial" w:cs="arial"/>
          <w:color w:val="000000"/>
          <w:sz w:val="20"/>
          <w:lang w:val="en-US" w:eastAsia="en-US" w:bidi="ar-SA"/>
        </w:rPr>
        <w:t xml:space="preserve">, at pp. 1243 and 1265. "[I]t is of high public importance that public confidence in that integrity be maintained": </w:t>
      </w:r>
      <w:r>
        <w:rPr>
          <w:rFonts w:ascii="arial" w:eastAsia="arial" w:hAnsi="arial" w:cs="arial"/>
          <w:i/>
          <w:color w:val="000000"/>
          <w:sz w:val="20"/>
          <w:lang w:val="en-US" w:eastAsia="en-US" w:bidi="ar-SA"/>
        </w:rPr>
        <w:t>R. v. Neil</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[2002] 3 S.C.R. 631</w:t>
        </w:r>
      </w:hyperlink>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2002 SCC 70</w:t>
        </w:r>
      </w:hyperlink>
      <w:r>
        <w:rPr>
          <w:rFonts w:ascii="arial" w:eastAsia="arial" w:hAnsi="arial" w:cs="arial"/>
          <w:color w:val="000000"/>
          <w:sz w:val="20"/>
          <w:lang w:val="en-US" w:eastAsia="en-US" w:bidi="ar-SA"/>
        </w:rPr>
        <w:t>, at para. 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Fiduciary responsibilities include the duty of loyalty, of which an element is the avoidance of conflicts of interest, as set out in the jurisprudence and reflected in the Rules of Practice of The Law Society of British Columbia. As the late Hon. Michel Proulx and David Layton state, "[t]he leitmotif of conflict of interest is the broader duty of loyalty": Ethics and Canadian Criminal Law (2001), at p. 287.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SUBMISSIONS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SHARMA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October 22,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Please note, in the style of cause, Counsel for the Plaintiff has been corrected to read: D.T. Moseley.</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9" style="position:absolute;z-index:2518620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1"/>
          <w:headerReference w:type="default" r:id="rId22"/>
          <w:footerReference w:type="even" r:id="rId23"/>
          <w:footerReference w:type="default" r:id="rId24"/>
          <w:headerReference w:type="first" r:id="rId25"/>
          <w:footerReference w:type="first" r:id="rId2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7" w:history="1">
        <w:r>
          <w:rPr>
            <w:rFonts w:ascii="arial" w:eastAsia="arial" w:hAnsi="arial" w:cs="arial"/>
            <w:b/>
            <w:bCs/>
            <w:i/>
            <w:color w:val="0077CC"/>
            <w:kern w:val="32"/>
            <w:sz w:val="28"/>
            <w:szCs w:val="32"/>
            <w:u w:val="single"/>
            <w:shd w:val="clear" w:color="auto" w:fill="FFFFFF"/>
            <w:lang w:val="en-US" w:eastAsia="en-US" w:bidi="ar-SA"/>
          </w:rPr>
          <w:t>Asp v. Boughton Law Corp., [2014] B.C.J. No. 1290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M.B. Blok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6-8,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20,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S111863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1290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1124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Phillip Jerry Asp and George Asp, Plaintiffs, and Boughton Law Corporation, Borden Ladner Gervais LLP, Peter A. Wong, Merle C. Alexander, Allen Edzerza, Bob Edzerza, Beverly Bapty, Stephen Leonard Bapty, Stacey Edzerza Fox, Rebecca Louise Edzerza, Peter Wright, Bear Dog Enterprises Ltd., Bear Dog Holdings Ltd., Bear Dog Trust (By Its Trustee, Allen Edzerza),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0"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 w:name="Keywords_0"/>
      <w:bookmarkEnd w:id="7"/>
      <w:r>
        <w:rPr>
          <w:rFonts w:ascii="arial" w:eastAsia="arial" w:hAnsi="arial" w:cs="arial"/>
          <w:b/>
          <w:color w:val="000000"/>
          <w:sz w:val="20"/>
          <w:lang w:val="en-US" w:eastAsia="en-US" w:bidi="ar-SA"/>
        </w:rPr>
        <w:t>Civil litigation — Civil procedure — Parties — Class or representative actions — Certification — Common interests and issues — Definition of class — Member of class or sub-class — Representative plaintiff — Application by plaintiffs for certification of class proceeding dismissed — Action related to affairs of Bear Dog, an investment vehicle for members of extended First Nation family structured as holding company and trust — Plaintiffs claimed founders and solicitors were negligent and breached agreements or misrepresented company's structure, shareholdings and profit-sharing arrangements — Proposed class action was not preferable given preponderance of individual issues, lack of identifiable class as presently defined, and involvement of proposed representative plaintiffs in creation and operation of Bear Dog.</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 w:name="Case Summary_0"/>
            <w:bookmarkEnd w:id="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Phillip and George Asp, to certify their action against several defendants as a class proceeding. The action related to the affairs of Bear Dog Enterprises, an investment vehicle for members of an extended First Nations family structured as a holding company and trust. The defendants were the founders and the solicitors involved in the creation of the corporate structure. The plaintiffs alleged that the defendants breached an agreement and representations made to the wider family regarding the structure, shareholdings, operations and profit-sharing of the company. They contended that Bear Dog was to be structured as a company of equal shareholders rather than as an investment trust. The plaintiffs sought damages and ancillary remedies on behalf of a particular family line. Claims included negligent misrepresentation, breach of fiduciary duty, breach of trust,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corporate oppression, and breaches of securities law. The plaintiffs alleged that the solicitor defendants were negligent in the creation of the corporate structure by failing to safeguard the interests of plaintiffs and the proposed class. The defendants denied any agreement or representations. They submitted that the corporate structure was implemented with the knowledge, consent, and direct involvement of the plaintiffs, and was designed to achieve the purposes and flexibility desired by the family and its elders. The defendants opposed certification on the basis of the lack of an appropriate class, the predominance of individual issues, and the conflict the plaintiffs would have if appointed as representative plaintiffs.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 w:name="Holdings of Court_0"/>
            <w:bookmarkEnd w:id="9"/>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pleadings disclosed a cause of action. The proposed class definition was problematic, as use of a particular bloodline as a defining feature did not bear a rational connection to the claims made and relief sought, and gave rise to potential conflicts of interest within the class. The proposed common issues were predominantly individual in nature. The case did not involve interpretation of a standard agreement. The agreement at the heart of the dispute was reached in piecemeal oral fashion over a four-year period with varying involvement of different individuals. In addition, many of the proposed defences depended on individual actions and interactions. A class proceeding would result in inherent unfairness to the members and non-members of the proposed class who were content with the present business structure. The proposed plaintiffs were not appropriate representatives given their role in the creation of the business structure, the business reorganization, and the business itself. Certification would put the plaintiffs in a conflict of interest with members of the proposed class.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 w:name="Legislation Cited_0"/>
      <w:bookmarkEnd w:id="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1"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Class Proceedings Act, </w:t>
      </w:r>
      <w:hyperlink r:id="rId28" w:history="1">
        <w:r>
          <w:rPr>
            <w:rFonts w:ascii="arial" w:eastAsia="arial" w:hAnsi="arial" w:cs="arial"/>
            <w:i/>
            <w:color w:val="0077CC"/>
            <w:sz w:val="20"/>
            <w:u w:val="single"/>
            <w:shd w:val="clear" w:color="auto" w:fill="FFFFFF"/>
            <w:lang w:val="en-US" w:eastAsia="en-US" w:bidi="ar-SA"/>
          </w:rPr>
          <w:t>RSBC 1996, CHAPTER 50, s. 4</w:t>
        </w:r>
      </w:hyperlink>
      <w:r>
        <w:rPr>
          <w:rFonts w:ascii="arial" w:eastAsia="arial" w:hAnsi="arial" w:cs="arial"/>
          <w:color w:val="000000"/>
          <w:sz w:val="20"/>
          <w:lang w:val="en-US" w:eastAsia="en-US" w:bidi="ar-SA"/>
        </w:rPr>
        <w:t>, s. 4(2), s. 4(2)(a), s. 5(5)(b), s. 7, s. 7(b), s. 16(2), s. 37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 w:name="Counsel_0"/>
      <w:bookmarkEnd w:id="1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2" style="position:absolute;z-index:2517616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C. Friesen.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Boughton Law Corporation, Peter A. Wong and Merle C. Alexander: S. Field, C. Gilmour.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Allen Edzerza, Bob Edzerdza, Beverly Bapty, Stephen Leonard Bapty, Stacey Edzerza Fox, Rebecca Louise Edzerza and Bear Dog Trust: J.B. MacLean.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 w:name="Judgment_0"/>
      <w:bookmarkEnd w:id="12"/>
      <w:r>
        <w:pict>
          <v:line id="_x0000_s1033" style="position:absolute;z-index:2518128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 w:name="M.B. BLOK J."/>
            <w:bookmarkEnd w:id="13"/>
            <w:r>
              <w:rPr>
                <w:rFonts w:ascii="arial" w:eastAsia="arial" w:hAnsi="arial" w:cs="arial"/>
                <w:b/>
                <w:color w:val="000000"/>
                <w:sz w:val="30"/>
                <w:lang w:val="en-US" w:eastAsia="en-US" w:bidi="ar-SA"/>
              </w:rPr>
              <w:t>M.B. BLOK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plaintiffs apply to certify this action as a class proceeding pursuant to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claim centres on the affairs of Bear Dog Enterprises Ltd., which was advanced as an investment vehicle, or as part of an investment vehicle, for members of an extended First Nations family in northern British Columbia. The plaintiffs allege that the corporate structure ultimately created breached an agreement reached between family members and was contrary to representations made to them. Their lawsuit pleads various causes of action, including negligent misrepresentation, breach of fiduciary duty and breach of trust,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corporate oppression and breaches of securities 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Claims, primarily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are also brought against the solicitors involved in the creation of the corporate structure on the basis that the solicitors failed to safeguard the interests of the plaintiffs and of those in the proposed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say that a class proceeding would be an efficient and cost-effective way to deal with the common issues arising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deny that there was any agreement or representations as alleged by the plaintiffs and say that the corporate structure that was created, which involved both a holding company (Bear Dog Holdings Ltd.) and a trust (Bear Dog Trust), was implemented with the knowledge and consent, and indeed the direct involvement, of the plaintiffs. They say that the corporate structure was designed to achieve the purposes and flexibility that the family desired and that the elders of the family declined to change the business structure when the subject was raised in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submit that this action ought not to be certified as a class action for various reasons, including the lack of an appropriate proposed class, the predominance of individual issues, and the conflict of interest that the plaintiffs would have if they were appointed representative plaintiffs. The defendants add that the plaintiffs' lack of candour in their affidavits is a further reason to reject them as proposed representative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action has been discontinued against Borden Ladner Gervais LLP and Peter Wright. The defendants Bear Dog Enterprises Ltd. and Bear Dog Holdings Ltd. are represented by counsel, but took no part in the hearing as they considered that their position was adequately represented by the Edzerza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broader background is not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Bear Dog Enterprises Ltd. ("Bear Dog Enterprises"), a British Columbia company, was founded in 2004 by four siblings, Allen Edzerza, Bob Edzerza, Beverly Bapty and Don Edzerza. Don Edzerza died in the fall of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These original shareholders of Bear Dog Enterprises are members of the Etzenlee family of the Tahltan Nation. The Etzenlee family are descendants of George and Grace Edzerza, who had 17 children who survived to adulthood. Each of the 17 children now has a family line, and each line is represented by an Elder, who is either one of the 17 children or is the eldest child if the line does not have a surviving "original 17"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One of the 17 children was Thelma Norby. Her family line is known as Thelma's Line. The plaintiffs Jerry Asp and George Asp, who are brothers, are members of Thelma's Line. George Asp is the Elder of that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Allen Edzerza is also an Etzenlee family Elder.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are approximately 315 members of the Etzenlee family, of whom approximately 75 are descended from Thelma Norby.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Tahltan Nation identifies its traditional territory as being approximately 93,000 square miles of land surrounding the communities of Telegraph Creek, Dease Lake and Iskut in Northern British Columbia, extending to some extent into the southern Yukon.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Tahltan Central Council represents the Tahltan Nation concerning aboriginal rights and in negotiating economic agreements with both the Crown and business or development proponents. These economic agreements typically provide for the preferential use of "qualified Tahltan businesses", which are businesses which are at least 51% owned and controlled by the Tahltan Nation. Qualified Tahltan businesses can bid on and enter into contracts on a preferential basis with non-Tahltan entities that have made agreements with the Tahltan Central Council to conduct economic activity in the traditional territory. The Tahltan Central Council confirms which businesses are qualified Tahltan businesses.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Bear Dog Enterprises is a qualified Tahltan business. As such, it has preferential status within the Tahltan Nation's traditional territory.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Beginning in 2004, Bear Dog Enterprises carried on business through subsidiary companies that were 51% owned by Bear Dog Enterprises and 49% owned by outside parties, sometimes referred to as "joint venture partners".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was a reunion of the Etzenlee family in July 2006. At that reunion the family discussed organising a business in which members of the Etzenlee family could invest and participate. In July 2007 Allen Edzerza followed up that discussion with an email to members of the Etzenlee family. That email read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Well it has been a while since our Family Reunion in Fort St. John where we spoke about the Etzenlee Family business, Bear Dog Enterprises Ltd.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Corporate Options: George [Asp] and I met with a group of lawyers in Vancouver ... and asked their advice on how to set up the corporate structure to maximize our tax advantage and to be flexible enough to take advantage of the many contract opportunities arising in Tahltan Traditional Territory. We have been informed that the proposed Private Trust would not be taxable and would issue one share for each person who contributes $1,000 and each person could only have one share. ... We would use Bear Dog Enterprises Ltd as the primary corporate entity that would enter into joint venture/limited partnerships with major established corporations when pursuing contracts. All gross profit revenues that accrue to our corporations would flow back to the Trust and when the Board of Trustees make[s] the decision to provide cash payments to all those that have share the persons receiving the payment will be required to pay tax. ... This corporate model may cost anywhere from $50,000 to $100,000 because it is a very complex structure to establish from a legal perspective.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sending this email to confirm your interest in participating in the Etzenlee Family Business which will be conducted through Bear Dog Enterprises Ltd. At the Family Reunion in Fort St. John we informed everyone that each share would be worth $1,000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BE ADVISED THAT THE THREE MONTH PERIOD TO PURCHASE YOUR SHARE FOR $1,000 BEGINS AS OF AUGUST 1, 2007.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Contributions from, or on behalf of, 117 family members were subsequently received up to the time the business reorganisation took place in December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It is at this point that the plaintiffs and defendants part company in their characterisation of the facts. The plaintiffs assert that an agreement was established at the family reunion, "and in subsequent discussions and communications continuing until at least 2010", that shares in Bear Dog Enterprises would be offered at $1,000 each to members of the Etzenlee family (including minors) and that Bear Dog Enterprises was to be a profit-oriented venture with each investor sharing in the profits on a proportionate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defendants say that at the 2006 family reunion there was a discussion about creating a family business through which family members could benefit from economic activity in Tahltan traditional territory. The ultimate corporate structure was not known. Allen Edzerza and George Asp subsequently consulted with lawyers at Boughton Law Corporation ("Boughton") and the structures discussed included various forms of trusts. The trust structure was discussed at family meetings in 2007 and 2008 and was ultimately agreed to and implemented. The trust structure offered flexibility of participation, particularly given that there were minors involved. The ability to distribute monies on a discretionary basis also made it easier to advance the social and cultural interests of the Etzenlee family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The Reorganisation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 corporate reorganisation was carried out on or around December 1,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Immediately prior to the reorganisation the original four shareholders owned 50 Class A shares and 50 Class B shares in the capital of Bear Dog Enterprises.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a first step, the four original shareholders of Bear Dog Enterprises sold their shares back to the company for $4 each. The surviving original shareholders (Allen Edzerza, Bob Edzerza and Beverly Bapty) assert that the effect of the transfer was that they conferred a benefit of approximately $400,000 on the Bear Dog Trust. Whether any benefit was conferred is a contested fact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Shares of Bear Dog Enterprises were then issued to a holding company, Bear Dog Holdings Ltd., whose shares, in turn, were owned by Allen Edzerza as trustee of the Bear Dog Trust. The beneficiaries of the Bear Dog Trust were the 117 contributors of $1,000 in cash or in kind.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Directors and officers were changed as part of the reorganisation:</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Bear Dog Enterprises</w:t>
      </w:r>
      <w:r>
        <w:rPr>
          <w:rFonts w:ascii="arial" w:eastAsia="arial" w:hAnsi="arial" w:cs="arial"/>
          <w:color w:val="000000"/>
          <w:sz w:val="20"/>
          <w:lang w:val="en-US" w:eastAsia="en-US" w:bidi="ar-SA"/>
        </w:rPr>
        <w:t>: Allen Edzerza and Beverly Bapty resigned as directors; Jerry Asp, Peter Wright, Stephen Bapty and Rebecca Edzerza became directors; and Bob Edzerza continued as a director. Jerry Asp became president, Peter Wright became vice-president and Rebecca Edzerza became secretary and treasurer;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Bear Dog Holdings</w:t>
      </w:r>
      <w:r>
        <w:rPr>
          <w:rFonts w:ascii="arial" w:eastAsia="arial" w:hAnsi="arial" w:cs="arial"/>
          <w:color w:val="000000"/>
          <w:sz w:val="20"/>
          <w:lang w:val="en-US" w:eastAsia="en-US" w:bidi="ar-SA"/>
        </w:rPr>
        <w:t>: George Asp, James Barry Mason and Stacey Edzerza Fox became directors, and George Asp became president;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Bear Dog Trust</w:t>
      </w:r>
      <w:r>
        <w:rPr>
          <w:rFonts w:ascii="arial" w:eastAsia="arial" w:hAnsi="arial" w:cs="arial"/>
          <w:color w:val="000000"/>
          <w:sz w:val="20"/>
          <w:lang w:val="en-US" w:eastAsia="en-US" w:bidi="ar-SA"/>
        </w:rPr>
        <w:t>: Allen Edzerza was appointed trustee of the Bear Dog Trust. As trustee he became the sole shareholder of Bear Dog Holdings.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Although there is just one trustee, his powers are constrained by the terms of the trust deed by which the Bear Dog Trust was established. As noted in the affidavit of the defendant Peter Wong, a solicitor formerly with Boughton who was centrally involved in the creation of the trust structure (although he left the firm before the reorganisation took place):</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Under the Trust Deed the Trustee was bestowed with considerable discretion in managing and administering the Trust, however, this discretion was subject to certain important checks and balances. Specifically, the Trustee cannot exercise any of its discretion on key matters without first notifying a group of persons referred to in the trust deed as the "Appointor" who has the power to replace the Trustee or add more trustees as any time ... . At the time of proposing this trust structure I understood that the Appointor of the Trust would likely be comprised of persons who were the Elders of the Etzenlee family. Thus, this procedure of notifying the Appointor was similar to the family tradition of having a leader or chief seek the advice of the Elders before making certain important decisions or determinations.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Five persons were subsequently named as Appointors following nominations made at an Etzenlee family meeting in 2008: Bob Edzerza, James Barry Mason, Evelyn Georgina Rattray, Ann Marlene Ball and George Asp.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April 2010 the Elders' Council considered whether the business structure should be modified but decided that it should continue in its post-reorganisation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plaintiffs' claims are founded on the assertion that there was an agreement, reached as a result of discussions occurring between 2006 and 2010, that each contributor would be a shareholder of Bear Dog Enterprises and would participate equally in profit-sharing. Additionally, the plaintiffs assert that Allen Edzerza represented to them that this would be the corporate structure. The contributors of $1,000 did not get a share in Bear Dog Enterprises, with all the rights that corporate shareholders would have, but instead are mere beneficiaries of a discretionary trust without any enforceable rights. The trust structure, they say, was adopted without the plaintiffs'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causes of action alleged by the plaintiffs are:</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breaches of the </w:t>
      </w:r>
      <w:r>
        <w:rPr>
          <w:rFonts w:ascii="arial" w:eastAsia="arial" w:hAnsi="arial" w:cs="arial"/>
          <w:i/>
          <w:color w:val="000000"/>
          <w:sz w:val="20"/>
          <w:lang w:val="en-US" w:eastAsia="en-US" w:bidi="ar-SA"/>
        </w:rPr>
        <w:t>Securities Act</w:t>
      </w:r>
      <w:r>
        <w:rPr>
          <w:rFonts w:ascii="arial" w:eastAsia="arial" w:hAnsi="arial" w:cs="arial"/>
          <w:color w:val="000000"/>
          <w:sz w:val="20"/>
          <w:lang w:val="en-US" w:eastAsia="en-US" w:bidi="ar-SA"/>
        </w:rPr>
        <w:t>, in that the plaintiffs allege that a share sale was solicited by Allen Edzerza and participated in by Boughton and its lawyers;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against Allen Edzerza, negligent misrepresentation;</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against the Edzerza defendants: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fiduciary duty and breach of trust by the unauthorized appropriation of the contributions of the plaintiffs;</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contract for failing to implement the Etzenlee family business agreement, which required shares in Bear Dog Enterprises to be issued to them;</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failing to implement the Etzenlee family business agreement;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against Boughton and the Boughton solicitors, breach of contract, breach of fiduciary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implement the family agreement and failing to protect the interests of the plaintiffs. In asserting these claims the plaintiffs allege they were in a solicitor-client relationship with the firm;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against Bear Dog Enterprises and its officers and directors: a corporate oppression claim based on the plaintiffs' assertion that the affairs of that company were conducted in a manner oppressive to the plaintiffs and in breach of corporate and securities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relief sought by the plaintiffs is extensive. In addition to claiming damages of several types and claiming various forms of oppression relief, the plaintiffs seek orders to collapse the Bear Dog Trust, wind up Bear Dog Holdings, have the trust property returned to Bear Dog Enterprises and to have share certificates in Bear Dog Enterprises issued to each person who contributed $1,000.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The Plaintiffs' Position on Certification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Proposed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amended the definition of the proposed class at the certification hearing. They now put forward the following class definition: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Everyone other than the Defendants who provided $1,000 to the Defendants for the purposes of investment in Bear Dog Enterprises Ltd. and is one of Thelma [Norby]'s descendants, or a member of the extended Etzenlee family, who is not one of Thelma's descendants, but who has elected in writing to opt in as a member of the class.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Proposed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common issues initially proposed by the plaintiffs were amended during the certification hearing. The proposed common issues, as amended, are attached to these reasons as Appendix 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Summary of Plaintiffs' Position on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plaintiffs submit that this action meets all of the certification requirements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In particular, they say that causes of action are disclosed, an identifiable class of more than two people has been made out, the claims raise common issues, a class proceeding would be the preferable procedure for resolution of the claims, and the representative plaintiffs are suitable.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The Edzerza Defendants' Position on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Edzerza defendants oppose the certification application on all grounds. They submit:</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Notice of Civil Claim does not contain sufficient facts and fails to adequately identify which claims are being made against which defendants;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class definition is not rational or principled because it defines the proposed class to essentially include just the descendants of Thelma Norby ("Thelma's Line");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proposed common issues are unworkable because they depend on individual determinations. For the same reason, a class proceeding is not the preferable procedure;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proposed representative plaintiffs are not appropriate because their interests are in conflict with those of the proposed class. Further, their failure to disclosure important facts in this application renders them inappropriate as representative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the latter point, the Edzerza defendants note that, among other things, the plaintiffs failed to mention that in March 2010 Jerry Asp and George Asp formed a company that now competes with Bear Dog Enterprises. The Edzerza defendants say that the proposed class proceeding is nothing more than a cynical attempt to take over Bear Dog Enterprises for the benefit of Thelma's Line and to the detriment of the other beneficiaries of the Bear Dog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The Defendant Solicitors' Position on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solicitors say that the action is unsuitable for certification because:</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individual issues predominate, so to have both a class proceeding and individual proceedings is to burden the dispute with "procedural overkill";</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proposed class is inadequately identified and is not rationally based;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definition for the proposed class is also conclusory in that it requires a finding that $1,000 was provided "for the purposes of investment in Bear Dog Enterprises Ltd.";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against the solicitors are inherently individual in nature;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proposed class has a conflicts within it because it is based on a presumption that all members of Thelma's Line want the Trust stripped of its assets, which creates a conflict for those members who may be content with the Trust;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proposed representative plaintiffs are inappropriate because they each are in conflict due to their involvement in the very events they complain about.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perhaps should go without saying, but since I have set out the claims of the plaintiffs in some detail it is fair that I note that the defendants dispute all of the claims and, indeed, in submissions they spent considerable time referring to evidence they say shows why the claims are unfounded. They note, in particular, that since 2008 Allen Edzerza, as trustee of the Bear Dog Trust, has adopted a policy of refunding the $1,000 contribution to any beneficiary who requests it. Both of the plaintiffs have had their contributions refunded.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However, for the most part the evidence set out by both sides is mere context as this is not the time to consider the case on its merits. Instead, the issue before the Court is whether the proposed class proceeding is an appropriate way to adjudicate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requirements for certification are set out in s. 4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(1) The court must certify a proceeding as a class proceeding on an application under section 2 or 3 if all of the following requirements are met: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2 or more persons;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a class proceeding would be the preferable procedure for the fair and efficient resolution of the common issues, the court must consider all relevant matters including the following:</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deal with these requirements under the headings that follow.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Whether the Pleadings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Edzerza defendants criticize the Further Amended Notice of Civil Claim, submitting that certain averments are not particularized and that it is not clear which material facts apply to which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While there is force in these criticisms, the pertinent issue is merely the threshold question whether the pleadings disclose a cause of action. They do.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Identifiable Class of Two or More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Although the wording of this requirement in s. 4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seems straightforward enough, case law has added subtleties to the analysis. For example, a class definition should not depend on the merits of the dispute: </w:t>
      </w:r>
      <w:r>
        <w:rPr>
          <w:rFonts w:ascii="arial" w:eastAsia="arial" w:hAnsi="arial" w:cs="arial"/>
          <w:i/>
          <w:color w:val="000000"/>
          <w:sz w:val="20"/>
          <w:lang w:val="en-US" w:eastAsia="en-US" w:bidi="ar-SA"/>
        </w:rPr>
        <w:t>Western Canadian Shopping Centres Inc. v. Dutton</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2001 SCC 46</w:t>
        </w:r>
      </w:hyperlink>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[2001] 2 SCR 534</w:t>
        </w:r>
      </w:hyperlink>
      <w:r>
        <w:rPr>
          <w:rFonts w:ascii="arial" w:eastAsia="arial" w:hAnsi="arial" w:cs="arial"/>
          <w:color w:val="000000"/>
          <w:sz w:val="20"/>
          <w:lang w:val="en-US" w:eastAsia="en-US" w:bidi="ar-SA"/>
        </w:rPr>
        <w:t>, at para. 38. In the plaintiffs' notice of application they sought to define the class by reference to those "who are a party to the Etzenlee Family Business Agreement". This was objected to by the defendants on the basis that this proposed class definition requires a finding that the alleged agreement was as the plaintiffs said it was. The plaintiffs then revised the proposed class definition to remove the reference to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defendants maintain that the proposed class definition, as amended, is not rationally connected to the proposed common issues. Such a connection is required: </w:t>
      </w:r>
      <w:r>
        <w:rPr>
          <w:rFonts w:ascii="arial" w:eastAsia="arial" w:hAnsi="arial" w:cs="arial"/>
          <w:i/>
          <w:color w:val="000000"/>
          <w:sz w:val="20"/>
          <w:lang w:val="en-US" w:eastAsia="en-US" w:bidi="ar-SA"/>
        </w:rPr>
        <w:t>Hollick v. Toronto (City)</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2001 SCC 68</w:t>
        </w:r>
      </w:hyperlink>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[2001] 3 SCR 158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The respondent is of course correct to state that implicit in the "identifiable class" requirement is the requirement that there be some rational relationship between the class and common issues. Little has been said about this requirement because, in the usual case, the relationship is clear from the facts. In a single-incident mass tort case (for example, an airplane crash), the scope of the appropriate class is not usually in dispute. The same is true in product liability actions (where the class is usually composed of those who purchased the product), or securities fraud actions (where the class is usually composed of those who owned the stock). In a case such as this, however, the appropriate scope of the class is not so obvious. It falls to the putative representative to show that the class is defined sufficiently narrowly.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The requirement is not an onerous one. The representative need not show that everyone in the class shares the same interest in the resolution of the asserted common issue. There must be some showing, however, that the class is not unnecessarily broad -- that is, that the class could not be defined more narrowly without arbitrarily excluding some people who share the same interest in the resolution of the common issue. Where the class could be defined more narrowly, the court should either disallow certification or allow certification on condition that the definition of the class be amended.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[References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Here, the defendants say that there is no principled basis by which the requirement of being a descendant of Thelma Norby is related to any of the causes of action, any of the relief sought or any of the issues that must be decided. They also submit that the relief sought in the claim is not necessarily beneficial to all members of the proposed class. If the relief sought is granted, then there will be no ability on the part of class members to opt out of the class because the Bear Dog Trust will be either unwound or the share structure of Bear Dog Enterprises "so altered that the Bear Dog Trust no longer suits the purposes for which it was designed". Certifying the action would also put the proposed representative plaintiffs in conflict with any member of Thelma's Line who is content with the current business structure. They note that one of the Appointors is a member of Thelma's Line, and although her position on the unwinding of the Trust is not known, from her continuing role as an Appointer it might be inferred that she supports the Trust 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plaintiffs submit that ancestry is a factor rationally connected to the class definition because ancestry (or at least, ancestry more generally) was a defining factor for participation in the business investment the first place. They submit that the proposed representative plaintiffs are entitled to define the class in a way that makes the litigation more manageable.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accept that limitations may be placed on the class definition so that class action litigation is made more manageable. However, the class as defined must still bear a rational connection to the claims made and relief sought, and the definition must not itself create other problems such as actual or potential conflicts within the class. I conclude that the proposed class definition fails on both 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It is not clear, for example, why it is thought that restricting to proposed class to members of Thelma's Line will make the litigation more manageable. The numbers are not large: only 118 people contributed overall (one having contributed after the reorganisation), of whom about 60 are members of Thelma's Line. Implicit in the plaintiffs' submission seems to be the notion that all members of Thelma's Line are of one mind and that members of other family lines will naturally oppose them, but there is no evidence of this. On the materials before me I can discern no rational connection between the proposed class definition and the claims made and relief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There is also a concern that the proposed class definition will create other mischief because it will capture members of Thelma's Line who may be quite content with the business structure. The plaintiffs did not answer this concern. The situation, it seems to me, is broadly similar to that in </w:t>
      </w:r>
      <w:r>
        <w:rPr>
          <w:rFonts w:ascii="arial" w:eastAsia="arial" w:hAnsi="arial" w:cs="arial"/>
          <w:i/>
          <w:color w:val="000000"/>
          <w:sz w:val="20"/>
          <w:lang w:val="en-US" w:eastAsia="en-US" w:bidi="ar-SA"/>
        </w:rPr>
        <w:t>Paron v. Alberta (Environmental Protection)</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2006 ABQB 375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Paron</w:t>
      </w:r>
      <w:r>
        <w:rPr>
          <w:rFonts w:ascii="arial" w:eastAsia="arial" w:hAnsi="arial" w:cs="arial"/>
          <w:color w:val="000000"/>
          <w:sz w:val="20"/>
          <w:lang w:val="en-US" w:eastAsia="en-US" w:bidi="ar-SA"/>
        </w:rPr>
        <w:t>]. There, the court refused to certify a class action brought by a group of lakefront property owners who sought an order requiring the level of the lake raised by the government authorities to its "natural, historic level" even though other lakefront property owners were benefiting from and wanted to maintain the lower lake level. As the defendant solicitors noted in their submissions: "There was only one lake and either it was going to be higher or lower". Here, there is only one business structure and it is either going to be unwound or it is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Paron</w:t>
      </w:r>
      <w:r>
        <w:rPr>
          <w:rFonts w:ascii="arial" w:eastAsia="arial" w:hAnsi="arial" w:cs="arial"/>
          <w:color w:val="000000"/>
          <w:sz w:val="20"/>
          <w:lang w:val="en-US" w:eastAsia="en-US" w:bidi="ar-SA"/>
        </w:rPr>
        <w:t xml:space="preserve">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[82] As </w:t>
      </w:r>
      <w:r>
        <w:rPr>
          <w:rFonts w:ascii="arial" w:eastAsia="arial" w:hAnsi="arial" w:cs="arial"/>
          <w:i/>
          <w:color w:val="000000"/>
          <w:sz w:val="20"/>
          <w:lang w:val="en-US" w:eastAsia="en-US" w:bidi="ar-SA"/>
        </w:rPr>
        <w:t>Lord Macnaghten stated in Duke of Bedford v. Ellis</w:t>
      </w:r>
      <w:r>
        <w:rPr>
          <w:rFonts w:ascii="arial" w:eastAsia="arial" w:hAnsi="arial" w:cs="arial"/>
          <w:color w:val="000000"/>
          <w:sz w:val="20"/>
          <w:lang w:val="en-US" w:eastAsia="en-US" w:bidi="ar-SA"/>
        </w:rPr>
        <w:t>, [ [1901] A.C. 1 (H.L.), at page 849], where a declaration was sought under the former procedure for representative actions: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Given a common interest and a common grievance, a representative suit was in order </w:t>
      </w:r>
      <w:r>
        <w:rPr>
          <w:rFonts w:ascii="arial" w:eastAsia="arial" w:hAnsi="arial" w:cs="arial"/>
          <w:b/>
          <w:color w:val="000000"/>
          <w:sz w:val="20"/>
          <w:lang w:val="en-US" w:eastAsia="en-US" w:bidi="ar-SA"/>
        </w:rPr>
        <w:t>if the relief sought was in its nature beneficial to all whom the plaintiff proposed to represent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[Emphasis added in </w:t>
      </w:r>
      <w:r>
        <w:rPr>
          <w:rFonts w:ascii="arial" w:eastAsia="arial" w:hAnsi="arial" w:cs="arial"/>
          <w:i/>
          <w:color w:val="000000"/>
          <w:sz w:val="20"/>
          <w:lang w:val="en-US" w:eastAsia="en-US" w:bidi="ar-SA"/>
        </w:rPr>
        <w:t>Paron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the materials before me I cannot conclude that the relief sought is in its nature beneficial to all whom the proposed representative plaintiffs seek to represent.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proposed class definition includes an "opt-in" sub-class. This does not solve one of the problems identified earlier, that of restricting the class to members of Thelma's Line, because opting-in is not available to residents of British Columbia: s. 16 (2)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The evidence in this case is that there are 22 contributors who were not resident in British Columbia at the time of their contribution and who are not members of Thelma's Line (all of whom would have the ability to opt in), thus meaning that there would be approximately 36 contributors who would not have the ability to opt 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There is some difficulty analysing this aspect because the common issues were revised as the hearing took place. I have proceeded on the basis that the common issues set out in Appendix A accurately reflect the final version of those issues following the various revisions.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Some of the proposed common issues either presume, or are dependent on, the existence of an agreement described as the "Etzenlee Family Business Agreement". This agreement is alleged to have various terms, but one essential term is that contributors would acquire a share in Bear Dog Enterprises. These allegations are tied together with allegations against Allen Edzerza that he "engage[d] in negligent misrepresentation" and that the Edzerza defendants were negligent in failing to carry out the alleged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Both the Edzerza defendants and the defendant solicitors submit that these are predominantly individual issues, not common issues. The plaintiffs respond by referring to s. 7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The court must not refuse to certify a proceeding as a class proceeding merely because of one or more of the following: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relief claimed relates to separate contracts involving different class members;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Citing </w:t>
      </w:r>
      <w:r>
        <w:rPr>
          <w:rFonts w:ascii="arial" w:eastAsia="arial" w:hAnsi="arial" w:cs="arial"/>
          <w:i/>
          <w:color w:val="000000"/>
          <w:sz w:val="20"/>
          <w:lang w:val="en-US" w:eastAsia="en-US" w:bidi="ar-SA"/>
        </w:rPr>
        <w:t>DeWolf v. Bell ExpressVu Inc.</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(2008), 58 C.P.C. (6th) 110</w:t>
        </w:r>
      </w:hyperlink>
      <w:r>
        <w:rPr>
          <w:rFonts w:ascii="arial" w:eastAsia="arial" w:hAnsi="arial" w:cs="arial"/>
          <w:color w:val="000000"/>
          <w:sz w:val="20"/>
          <w:lang w:val="en-US" w:eastAsia="en-US" w:bidi="ar-SA"/>
        </w:rPr>
        <w:t xml:space="preserve"> (Ont. S.C.J.), the plaintiffs submit that since there can be a common issue about the interpretation of a standard form contract, provided the external context is common or typical across class members, there is a suitable common issue here because "all of the proposed class members entered into a similar or identical version of the Etzenlee Family Business Agreement and did so in a 'common or typical' external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am unable to accept the plaintiffs' argument. This case does not involve a standard agreement. The plaintiffs' argument that "all proposed class members entered into a similar or identical version" of the alleged agreement begs the question: Did they? On the plaintiffs' own pleadings the agreement is said to have been reached through various unparticularised discussions and communications, partly oral, partly in writing and partly by conduct, occurring over a four-year span. The facts suggest that the proposed class members will have had varying involvement in or with these discussions. I agree with the submissions of the defendants that this demonstrates that individual issues will predominate.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same applies to the alleged misrepresentations. Although the plaintiffs responded by citing </w:t>
      </w:r>
      <w:r>
        <w:rPr>
          <w:rFonts w:ascii="arial" w:eastAsia="arial" w:hAnsi="arial" w:cs="arial"/>
          <w:i/>
          <w:color w:val="000000"/>
          <w:sz w:val="20"/>
          <w:lang w:val="en-US" w:eastAsia="en-US" w:bidi="ar-SA"/>
        </w:rPr>
        <w:t>Controltech Engineering Inc. v. Ontario Power Generation Inc.</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2000 CanLII 26987</w:t>
        </w:r>
      </w:hyperlink>
      <w:r>
        <w:rPr>
          <w:rFonts w:ascii="arial" w:eastAsia="arial" w:hAnsi="arial" w:cs="arial"/>
          <w:color w:val="000000"/>
          <w:sz w:val="20"/>
          <w:lang w:val="en-US" w:eastAsia="en-US" w:bidi="ar-SA"/>
        </w:rPr>
        <w:t xml:space="preserve"> (Ont. S.C. - Div. Ct.) [</w:t>
      </w:r>
      <w:r>
        <w:rPr>
          <w:rFonts w:ascii="arial" w:eastAsia="arial" w:hAnsi="arial" w:cs="arial"/>
          <w:i/>
          <w:color w:val="000000"/>
          <w:sz w:val="20"/>
          <w:lang w:val="en-US" w:eastAsia="en-US" w:bidi="ar-SA"/>
        </w:rPr>
        <w:t>Controltech</w:t>
      </w:r>
      <w:r>
        <w:rPr>
          <w:rFonts w:ascii="arial" w:eastAsia="arial" w:hAnsi="arial" w:cs="arial"/>
          <w:color w:val="000000"/>
          <w:sz w:val="20"/>
          <w:lang w:val="en-US" w:eastAsia="en-US" w:bidi="ar-SA"/>
        </w:rPr>
        <w:t xml:space="preserve">], submitting that it supported the proposition that the common representations need not have been made at the same time and that a sufficiently similar context is indicative of commonality, I find that </w:t>
      </w:r>
      <w:r>
        <w:rPr>
          <w:rFonts w:ascii="arial" w:eastAsia="arial" w:hAnsi="arial" w:cs="arial"/>
          <w:i/>
          <w:color w:val="000000"/>
          <w:sz w:val="20"/>
          <w:lang w:val="en-US" w:eastAsia="en-US" w:bidi="ar-SA"/>
        </w:rPr>
        <w:t>Controltech</w:t>
      </w:r>
      <w:r>
        <w:rPr>
          <w:rFonts w:ascii="arial" w:eastAsia="arial" w:hAnsi="arial" w:cs="arial"/>
          <w:color w:val="000000"/>
          <w:sz w:val="20"/>
          <w:lang w:val="en-US" w:eastAsia="en-US" w:bidi="ar-SA"/>
        </w:rPr>
        <w:t xml:space="preserve"> does not support the plaintiffs; rather it supports the defendants. In brief oral reasons the Court in </w:t>
      </w:r>
      <w:r>
        <w:rPr>
          <w:rFonts w:ascii="arial" w:eastAsia="arial" w:hAnsi="arial" w:cs="arial"/>
          <w:i/>
          <w:color w:val="000000"/>
          <w:sz w:val="20"/>
          <w:lang w:val="en-US" w:eastAsia="en-US" w:bidi="ar-SA"/>
        </w:rPr>
        <w:t>Controltech</w:t>
      </w:r>
      <w:r>
        <w:rPr>
          <w:rFonts w:ascii="arial" w:eastAsia="arial" w:hAnsi="arial" w:cs="arial"/>
          <w:color w:val="000000"/>
          <w:sz w:val="20"/>
          <w:lang w:val="en-US" w:eastAsia="en-US" w:bidi="ar-SA"/>
        </w:rPr>
        <w:t xml:space="preserv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We are in agreement with the analysis of Sharpe, J., of the issues and his findings in relation to those issues and, particularly, where he said at para. 8 of his reasons: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at its core, the plaintiffs' claim rests on the assertion that the defendant Ontario Hydro misrepresented important facts to those who participated in the RFP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further,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the balance of the detailed allegations contained in the statement of claim, demonstrate that the plaintiffs do not rely on any single misrepresentation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Further, we agree with his conclusions at para. 16 of his reasons, where he said in part: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there is a common factual core to the claims of the various bidders, I am not persuaded that this common core amounts to a common issue for the purposes of s. 5. In particular, I fail to see how the proposed common issues would resolve anything that would 'move the litigation forward' in as much </w:t>
      </w:r>
      <w:r>
        <w:rPr>
          <w:rFonts w:ascii="arial" w:eastAsia="arial" w:hAnsi="arial" w:cs="arial"/>
          <w:color w:val="000000"/>
          <w:sz w:val="20"/>
          <w:u w:val="single"/>
          <w:lang w:val="en-US" w:eastAsia="en-US" w:bidi="ar-SA"/>
        </w:rPr>
        <w:t>as it would still be necessary to examine what was said to each individual bidder with respect to each individual claim.</w:t>
      </w:r>
      <w:r>
        <w:rPr>
          <w:rFonts w:ascii="arial" w:eastAsia="arial" w:hAnsi="arial" w:cs="arial"/>
          <w:color w:val="000000"/>
          <w:sz w:val="20"/>
          <w:lang w:val="en-US" w:eastAsia="en-US" w:bidi="ar-SA"/>
        </w:rPr>
        <w:t xml:space="preserve"> This is not a case that lends itself to determination of the discrete issues of misrepresentation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recklessness, leaving cleanly for individual consideration the issue of reliance on the specific statement dealt with at the common stage. Here, the facts and issues cannot be broken down into appropriate and distinct categories that would allow the case to proceed in that manner. </w:t>
      </w:r>
      <w:r>
        <w:rPr>
          <w:rFonts w:ascii="arial" w:eastAsia="arial" w:hAnsi="arial" w:cs="arial"/>
          <w:color w:val="000000"/>
          <w:sz w:val="20"/>
          <w:u w:val="single"/>
          <w:lang w:val="en-US" w:eastAsia="en-US" w:bidi="ar-SA"/>
        </w:rPr>
        <w:t>No single or common statement can be identified as having been made at the same time, or in a sufficiently similar context, and because different statements were made to various class members at various stages of the bidding process and in relation to various proposals, it would be necessary to determine on an individual basis precisely what the individual bidder was told.</w:t>
      </w:r>
      <w:r>
        <w:rPr>
          <w:rFonts w:ascii="arial" w:eastAsia="arial" w:hAnsi="arial" w:cs="arial"/>
          <w:color w:val="000000"/>
          <w:sz w:val="20"/>
          <w:lang w:val="en-US" w:eastAsia="en-US" w:bidi="ar-SA"/>
        </w:rPr>
        <w:t xml:space="preserve"> The plaintiff simply cannot escape the consequences of the fact that all claims do not all flow from the misrepresentation."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Although in this case there is at least one common statement -- the email from Allen Edzerza sent in July 2007 -- the pleadings refer to other, unspecified, "discussions and communications", made orally, in writing and by conduct, which are said to comprise the agreement and the misrepresentations. Just as the Court concluded in </w:t>
      </w:r>
      <w:r>
        <w:rPr>
          <w:rFonts w:ascii="arial" w:eastAsia="arial" w:hAnsi="arial" w:cs="arial"/>
          <w:i/>
          <w:color w:val="000000"/>
          <w:sz w:val="20"/>
          <w:lang w:val="en-US" w:eastAsia="en-US" w:bidi="ar-SA"/>
        </w:rPr>
        <w:t>Controltech</w:t>
      </w:r>
      <w:r>
        <w:rPr>
          <w:rFonts w:ascii="arial" w:eastAsia="arial" w:hAnsi="arial" w:cs="arial"/>
          <w:color w:val="000000"/>
          <w:sz w:val="20"/>
          <w:lang w:val="en-US" w:eastAsia="en-US" w:bidi="ar-SA"/>
        </w:rPr>
        <w:t>, I conclude it will be necessary to determine on an individual basis precisely what each class member was told.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Preferable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There are two components to this issue: (1) whether the class proceeding would be a fair, efficient and manageable method of advancing the claim, and (2) whether the class proceeding would be preferable to other procedures: </w:t>
      </w:r>
      <w:r>
        <w:rPr>
          <w:rFonts w:ascii="arial" w:eastAsia="arial" w:hAnsi="arial" w:cs="arial"/>
          <w:i/>
          <w:color w:val="000000"/>
          <w:sz w:val="20"/>
          <w:lang w:val="en-US" w:eastAsia="en-US" w:bidi="ar-SA"/>
        </w:rPr>
        <w:t>Rumley v. British Columbia</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2001 SCC 69</w:t>
        </w:r>
      </w:hyperlink>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[2001] 3 S.C.R. 184</w:t>
        </w:r>
      </w:hyperlink>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defendant solicitors submit that this proceeding, as currently framed, is unfair to all those beneficiaries who are satisfied with the </w:t>
      </w:r>
      <w:r>
        <w:rPr>
          <w:rFonts w:ascii="arial" w:eastAsia="arial" w:hAnsi="arial" w:cs="arial"/>
          <w:i/>
          <w:color w:val="000000"/>
          <w:sz w:val="20"/>
          <w:lang w:val="en-US" w:eastAsia="en-US" w:bidi="ar-SA"/>
        </w:rPr>
        <w:t>status quo</w:t>
      </w:r>
      <w:r>
        <w:rPr>
          <w:rFonts w:ascii="arial" w:eastAsia="arial" w:hAnsi="arial" w:cs="arial"/>
          <w:color w:val="000000"/>
          <w:sz w:val="20"/>
          <w:lang w:val="en-US" w:eastAsia="en-US" w:bidi="ar-SA"/>
        </w:rPr>
        <w:t xml:space="preserve"> because they cannot opt out. Since the claim seeks to unwind the trust structure and strip the Trust of its assets, if the action is successful this will affect the rights of all beneficiaries, including those not included in the proposed class. The defendant solicitors submit that fairness dictates that all beneficiaries ought to be parties to the action where the claim seeks to take all of the trust property away from the Trust. For these reasons, the defendant solicitors say that this dispute is fundamentally ill-suited to be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plaintiffs respond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breaches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breaches of trust occurred as alleged, the fact that some people are content to keep what has been done is not a proper consideration. It is in the interests of justice to enable the court to consider the merits of the Class Members'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 observe that the right of the proposed class members to have the Court consider the merits of the claim is not really the point. The specific point is whether it is fair that those merits be considered </w:t>
      </w:r>
      <w:r>
        <w:rPr>
          <w:rFonts w:ascii="arial" w:eastAsia="arial" w:hAnsi="arial" w:cs="arial"/>
          <w:color w:val="000000"/>
          <w:sz w:val="20"/>
          <w:u w:val="single"/>
          <w:lang w:val="en-US" w:eastAsia="en-US" w:bidi="ar-SA"/>
        </w:rPr>
        <w:t>in a class proceeding</w:t>
      </w:r>
      <w:r>
        <w:rPr>
          <w:rFonts w:ascii="arial" w:eastAsia="arial" w:hAnsi="arial" w:cs="arial"/>
          <w:color w:val="000000"/>
          <w:sz w:val="20"/>
          <w:lang w:val="en-US" w:eastAsia="en-US" w:bidi="ar-SA"/>
        </w:rPr>
        <w:t xml:space="preserve"> as distinct from, for example, an action where all beneficiaries who seek to unwind the trust join as co-plaintiffs.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 agree with the submission of the defendant solicitors. This point harkens back to </w:t>
      </w:r>
      <w:r>
        <w:rPr>
          <w:rFonts w:ascii="arial" w:eastAsia="arial" w:hAnsi="arial" w:cs="arial"/>
          <w:i/>
          <w:color w:val="000000"/>
          <w:sz w:val="20"/>
          <w:lang w:val="en-US" w:eastAsia="en-US" w:bidi="ar-SA"/>
        </w:rPr>
        <w:t>Paron</w:t>
      </w:r>
      <w:r>
        <w:rPr>
          <w:rFonts w:ascii="arial" w:eastAsia="arial" w:hAnsi="arial" w:cs="arial"/>
          <w:color w:val="000000"/>
          <w:sz w:val="20"/>
          <w:lang w:val="en-US" w:eastAsia="en-US" w:bidi="ar-SA"/>
        </w:rPr>
        <w:t>, discussed at para. 51 of these reasons. There is an inherent unfairness both to: (1) the members of the proposed class who are content with the present business structure, and (2) those beneficiaries who are not members of the proposed class, who are content with the present business structure but who are not involved as parties to the action. This is not an idle concern, as shown by the fact that the Elders' Council did not want the Trust unwound, and 11 of them are Trust beneficiaries.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Section 4(2)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lists five factors to be considered by the Court (in addition to "all relevant matters") in weighing the preferable procedure for the fair and efficient resolution of the common issues. While I have considered all of these factors, I will refer to just the factor listed at s. 4(2)(a): whether questions of fact or law common to the members of the class predominate over any questions affecting only individual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discussed the predominance of individual issues in the previous section. In addition to those individual issues already discussed, which arise from the plaintiffs' claims, there are individual issues raised by the defendants. The defendant solicitors plead defences of knowledge and consent, acquiescence and/or ratification, which depend on individual actions and interactions. These reinforce my conclusion that individual issues predominate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For these reasons I conclude that a class proceeding is not the preferable procedure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Appropriate Representatives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As noted earlier, the defendants submit that the proposed representative plaintiffs are not suitable because they participated in a number of the acts complained of. The defendants say that the proposed representative plaintiffs are therefore in a position of conflict with members of the proposed class; furthermore, the Edzerza defendants say they will claim contribution and indemnity from the plaintiffs in the event this matter is certified as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response, the plaintiffs say they were not actively involved and instead "were on the sidelines as the defendants pushed ahead with the Trust 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Edzerza defendants emphasised the following participation of Jerry Asp and George Asp in the creation and implementation of the Trust business structure:</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the 2006 family reunion George Asp and Allen Edzerza were given the task of seeking legal advice about the formation of the business. Advice about possible structures was given by the defendant solicitors to George Asp and Allen Edzerza;</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trust structure was discussed at a November 2007 meeting of the Etzenlee family;</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trust structure as eventually implemented was presented at a July 2008 Etzenlee family reunion. Jerry Asp was one of the attendees. The family members present at this meeting accepted the trust structure as presented, nominated the five Appointors of the Bear Dog Trust and nominated Allen Edzerza as trustee;</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part of the December 2008 reorganisation Jerry Asp became president and a director of Bear Dog Enterprises, and George Asp became president and a director of Bear Dog Holdings;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director of Bear Dog Enterprises, Jerry Asp signed various directors' resolutions giving effect to the reorganisation, including:</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accepting and approving the resignations of Allen Edzerza as president and chief executive officer and Beverly Bapty as treasurer and secretary of Bear Dog Enterprises;</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appointing himself as president, Peter Wright as vice-president and Rebecca Edzerza as secretary and treasurer of Bear Dog Enterprises;</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authorizing the purchase of shares of Bear Dog Enterprises from the original shareholders for a total purchase price of $4;</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approving the allotment and issuance of 100 Class A shares and 100 Class B shares of Bear Dog Enterprises to Bear Dog Holdings for a total purchase price of $2;</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acknowledging the receipt of $1,000 on behalf of his granddaughter as a contribution to the capital of Bear Dog Enterprises; and</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authorising any one director or officer of Bear Dog Enterprises to execute the certificate of contribution to be issued by Bear Dog Enterprises in respect of his granddaughter's contribution and the recommendation to be made to the trustee of the Bear Dog Trust to add his granddaughter to the list of eligible capital beneficiaries and eligible income beneficiaries of the Bear Dog Trust;</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September 2008 George Asp, as an Appointor under the Trust, signed an acknowledgement that he had reviewed the terms of the Deed of Trust and acknowledged and accepted his role as an Appointor of the Trust;</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George Asp:</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consented to his appointment as director and president of Bear Dog Holdings;</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director of Bear Dog Holdings he resolved to accept Allen Edzerza's resignation as president and secretary of Bear Dog Holdings and appoint himself as president of Bear Dog Holdings; and</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authorized signing authority he certified a notice of change of directors of Bear Dog Holdings.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Finally, the Edzerza defendants say that George Asp also participated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December 1, 2007 until May, 2010 George [Asp] participated in the corporate governance of Holdings as an officer and director, including by sending an e-mail dated August 25, 2009 with a proposed memo from the directors of BDH to the Bear Dog Trustee and Appointors proposing reorganization of BDE and BDH for which the blessing of the Trustee and the Appointors was sought and an e-mail of December 4, 2009 to the directors of BDH proposing consent resolutions with respect to the finances of BDH.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These activities were not disputed by the plaintiffs. As noted earlier, they maintain they were on the sidelines and, in any event, these matters are not material for the purposes of certification but are more appropriately addressed at a later stage in the proceedings when the merits are being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am satisfied that it is appropriate to consider the role of the plaintiffs in both the business reorganisation and the business itself because it is necessary to do so in order to assess the defendants' claims that the plaintiffs will be in a conflict of interest with members of the proposed class should this matter be certified.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plaintiffs' submission is, in effect, that they played no material part in the formation of the business structure about which they now complain. The Edzerza defendants challenge this assertion. Why, they ask, is Rebecca Edzerza named as a defendant, when Jerry Asp is not, when both of them became officers and directors of Bear Dog Enterprises at the same time (Jerry Asp as president, Rebecca Edzerza as secretary and treasurer) and Ms. Edzerza left the company before Mr. Asp did? Similarly, Stacey Edzerza Fox (daughter of Allen Edzerza) is a named defendant, having been appointed a director of Bear Dog Holdings, yet the other two directors, George Asp and James Barry Mason, are not. I agree that this inconsistent approach seems to highlight the plaintiffs' failure to recognise their own complicity (if that is the right word) in the events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From my consideration of all of the facts surrounding this issue I conclude that the proposed representative plaintiffs are not appropriate. Without deciding the ultimate issue of the extent of the plaintiffs' involvement in the formation of the very business structure about which they now complain, it is nonetheless clear that there is a reasonable foundation for the defendants' argument that the plaintiffs share responsibility for that business structure. Whether that argument will succeed remains to be seen, but what is clear is that the conduct of the plaintiffs will be put in issue. This alone makes them unsuitable as representative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Edzerza defendants also submit that the proposed representative plaintiffs are not suitable because they omitted important and material facts in their affidavits, despite making a "materiality declaration" pursuant to s. 5(5)(b)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That provision reads:</w:t>
      </w:r>
      <w:r>
        <w:rPr>
          <w:rFonts w:ascii="arial" w:eastAsia="arial" w:hAnsi="arial" w:cs="arial"/>
          <w:sz w:val="20"/>
          <w:lang w:val="en-US" w:eastAsia="en-US" w:bidi="ar-SA"/>
        </w:rPr>
        <w:cr/>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filing an affidavit under subsection (2) or (4) must</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in the affidavit the material facts on which the person intends to rely at the hearing of the application,</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swear that the person knows of no fact material to the application that has not been disclosed in the person's affidavit or in any affidavits previously filed in the proceeding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agree that the plaintiffs omitted a number of material facts in their affidavits, particularly those relating to their involvement in the very events complained of and their involvement in establishing and running a business that competes with Bear Dog Enterprises. Although the plaintiffs argue that the materiality of these facts only became apparent after they received the defendants' responding materials, I find that explanation unconvincing.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However, in view of my earlier conclusion on suitability I consider it unnecessary to decide whether this non-disclosure, in and of itself, disentitles the plaintiffs from acting as representative plaintiffs.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Litigation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defendants criticise the litigation plan of the plaintiffs, saying that it is sparse and lacking in detail. This, in itself, is not a bar to certification in the circumstances of this case because any shortcomings in the litigation plan could be rectified later in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application to certify this action as a class proceeding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Section 37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provides that costs are not to be awarded to a party to an application for certification except in specified and exceptional circumstances. I am not inclined to award costs, but if any party wishes to submit otherwise they may make arrangements for a further hearing provided they do so within 21 days from the date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M.B. BLOK J.</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Corrected Judgment: The text of this judgment was corrected at paragraph 66 on June 23, 2014.</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 A</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Proposed Common Issues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[Revisions made at the hearing are in italics]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Securities Issues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 Did the Defendants, or any of them, distribute securities in contravention of the securities laws of British Columbia or other applicable jurisdictions when they distributed the "Certificates of Contribution" to Class Members without being registered and without filing a prospectus?</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(a) is yes, are the Class Members entitled to damages?</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(a) is yes, are the Class Members entitled to declaratory relief?</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Defendants, or any of them, </w:t>
      </w:r>
      <w:r>
        <w:rPr>
          <w:rFonts w:ascii="arial" w:eastAsia="arial" w:hAnsi="arial" w:cs="arial"/>
          <w:i/>
          <w:color w:val="000000"/>
          <w:sz w:val="20"/>
          <w:lang w:val="en-US" w:eastAsia="en-US" w:bidi="ar-SA"/>
        </w:rPr>
        <w:t>solicit investments in contravention of</w:t>
      </w:r>
      <w:r>
        <w:rPr>
          <w:rFonts w:ascii="arial" w:eastAsia="arial" w:hAnsi="arial" w:cs="arial"/>
          <w:color w:val="000000"/>
          <w:sz w:val="20"/>
          <w:lang w:val="en-US" w:eastAsia="en-US" w:bidi="ar-SA"/>
        </w:rPr>
        <w:t xml:space="preserve"> the securities laws of British Columbia or other applicable jurisdictions when they facilitated, authorized, permitted, or acquiesced in the [illegal*] distribution of securities to Class Members?</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(b) is yes, are the Class Members entitled to damages?</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(b) is yes, are the Class Members entitled to declaratory relief?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Representations to and Breaches of Duty to the Class Members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(bb) Were the Plaintiffs promised a share [by the Edzerza defendants, or any of them**] in the equity of Bear Dog Enterprises in exchange for providing $1,000?</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Defendant Allen Edzerza engage in negligent misrepresentation by representing to the members of the Plaintiff Class that the funds received by Allen Edzerza would be used to secure a share in Bear Dog Enterprises for each of the Class Members with all of the rights of a shareholder under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57</w:t>
      </w:r>
      <w:r>
        <w:rPr>
          <w:rFonts w:ascii="arial" w:eastAsia="arial" w:hAnsi="arial" w:cs="arial"/>
          <w:color w:val="000000"/>
          <w:sz w:val="20"/>
          <w:lang w:val="en-US" w:eastAsia="en-US" w:bidi="ar-SA"/>
        </w:rPr>
        <w:t>, and to secure the Class Members' equal participation and profit-sharing in Bear Dog Enterprises as shareholders?</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was it an implied term of the Etzenlee Family Business Agreement as defined in paragraph 14 of the Further Amended Notice of Civil Claim, that Allen Edzerza would exercise reasonable care, skill and diligence in his dealings on behalf of the Class Members?</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(d) is yes, do the negligent representations as set out in paragraph (c) above constitute a breach of the Agreement between the Class Members and Allen Edzerza, Bear Dog Enterprises or each of them?</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Allen Edzerza, Bob Edzerza and Beverly Bapty (the "Edzerza Defendants") owe a duty of care to the Class Members to exercise all reasonable care, skill, diligence and competence in implementing the Etzenlee Family Business Agreement on behalf of the Class Members?</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(e) is yes, did the Edzerza Defendants breach the duty of care owed to the Class Members by failing to exercise the standard of care required of a reasonable and careful business person in the circumstances of securing the capitalization and legal structure necessary to implement the business contemplated by the Etzenlee Family Business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Class Members' Rights as Shareholders of Bear Dog Enterprises</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Upon receipt by the Defendants (or any of them) save Bear Dog Trust of the $1,000 contributions of the Class Members, were the Edzerza Defendants each the Class Members' trustee, agent or proxy vis-à-vis the Class Members' interests as shareholders in Bear Dog Enterprises until valid share certificates in Bear Dog Enterprises were issued to the Class Members.</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(f) is yes, were the actions of the Edzerza Defendants unlawful when they voted the shares of Bear Dog Enterprises for their own benefit to elect a Board of Directors of Bear Dog Enterprises and purport to sell the shares of Bear Dog Enterprises to Bear Dog Holdings?</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(f)(i) is yes, are the Class Members entitled to have this Honourable Court set aside or invalidate all actions:</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purportedly taken by the Edzerza Defendants as shareholders of Bear Dog Enterprises; and</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actions of any Board of Directors of Bear Dog Enterprises purportedly elected by the Edzerza Defendants as shareholders?</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Upon receipt by the Defendants (or any of them) save Bear Dog Trust of the $1,000 contributions of the Class Members, were all Class Members holders of an uncertificated share of Bear Dog Enterprises as recognized by section 107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answer to (g) is yes, are the Class Members entitled to validation of their share certificates pursuant to section 68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(f) is yes, are the powers of the directors and officers of Bear Dog Enterprises and Bear Dog Holdings, the Defendants Stephen Leonard Bapty, Allen Edzerza, Bob Edzerza, Stacey Edzerza Fox, Peter Wright and Rebecca Louise Edzerza, being exercised in an oppressive manner against the Plaintiff Class?</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do the Edzerza Defendants' actions constitute a breach of the contract between the Class Members and the Edzerza Defendants?</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or alternatively, did the Edzerza Defendants owe a fiduciary duty to the Class Members and did the Edzerza Defendants breach that duty?</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Have the Defendant Bear Dog Enterprises Ltd. and its officers and directors, the Defendants Stephen Leonard Bapty, Allen Edzerza, Bob Edzerza, Stacey Edzerza Fox, and Rebecca Louise Edzerza, conducted the affairs of the company in contravention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Securities Transfer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2007, c. 10</w:t>
      </w:r>
      <w:r>
        <w:rPr>
          <w:rFonts w:ascii="arial" w:eastAsia="arial" w:hAnsi="arial" w:cs="arial"/>
          <w:color w:val="000000"/>
          <w:sz w:val="20"/>
          <w:lang w:val="en-US" w:eastAsia="en-US" w:bidi="ar-SA"/>
        </w:rPr>
        <w:t xml:space="preserve">, and/or the </w:t>
      </w:r>
      <w:r>
        <w:rPr>
          <w:rFonts w:ascii="arial" w:eastAsia="arial" w:hAnsi="arial" w:cs="arial"/>
          <w:i/>
          <w:color w:val="000000"/>
          <w:sz w:val="20"/>
          <w:lang w:val="en-US" w:eastAsia="en-US" w:bidi="ar-SA"/>
        </w:rPr>
        <w:t>Securities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418</w:t>
      </w:r>
      <w:r>
        <w:rPr>
          <w:rFonts w:ascii="arial" w:eastAsia="arial" w:hAnsi="arial" w:cs="arial"/>
          <w:color w:val="000000"/>
          <w:sz w:val="20"/>
          <w:lang w:val="en-US" w:eastAsia="en-US" w:bidi="ar-SA"/>
        </w:rPr>
        <w:t>?</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Allen Edzerza committed a breach of trust by investing, selling or dealing with property belonging to the Class Members?</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Were the Defendants Boughton Law Corporation, [Borden Ladner Gervais LLP],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Peter A. Wong and Merle C. Alexander (the "Solicitor Defendants") in a solicitor and client relationship with the Class Members?</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(j) is yes, did the Solicitor Defendants breach their fiduciary duty owed to all Class Members by preferring the interests of Allen Edzerza and/or the Edzerza Defendants to the interests of the Class Members?</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(j) is yes, did the Solicitor Defendants breach their fiduciary duty owed to all Class Members by failing to make full disclosure of all material information in order that the Class Members may properly make decisions in respect of the implementation of the Etzenlee Family Business Agreement?</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Solicitor Defendants owe a duty to the Class Members to exercise all reasonable care, skill, diligence and competence as lawyers in advising on and implementing the Etzenlee Family Business Agreement?</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(k) is yes, did the Solicitor Defendants fail to meet the standard of care of a reasonably prudent solicitor?</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Have the Edzerza Defendants, together with the Solicitor Defendants, caused damage and loss to the Class Members?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This was in the original version of the proposed common issues, but appears to be inappropriate given the subsequent amendment.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This was not in the initial amended version but was added later.</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4"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5"/>
          <w:headerReference w:type="default" r:id="rId36"/>
          <w:footerReference w:type="even" r:id="rId37"/>
          <w:footerReference w:type="default" r:id="rId38"/>
          <w:headerReference w:type="first" r:id="rId39"/>
          <w:footerReference w:type="first" r:id="rId4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1" w:history="1">
        <w:r>
          <w:rPr>
            <w:rFonts w:ascii="arial" w:eastAsia="arial" w:hAnsi="arial" w:cs="arial"/>
            <w:b/>
            <w:bCs/>
            <w:i/>
            <w:color w:val="0077CC"/>
            <w:kern w:val="32"/>
            <w:sz w:val="28"/>
            <w:szCs w:val="32"/>
            <w:u w:val="single"/>
            <w:shd w:val="clear" w:color="auto" w:fill="FFFFFF"/>
            <w:lang w:val="en-US" w:eastAsia="en-US" w:bidi="ar-SA"/>
          </w:rPr>
          <w:t>Berenjian v. Primus, [2013] B.C.J. No. 194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J.W. Williams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20-24,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5,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M072679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172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Adel Berenjian, Plaintiff Andrew Primus and John Paul Primus,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5"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 w:name="Keywords_1"/>
      <w:bookmarkEnd w:id="14"/>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Pedestrians — Motor vehicles — Pedestrians — Rules of the road — Action for injuries suffered in a 2006 motor vehicle accident allowed in part — Plaintiff was struck on a crosswalk while the defendant was making a right hand turn on a red light — Defendant was solely liable for the accident by failing to ensure that the right turn could made in safety — Plaintiff was properly entitled to cross in front of the defendant's car.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Special damages — Expenses and expenditures — Therapy or rehabilitation — Non-pecuniary damages — Pain and suffering — Action for injuries suffered in a 2006 motor vehicle accident allowed in part — Plaintiff was struck on a crosswalk while the defendant was making a right hand turn on a red light — Plaintiff awarded $5,000 for non-pecuniary damages and $500 in special damages for part of chiropractor costs incurred — There was some soft tissue injury, bruising and discomfort, but it was fairly minor — Court did not accept severity of injuries as alleged by plaintiff.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 w:name="Case Summary_1"/>
            <w:bookmarkEnd w:id="1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injuries suffered in a 2006 motor vehicle accident. The plaintiff was struck on a crosswalk while the defendant was making a right hand turn on a red light. The plaintiff claimed that he sustained injuries to his left arm and left knee as well as to his neck and back. The defendant argued that the plaintiff was contributorily negligent in the occurrence of the collision and that he had not established a basis that would entitle him to receive any damages other than a most minimal award. The plaintiff missed one day of work as a consequence of the injury. He said that he experienced substantial difficulty in performing his work for three weeks, and that his ability to do household chores was adversely impacted for a considerable time. He also alleged his ability to jog and exercise was severely impacted. He claimed the primary symptoms resolved over 18 months, and there was reducing intermittent low back discomfort since that time. In his submission, an appropriate award for non-pecuniary damages was $30,000.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 w:name="Holdings of Court_1"/>
            <w:bookmarkEnd w:id="16"/>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was solely liable for the accident. It was more likely than not that a walk signal was displayed when the plaintiff stepped off the sidewalk and into the crosswalk. The plaintiff was inside the marked crosswalk area at the time contact was made by the defendant's automobile. The defendant failed to ensure that his turn could be made safely by turning his attention to traffic coming from the left rather than to ensure that there was no pedestrian in the crosswalk. The plaintiff was properly entitled to cross in front of the defendant's car. The court was concerned with the veracity of the plaintiff's claims regarding the extent, severity and effects of the injuries he suffered. There was no notable objective evidence to support his assertions of the quite extensive nature of the consequences. There was some soft tissue injury, bruising and discomfort, but it was fairly minor in that he was able to resume his running within a month. While there might have been some lingering residual discomfort, it was of a fairly modest magnitude. The plaintiff was awarded non-pecuniary damages of $4,000 and $500 for part of the chiropractor costs incurred. The court did not accept that all of the costs incurred were required as a result of the injuries suffered in the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 w:name="Legislation Cited_1"/>
      <w:bookmarkEnd w:id="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6"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42" w:history="1">
        <w:r>
          <w:rPr>
            <w:rFonts w:ascii="arial" w:eastAsia="arial" w:hAnsi="arial" w:cs="arial"/>
            <w:i/>
            <w:color w:val="0077CC"/>
            <w:sz w:val="20"/>
            <w:u w:val="single"/>
            <w:shd w:val="clear" w:color="auto" w:fill="FFFFFF"/>
            <w:lang w:val="en-US" w:eastAsia="en-US" w:bidi="ar-SA"/>
          </w:rPr>
          <w:t>RSBC 1996, CHAPTER 318, s. 129</w:t>
        </w:r>
      </w:hyperlink>
      <w:r>
        <w:rPr>
          <w:rFonts w:ascii="arial" w:eastAsia="arial" w:hAnsi="arial" w:cs="arial"/>
          <w:color w:val="000000"/>
          <w:sz w:val="20"/>
          <w:lang w:val="en-US" w:eastAsia="en-US" w:bidi="ar-SA"/>
        </w:rPr>
        <w:t>, s. 132, s. 144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 w:name="Counsel_1"/>
      <w:bookmarkEnd w:id="1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7" style="position:absolute;z-index:2517626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D.J. Sinnott.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T.H. Pettit.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 w:name="Judgment_1"/>
      <w:bookmarkEnd w:id="19"/>
      <w:r>
        <w:pict>
          <v:line id="_x0000_s1038" style="position:absolute;z-index:2518138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 w:name="J.W. WILLIAMS J."/>
            <w:bookmarkEnd w:id="20"/>
            <w:r>
              <w:rPr>
                <w:rFonts w:ascii="arial" w:eastAsia="arial" w:hAnsi="arial" w:cs="arial"/>
                <w:b/>
                <w:color w:val="000000"/>
                <w:sz w:val="30"/>
                <w:lang w:val="en-US" w:eastAsia="en-US" w:bidi="ar-SA"/>
              </w:rPr>
              <w:t>J.W. WILLIAMS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Mr. Berenjian brings this action to recover damages from the driver of an automobile which struck him and, he says, injured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time of trial, Mr. Berenjian was 54 years of age; he was 48 years old when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or shortly after, 6:00 p.m. on April 5, 2006, the plaintiff was on foot and travelling northbound on the sidewalk adjacent to Taylor Way in West Vancouver. He arrived at the intersection where Keith Road intersects with Taylor Way. He began to cross Keith Road, walking in the marked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An automobile owned by the defendant John Paul Primus and driven by his son Andrew Primus was at the corner. Andrew Primus was in the process of turning right from Keith Road onto Taylor Way, with the intention of heading southbound. The light was green for traffic travelling northbound and southbound on Taylor Way and was red for traffic on Keith Road. Nevertheless, Andrew Primus was lawfully permitted to turn right on the red light, so long as that turn could be made in safety. In fact, in the matter at bar, it is apparent that Andrew Primus moved his vehicle forward, into that right turn, at a time when the plaintiff was in front of the vehicle. Contact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Following the collision, Andrew Primus pulled his vehicle over and spoke with the plaintiff. The plaintiff pulled himself together and after some time had passed was transported to his nearby home by two persons who were witnesses to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claims that he sustained injuries to his left arm and left knee as well as to his neck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He brings this action to recover damages for the injuries and the effect they had upon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says that he was lawfully in the intersection, crossing on a light displaying a walk sign, when he was struck. He says that he sustained a number of injuries; some of those resolved quickly, others took some considerable time to resolve. He says that those injuries caused him pain and suffering, and interfered with a number of his ordinary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He seeks to recover damages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concede that the automobile struck the plaintiff in the course of negotiating the right turn. The defendants challenges the proposition that the plaintiff was in the intersection on a walk signal, and says as well that the plaintiff was careless in the manner in which he attempted to cross the street. The defendants also say that the extent of the injuries was minor, so minor as to amount to virtually nothing. He disputes the plaintiff's contention that the injuries were of any moment or that they actually caused him any pain and suffering or impacted upon his ordinary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short, the defendants say that the plaintiff was contributorily negligent in the occurrence of the collision and that he has not established a basis that would entitle him to receive any damages other than a most minimal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 were three witnesses at trial able to testify with respect to the manner in which the collision occurred: the plaintiff, the defendant Andrew Primus, and a person who was in another automobile at the scene and who observed the events, Ms. Williams.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has testified about his injuries; he also adduces in support the evidence of two medical professionals, a general practitioner and a chiropractor who treated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advancing their position, the defendants rely upon their own evidence as well as that of an ICBC adjuster who had dealings with the plaintiff after the event, and the testimony of Dr. Leith, an orthopaedic surgeon. The defendants have also tendered video evidence of certain activities of the plaintiff in the time period following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propose to deal with the matter under three separate headings:</w:t>
      </w:r>
      <w:r>
        <w:rPr>
          <w:rFonts w:ascii="arial" w:eastAsia="arial" w:hAnsi="arial" w:cs="arial"/>
          <w:sz w:val="20"/>
          <w:lang w:val="en-US" w:eastAsia="en-US" w:bidi="ar-SA"/>
        </w:rPr>
        <w:cr/>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collision and liability;</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injuries and consequences;</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Collision and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evidence establishes to my satisfaction that, at the time the automobile struck the plaintiff, he (the plaintiff) was in the crosswalk at the intersection. It is also beyond dispute that the light for northbound and southbound vehicular traffic on Taylor Way was 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was controversy at trial as to whether the plaintiff stepped into the intersection when he had the benefit of a walk light for his crossing, or whether the light was stale and a "don't walk" signal was being displayed.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only direct evidence on that point comes from the plaintiff. He says that when he stepped off the sidewalk, there was a walk signal displayed. Based upon some concerns I have of the complete accuracy of his description of events at the intersection, including the presence of other vehicles and pedestrians, I am not without some reservations as to the correctness of his description and particularly with respect to the signal. Nevertheless, the other witnesses are not in a position to dispute that there was a walk signal displayed; the most that can be said is that the state of the light at that intersection was probably somewhat stale at the time. I should note that there is no evidence before this Court that would indicate whether the walk signal at the intersection is triggered by the action of a pedestrian wishing to cross the street, or whether the walk signal is displayed as part of the green light cycle for north-south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circumstances, recognizing that the standard to be met is one of a balance of probabilities, I conclude it is more likely than not that a walk signal was displayed when the plaintiff stepped off the sidewalk and into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conclude as well that the plaintiff was inside the marked crosswalk area at the time contact was made by the defendants' automobile.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defence also submits that there is reason to conclude that the plaintiff was not paying sufficient attention to other traffic at the time he was crossing Keith Road. That contention is based primarily upon video evidence which has been tendered, showing the plaintiff running from his place of work in downtown Vancouver to his residence in West Vancouver. The defendants note that he appears to ordinarily run with some sort of a jacket hood on his head and that compromises his ability to see all his surroundings, and, as well, that he appears in the videos to have a tendency to cross roads even though no walk signal is displayed.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have taken those factors into consideration, but cannot find a basis to extrapolate from those rather general suggestions to a conclusion that the plaintiff was not taking sufficient care as he crossed the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core submission advanced by the defendants with respect to liability, as set out in their submissions,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Berenjian breached the standard of care of a reasonable person and did not pay sufficient attention to see the danger and crossed without adequately looking. Certainly, he admits failing to look to his left but that appears as more as [sic] an example of general carelessness on the plaintiff's part than the relevant breach in the case at hand: here, the Primus vehicle was directly ahead of the plaintiff and bright yellow to boot. It was there to be seen but the plaintiff failed to see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proceeded presumably at a fast walk or slow jog in front of the defendant's vehicle and, only too late, noticed it. He took some evasive steps, but, by this time, it was too late. He had already put himself in front of a vehicle that was moving forward with a driver not looking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plaintiff's position is that he was lawfully in an intersection and that the defendant driver was turning right in the face of a red light. He contends that a driver in such a situation has a clear statutory duty not to move into his turn until it can be done in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defendants agree that the driver has a greater duty of care than the pedestrian, but urge the Court to find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something in the order of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my view, the defendants' position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relevant statutory provisions from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Pedestrian controls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132 (1) When the word "walk" or an outline of a walking person is exhibited at an intersection by a pedestrian traffic control signal, a pedestrian may proceed across the roadway in the direction of the signal in a marked or unmarked crosswalk and has the right of way over all vehicles in the intersection or any adjacent crosswalk.</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word "walk" or an outline of a walking person is exhibited at a place other than an intersection by a pedestrian traffic control signal, a pedestrian may proceed across the roadway in the direction of the signal and has the right of way over all vehicles.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word "wait", the words "don't walk" or an outline of a raised hand are exhibited at an intersection or at a place other than an intersection by a pedestrian traffic control signal,</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must not enter the roadway, and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proceeding across the roadway and facing the word "wait", the words "don't walk", or an outline of a raised hand exhibited after he or she entered the roadway</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proceed to the sidewalk as quickly as possible, and</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right of way for that purpose over all vehicles.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Red light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129 (1) Subject to subsection (2), when a red light alone is exhibited at an intersection by a traffic control signal, the driver of a vehicle approaching the intersection and facing the red light must cause it to stop before entering the marked crosswalk on the near side of the intersection, or if there is no marked crosswalk, before entering the intersection, and subject to the provisions of subsection (3), must not cause the vehicle to proceed until a traffic control signal instructs the driver that he or she is permitted to do so.</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bus approaching an intersection and facing a red light and a prescribed white rectangular indicator may cause the bus to proceed through the intersection.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and except when a right turn permitted by this subsection is prohibited by a sign at an intersection, the driver of a vehicle facing the red light, and which in obedience to it is stopped as closely as practicable to a marked crosswalk on the near side of the intersection, or if there is no marked crosswalk, as closely as practicable to the intersection, may cause the vehicle to make a right turn, but the driver must yield the right of way to all pedestrians and vehicles lawfully proceeding as directed by the signal at the intersection.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Careless driving prohibited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144 (1) A person must not drive a motor vehicle on a highway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have found on the appropriate standard of proof that the plaintiff was lawfully in the intersection, crossing as a pedestrian. I am also quite satisfied that the defendant Andrew Primus was principally concerned with being able to turn from Keith Road onto Taylor Way in safety, and that the focus of his attention was the state of the traffic travelling southbound on Taylor Way. As a result, he was not sufficiently aware of what was happening immediately in front of his car and to his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While it is understandable that he would be concerned with the state of the traffic coming from the left, the fact remains that he was obliged to ensure that there was no pedestrian in the crosswalk, and he failed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 have been referred to the decision of Grist J. in </w:t>
      </w:r>
      <w:r>
        <w:rPr>
          <w:rFonts w:ascii="arial" w:eastAsia="arial" w:hAnsi="arial" w:cs="arial"/>
          <w:i/>
          <w:color w:val="000000"/>
          <w:sz w:val="20"/>
          <w:lang w:val="en-US" w:eastAsia="en-US" w:bidi="ar-SA"/>
        </w:rPr>
        <w:t>MacKnight v. Nast</w:t>
      </w:r>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2005 BCSC 469</w:t>
        </w:r>
      </w:hyperlink>
      <w:r>
        <w:rPr>
          <w:rFonts w:ascii="arial" w:eastAsia="arial" w:hAnsi="arial" w:cs="arial"/>
          <w:color w:val="000000"/>
          <w:sz w:val="20"/>
          <w:lang w:val="en-US" w:eastAsia="en-US" w:bidi="ar-SA"/>
        </w:rPr>
        <w:t>. That case which involved the plaintiff, a pedestrian, being struck by a bicycle, while she was in a crosswalk, is factually dissimilar.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There, the plaintiff was in a marked crosswalk and had actuated the traffic signals. The automobile traffic had come to a stop. The defendant was riding his bicycle on the right-hand side of the road; he passed the stopped cars and rode into the crosswalk at speed. He saw the plaintiff at the last minute, but was unable to stop and struck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Court was invited to find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basis that, even though the plaintiff was lawfully crossing the street, she was under an obligation to take reasonable care for her own safety, notwithstanding the right of way, and so some measure of responsibility should be allocated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Grist J. proceeded from the proposition that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is based on an obligation to take reasonable care for one's own safety, depends on the foreseeability of the risk presented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those circumstances, where the plaintiff was in a marked crosswalk, with the traffic control signals functioning and the automobiles having stopped, he concluded it was not reasonably foreseeable that the defendant would disregard the signal and proceed at a significant rate of speed in the space between three stopped vehicles and the curb. To find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"stretch the obligation of reasonable foresight too far".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the present case, it is my view that the principle applies in a similar way. The plaintiff was crossing the street, in a crosswalk and with a walk signal being displayed. The defendants' vehicle was stopped and facing a red light. In those circumstances, the plaintiff was properly entitled to cross in front of the car. I do not accept that a pedestrian in such a situation should be expected to reasonably foresee that the driver of the vehicle will make his turn without taking proper care to ensure he can do so in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the result, I conclude that the defendant Andrew Primus is liable for the collision and that there is no basis to find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Plaintiff's Injuries and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says that as the defendants' automobile moved forward and toward him, he held out his arm to catch the driver's attention. Nevertheless, the automobile struck him on the left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am satisfied that the vehicle was not moving at a high rate of speed when the contact occurred. It would appear that Andrew Primus had been inching forward as he waited for his opportunity to turn right. He evidently identified what he thought to be an appropriate break in the traffic and began to move into his right-hand turn. He testified that he was just in the process of releasing the clutch at about the time the contact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describes the point of contact as his left knee and leg and his left hand. He says that he was knocked partially off of his feet but managed to scramble up. He also says that he subsequently experienced substantial pain in his neck, accompanied by headache, and in his low back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He attended upon his family doctor the day following and then saw the doctor again for the injuries on one further occasion, that is, on April 10, 2006. On the occasion of the first visit, the doctor prescribed a semi-narcotic analgesic for pain relief. He also recommended that the plaintiff attend physiotherapy and suggested that an over-the-counter pain medication as well as icing would be appropriate for the treatment of ongoing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made two attendances on a physiotherapist; there are no records of that treatment or outcome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addition, the plaintiff began a course of treatment with a chiropractor, Dr. Wright. He first saw her on May 27, 2006 and then subsequently on 17 separate subsequent occasions. Initially, the visits were quite frequent; in the first two months, he saw Dr. Wright nine different times. The frequency of the visits diminished over time. His last attendance was January 13 of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plaintiff's description of the injuries and their duration and effect is as follows: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Left knee: he says the knee was bruised; he treated the injury with ice and the pain was resolved within one week.</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left arm: he says for the first five to seven days, he was unable to lift his hand over his shoulder. That situation improved with the chiropractic treatment and by June of 2007, it was substantially resolved. There was lingering discomfort through the end of the year.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Neck: the plaintiff says that he had significant neck discomfort for the first six months; it largely resolved within 12 months of the incident, and was completely cleared up 18 months after the accident. His headaches had resolved within six to eight months.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Low back: the plaintiff says that his back was 75-80% recovered by the summer of 2007. He also says that recovery was virtually complete following that, so long as he maintained an exercise program. He described lingering discomfort when he failed to be 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terms of the effect upon his everyday life, the plaintiff missed one day of work as a consequence of the injury. He said that he experienced substantial difficulty in performing his work (tailoring of clothing) for a period of approximately three weeks, and that his ability to do household chores was adversely impacted for a considerable time. He says it took a year for him to get back to normal in that regard - cooking, cleaning, and yard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He also claims that the injury caused him considerable difficulty because it interfered with his exercise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That has turned out to be a matter of some real contention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It is clear that the plaintiff is substantially dedicated to exercise and fitness. Indeed, at the time of the accident, he was in the course of jogging from his place of work in downtown Vancouver to his residence in West Vancouver. His usual practice was to run home from work four or five days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says that one of the ways the injuries from the accident have impacted his routine is that, because of them, he was not able to run in the usual fashion, and it was in fact some time later that he was able to get back to his pre-accident routine. His Statement of Claim also contains the assertion that he suffered from anxiety as a result of the accident - presumably that it caused him to be afraid and traumatized by jogging in traffic. In fact, that complaint was not maintained at trial, and, at any rate, the video evidence would tend to refute such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claim with respect to his jogging activities having been seriously impacted is quite robustly disputed by the defendants. They say that in fact, the plaintiff had resumed his practice of running home from work within a short time of the accident. Specifically, both Andrew Primus and his father John Paul Primus describe seeing the plaintiff, dressed similarly to how he had been attired at the time of the accident, at the intersection of Marine Drive and Taylor Way. They described him as "apparently jogging"; at the specific point they saw him, he was awaiting a light to change in order to cross the street, and was jogging on the spot. Additionally, both of these witnesses describe observing the plaintiff running, apparently as he had been prior to the accident, within two or three weeks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There is also the evidence of the ICBC adjuster. She testified about having two meetings with the plaintiff. The first was on April 11, 2006, just eight days after the accident, when she observed that he was moving slowly and with apparent great difficulty, grimacing and mincing. She also met with him about a month later, on May 12. At that time, he told her that he was trying to walk as much as possible, that he was taking painkillers but that he was not running. He said to her: "I don't jog - I power-walk".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part of its examination of the circumstances, the defence retained an investigator to observe the activities of the plaintiff. That resulted in video recordings being made; those were tendered in evidence at this trial. Those recordings show the plaintiff, on three separate occasions, leaving his downtown place of business and travelling on foot to the area of his residence in West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first of those recordings was made on May 4. It shows the plaintiff as he slowly jogged from his place of business to his residence. On the way, he stopped and did some moderate physical exercise including push-ups. The elapsed time from his departure from his place of work to his arrival at his home was approximately 70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Another recording was made the day following, May 5. Again, it shows similar activity; the elapsed time was 70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third observation was conducted on May 11. Again, the plaintiff is shown essentially jogging from his place of work to his home. The additional exercise was done along the way in the same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At trial, the plaintiff was confronted with this evidence, as well as testimony he had provided in the course of an examination for discovery, at a time when he was unaware of the recordings having been made. At the examination, he stated under oath that he had eased into his running gradually following the motor vehicle accident and had started running the entire distance from his place of work to his home approximately five to six months after the motor vehicle accident. He said that, post-accident, the trip would take him in the order of two hours, which he said was about 45-60 minutes longer than it had taken prior to the injury. His evidence at the examination for discovery was that his time to make the trip, prior to the motor vehicle accident, was in the order of 60-70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At trial his testimony was different. He said that before the motor vehicle accident, he had been able to do the run and the en route workout in 40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Quite predictably, the apparent discrepancy between these activities and the manner in which the plaintiff had represented his injuries and their effects was the basis of some real dispute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As I understand the position of the plaintiff, he says that he forced himself to run these distances, even though he was in considerable pain, and even though it required him to use substantial amounts of painkilling medication, because he has a deep-seated commitment to physical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also attempts to address the concern by way of what seems to me to be something of a semantic distinction. He takes the position that he was not jogging but walking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defendants adduced the evidence of an orthopaedic surgeon, Dr. Leith. His testimony was taken on a video deposition and that was tendered at trial. He had rendered three separate opinions, set out in report letters. The first was dated August 28, 2008. To prepare that opinion, Dr. Leith had examined the relevant medical records and performed an in-person assessment of the plaintiff on April 14, 2008. At that time, he was not aware of the video recordings. His conclusion, assuming that the plaintiff was asymptomatic prior to the accident and that, following the accident, he had pain affecting his left knee, left upper extremity and entire back,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nothing to indicate any structural injury to the lumbosacral spine or the vertebra of this area. The ongoing symptoms are primarily musculoligamentous in nature and should resolve with appropriate conservative treatment. Prognosis for recovery is good based on the minor nature of the injuries sustained and the minor nature of the ongoing symptoms. There is no indication that there will be any long-term sequelae from this or requirement for any surgery. From a functional standpoint, Mr. Berenjian continues to work although with some low back symptoms, but this is not a significant problem based on the evaluation. The overall prognosis is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Leith was subsequently provided with copies of the video recordings of the plaintiff jogging on the three occasions described above. In light of that information, he provided a revised opinion, dated July 8, 2008, quite at variance with his original. Specifically, he said there: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observation of this video is quite compelling after re-reviewing my assessment of April 14. 2008 and the opinion of that report. My Medical Legal Report to you opined that Mr. Berenjian had injuries to his left knee, left upper extremity and his entire back and the ongoing issue at the time of my evaluation was with respect to chronic low back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my review of the surveillance video, my original opinion now becomes irrelevant. Being able to jog along the route that Mr. Berenjian was observed jogging without any sign of any pain or discomfort is not consistent with having any low back disability or problems. In particular, running for the length of time that he was running on a regular basis indicates that he did not have any injuries or disability. There is a large proportion of the population that would not be able to perform this length of run over the grades encountered even 100% healthy. Mr. Berenjian reported being injured during my evaluation and not being able to do this sort of activity without difficulty yet it is clear that he was very capable of this type of activity.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therefore conclude that Mr. Berenjian does not have any low back pain or disability as of the dates that he was jogging, which was within one month after the subject motor vehicle accident and at the present time, whatever symptoms he is complaining of are unrelated to the subject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That opinion was further refined by way of a further supplemental opinion rendered on July 28, 2008. In that opinion, Dr. Leith assumed that the plaintiff's running activities had actually commenced on April 7, 2006, not May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That refinement was premised on the proposition that the two defendants had observed the plaintiff running on April 7, in a manner similar to that depicted in the video recordings.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Operating from that assumption, Dr. Leith opined that the plaintiff would not have sustained any formidable injuries as a result of the motor vehicle accident on April 5, 2006, because if he had, he would not have been able to participate in the type of physical activity depicted.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response of the plaintiff, as indicated, is that he was not running in the days immediately following the event. While he accepts that the activities depicted in the video recordings are accurate, he insists that he was doing so only in the face of great pain and with the assistance of pain suppression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support of that position, he relies upon subsequent follow-up medical opinions prepared by the family doctor, Dr. Mamacos, and the chiropractor, Dr. Wright. Both of those persons authored opinions in response to the revised subsequent opinion of Dr. Leith.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Mamacos essentially stands by his original report. He says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video he is seen to be exercising actively - does that mean he was never injured? A lot of healing can evolve in a month. A high pain threshold can motivate someone who loves to exercise to be active. He was seen "jogging" not sprinting.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initial report showed bruising of his knee from the accident. He also had para-vertabral muscle spasm, etc-objective findings.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continue to support my findings that [he] sustained injuries after an MVA on April 16,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Similarly, Dr. Wright stands by her conclusion that the plaintiff sustained real injuries. She notes that it is her practice to advise patients who have been injured in accidents to continue to exercise to control symptoms and facilitate recovery. She says the ability to continue in a regular exercise routine does not preclude the existence of injury. She observes as well that she had the opportunity to examine and treat the plaintiff over the course of seven months, and that she observed objective evidence of injury and concluded his symptoms are the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am concerned with the veracity of the plaintiff's claims regarding the extent, severity and effects of the injuries he suffered. The principal basis upon which the claim rests is his testimony, his description. There is not any notable objective evidence to support his assertions of the quite extensive nature of the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On the other side of the ledger are three significant factors: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Firstly, the evidence of the plaintiff's physical activities in the time following the accident is troubling. The jogging activities in which he was observed to be engaged and which have been proven by the video recordings, within a month of the event, are, in my view, quite strikingly at odds with the description he has provided of the extent of the effects of the injuries.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are as well the observations made by the defendants, even before the video recorded activities. While they are not conclusively proven by photographic evidence, in view of the videos and, noting that both defendants have testified as to observations of the plaintiff having resumed some sort of jogging routine within weeks of the event, I must attribute some credence to their testimony on that matter.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the result, I am driven to conclude that the plaintiff was able to engage in significant physical activity within a month of the accident.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Secondly, I find his evidence with respect to the issue problematic. His testimony at trial is not consistent with what he said at his examination for discovery. Those discrepancies are set out at para. 54 above.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also find that the representations he made to the insurance adjuster are difficult to accept as truthful in light of the video evidence. His explanation at trial, that the discrepancies are more semantic than real, and that he was forcing himself to run, taking medication to be able to keep the pain within the limits of tolerability, is, in the totality of the circumstances, of some dubious believability.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third factor is the nature of the event: the impact was quite minor. While that is not determinative - I accept that low-speed contact can, in some circumstances, result in injuries of real gravity - it is a factor that is entitled to some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the final analysis, I have very serious doubts as to the truth and reliability of the plaintiff's description of the extent of the injuries and their impact upon him. My conclusion is that there was some soft tissue injury - bruising and discomfort - but it was fairly minor in that he was able to resume his running within a month. In view of that finding, while I accept there may have been some lingering residual discomfort, it would be of a fairly modest magnitude.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Similarly, as for his claims that his neck pain continued for 12 to 18 months, that the headaches persisted for six to eight months, and his complaint of low back pain, I find that he has not proven on a balance of probabilities that such injuries resulted in discomfort such as he describes. On the evidence, it was substantially less.</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 says that he suffered soft tissue injury to his neck and back which negatively impacted his life. He says the primary symptoms resolved over 18 months, and there was reducing intermittent low back discomfort since that time. In his submission, an appropriate award for non-pecuniary damages is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support of that submission, he cites four trial decisions of this Court:</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Parihar v. Allan,</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2006 BCSC 1505</w:t>
        </w:r>
      </w:hyperlink>
      <w:r>
        <w:rPr>
          <w:rFonts w:ascii="arial" w:eastAsia="arial" w:hAnsi="arial" w:cs="arial"/>
          <w:color w:val="000000"/>
          <w:sz w:val="20"/>
          <w:lang w:val="en-US" w:eastAsia="en-US" w:bidi="ar-SA"/>
        </w:rPr>
        <w:t>, the plaintiff suffered soft tissue injury to neck and back following two minor collisions; substantial recovery in the first nine months, with intermittent symptoms for an additional six months. At trial, three years post-accident, the plaintiff reported only occasional discomfort with activity. Non-pecuniary damages: $25,000.</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Kahlon v. Prasad</w:t>
      </w:r>
      <w:r>
        <w:rPr>
          <w:rFonts w:ascii="arial" w:eastAsia="arial" w:hAnsi="arial" w:cs="arial"/>
          <w:color w:val="000000"/>
          <w:sz w:val="20"/>
          <w:lang w:val="en-US" w:eastAsia="en-US" w:bidi="ar-SA"/>
        </w:rPr>
        <w:t xml:space="preserve">, </w:t>
      </w:r>
      <w:hyperlink r:id="rId45" w:history="1">
        <w:r>
          <w:rPr>
            <w:rFonts w:ascii="arial" w:eastAsia="arial" w:hAnsi="arial" w:cs="arial"/>
            <w:i/>
            <w:color w:val="0077CC"/>
            <w:sz w:val="20"/>
            <w:u w:val="single"/>
            <w:shd w:val="clear" w:color="auto" w:fill="FFFFFF"/>
            <w:lang w:val="en-US" w:eastAsia="en-US" w:bidi="ar-SA"/>
          </w:rPr>
          <w:t>2006 BCSC 2039</w:t>
        </w:r>
      </w:hyperlink>
      <w:r>
        <w:rPr>
          <w:rFonts w:ascii="arial" w:eastAsia="arial" w:hAnsi="arial" w:cs="arial"/>
          <w:color w:val="000000"/>
          <w:sz w:val="20"/>
          <w:lang w:val="en-US" w:eastAsia="en-US" w:bidi="ar-SA"/>
        </w:rPr>
        <w:t>, the plaintiff sustained soft tissue injuries after a minor collision; no time missed from employment and the symptoms had fully resolved within 14 months. Non-pecuniary damages: $25,000.</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Krause v. Gill,</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2006 BCSC 1459</w:t>
        </w:r>
      </w:hyperlink>
      <w:r>
        <w:rPr>
          <w:rFonts w:ascii="arial" w:eastAsia="arial" w:hAnsi="arial" w:cs="arial"/>
          <w:color w:val="000000"/>
          <w:sz w:val="20"/>
          <w:lang w:val="en-US" w:eastAsia="en-US" w:bidi="ar-SA"/>
        </w:rPr>
        <w:t>, the plaintiff sustained soft tissue injuries to the neck and back; substantial recovery within the first six months and residual pain for an additional 12 months. At trial, three years post-accident, plaintiff reported ongoing residual discomfort. Non-pecuniary damages: $30,000.</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White v. Stonestreet,</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2006 BCSC 801</w:t>
        </w:r>
      </w:hyperlink>
      <w:r>
        <w:rPr>
          <w:rFonts w:ascii="arial" w:eastAsia="arial" w:hAnsi="arial" w:cs="arial"/>
          <w:color w:val="000000"/>
          <w:sz w:val="20"/>
          <w:lang w:val="en-US" w:eastAsia="en-US" w:bidi="ar-SA"/>
        </w:rPr>
        <w:t>, the plaintiff sustained soft tissue injuries to neck, shoulder and back; significant improvement noted in the first six months and all symptoms had largely resolved within an 18 month period, with some continuing residual pain. Non-pecuniary damages: $35,000.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submission of the defendants is that this plaintiff suffered minor soft tissue injuries of very limited duration. The defendants emphasize that the plaintiff is obliged to adduce "convincing evidence" "that his complaints of pain are true reflections of a continuing injury". They say that when the evidence is considered carefully and critically, the plaintiff has not proven more than a mild, transient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defendants make reference to a number of decisions which are characterized as addressing modest awards for modest injuries, with the submission that each of the cases in fact describe injuries more serious than those suffered by Mr. Berenjian:</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Kosko v. Collie,</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[1995] B.C.J. No. 2093</w:t>
        </w:r>
      </w:hyperlink>
      <w:r>
        <w:rPr>
          <w:rFonts w:ascii="arial" w:eastAsia="arial" w:hAnsi="arial" w:cs="arial"/>
          <w:color w:val="000000"/>
          <w:sz w:val="20"/>
          <w:lang w:val="en-US" w:eastAsia="en-US" w:bidi="ar-SA"/>
        </w:rPr>
        <w:t xml:space="preserve"> (19 September 1995), New Westminster C911774 (S.C.), the plaintiff sustained a neck injury, resolved in four months. Non-pecuniary damages: $4,000.</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Cooper v. Torrance,</w:t>
      </w:r>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shd w:val="clear" w:color="auto" w:fill="FFFFFF"/>
            <w:lang w:val="en-US" w:eastAsia="en-US" w:bidi="ar-SA"/>
          </w:rPr>
          <w:t>2003 BCPC 271</w:t>
        </w:r>
      </w:hyperlink>
      <w:r>
        <w:rPr>
          <w:rFonts w:ascii="arial" w:eastAsia="arial" w:hAnsi="arial" w:cs="arial"/>
          <w:color w:val="000000"/>
          <w:sz w:val="20"/>
          <w:lang w:val="en-US" w:eastAsia="en-US" w:bidi="ar-SA"/>
        </w:rPr>
        <w:t>, the plaintiff sustained injuries that were described as being severe for three weeks, moderate discomfort for approximately two months thereafter and some residual symptoms. Non-pecuniary damages: $2,500.</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Gill v. Mansour</w:t>
      </w:r>
      <w:r>
        <w:rPr>
          <w:rFonts w:ascii="arial" w:eastAsia="arial" w:hAnsi="arial" w:cs="arial"/>
          <w:color w:val="000000"/>
          <w:sz w:val="20"/>
          <w:lang w:val="en-US" w:eastAsia="en-US" w:bidi="ar-SA"/>
        </w:rPr>
        <w:t xml:space="preserve">, </w:t>
      </w:r>
      <w:hyperlink r:id="rId50" w:history="1">
        <w:r>
          <w:rPr>
            <w:rFonts w:ascii="arial" w:eastAsia="arial" w:hAnsi="arial" w:cs="arial"/>
            <w:i/>
            <w:color w:val="0077CC"/>
            <w:sz w:val="20"/>
            <w:u w:val="single"/>
            <w:shd w:val="clear" w:color="auto" w:fill="FFFFFF"/>
            <w:lang w:val="en-US" w:eastAsia="en-US" w:bidi="ar-SA"/>
          </w:rPr>
          <w:t>2004 BCSC 1537</w:t>
        </w:r>
      </w:hyperlink>
      <w:r>
        <w:rPr>
          <w:rFonts w:ascii="arial" w:eastAsia="arial" w:hAnsi="arial" w:cs="arial"/>
          <w:color w:val="000000"/>
          <w:sz w:val="20"/>
          <w:lang w:val="en-US" w:eastAsia="en-US" w:bidi="ar-SA"/>
        </w:rPr>
        <w:t>, the plaintiff sustained mild soft tissue injuries which continued for a period of two months and resolved with only minor discomfort after. Non pecuniary damages: $3,000.</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Laboucane v. Paine</w:t>
      </w:r>
      <w:r>
        <w:rPr>
          <w:rFonts w:ascii="arial" w:eastAsia="arial" w:hAnsi="arial" w:cs="arial"/>
          <w:color w:val="000000"/>
          <w:sz w:val="20"/>
          <w:lang w:val="en-US" w:eastAsia="en-US" w:bidi="ar-SA"/>
        </w:rPr>
        <w:t xml:space="preserve">, </w:t>
      </w:r>
      <w:hyperlink r:id="rId51" w:history="1">
        <w:r>
          <w:rPr>
            <w:rFonts w:ascii="arial" w:eastAsia="arial" w:hAnsi="arial" w:cs="arial"/>
            <w:i/>
            <w:color w:val="0077CC"/>
            <w:sz w:val="20"/>
            <w:u w:val="single"/>
            <w:shd w:val="clear" w:color="auto" w:fill="FFFFFF"/>
            <w:lang w:val="en-US" w:eastAsia="en-US" w:bidi="ar-SA"/>
          </w:rPr>
          <w:t>2009 BCPC 86</w:t>
        </w:r>
      </w:hyperlink>
      <w:r>
        <w:rPr>
          <w:rFonts w:ascii="arial" w:eastAsia="arial" w:hAnsi="arial" w:cs="arial"/>
          <w:color w:val="000000"/>
          <w:sz w:val="20"/>
          <w:lang w:val="en-US" w:eastAsia="en-US" w:bidi="ar-SA"/>
        </w:rPr>
        <w:t>, the plaintiff suffered a modest injury that was partially disabling for approximately one month. Non-pecuniary damages: $3,000.</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Seto v. Ng</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2009 BCPC 218</w:t>
        </w:r>
      </w:hyperlink>
      <w:r>
        <w:rPr>
          <w:rFonts w:ascii="arial" w:eastAsia="arial" w:hAnsi="arial" w:cs="arial"/>
          <w:color w:val="000000"/>
          <w:sz w:val="20"/>
          <w:lang w:val="en-US" w:eastAsia="en-US" w:bidi="ar-SA"/>
        </w:rPr>
        <w:t>, the plaintiff suffered injury that was found to have lasted for four month duration. Non-pecuniary damages: $2,500.</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Dolha v. Heft</w:t>
      </w:r>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2011 BCSC 737</w:t>
        </w:r>
      </w:hyperlink>
      <w:r>
        <w:rPr>
          <w:rFonts w:ascii="arial" w:eastAsia="arial" w:hAnsi="arial" w:cs="arial"/>
          <w:color w:val="000000"/>
          <w:sz w:val="20"/>
          <w:lang w:val="en-US" w:eastAsia="en-US" w:bidi="ar-SA"/>
        </w:rPr>
        <w:t>, the plaintiff sustained injuries that continued for a period of approximately six to nine months. Non-pecuniary damages: $7,000.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defendants have also made reference to a decision of the Court of Appeal, </w:t>
      </w:r>
      <w:r>
        <w:rPr>
          <w:rFonts w:ascii="arial" w:eastAsia="arial" w:hAnsi="arial" w:cs="arial"/>
          <w:i/>
          <w:color w:val="000000"/>
          <w:sz w:val="20"/>
          <w:lang w:val="en-US" w:eastAsia="en-US" w:bidi="ar-SA"/>
        </w:rPr>
        <w:t>Le v. Luz</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2003 BCCA 640</w:t>
        </w:r>
      </w:hyperlink>
      <w:r>
        <w:rPr>
          <w:rFonts w:ascii="arial" w:eastAsia="arial" w:hAnsi="arial" w:cs="arial"/>
          <w:color w:val="000000"/>
          <w:sz w:val="20"/>
          <w:lang w:val="en-US" w:eastAsia="en-US" w:bidi="ar-SA"/>
        </w:rPr>
        <w:t>. In that case, the Court set aside a jury verdict of $200 for non-pecuniary damages and substituted a verdict of $2,000. In its decision, the Court noted that while there was no intention to set a floor or a benchmark for minor soft tissue injuries, an award of $2,000 seemed appropriate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It is obvious that the two very distinctly different submissions reflect quite different views of the magnitude and consequences of the injury. My conclusions are as set out in paragraphs 70 and 71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my view, the appropriate award of non-pecuniary damages in this case is $4,000.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 also seeks an award in respect of special damages. The amount sought is $940, which is the sum paid for therapy expenses. Although there was discussion as to interest costs incurred with respect to those fees, the plaintiff's submission does not seek recovery of any interest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Given my findings as to the extent of the injuries, I am not satisfied that all of the fees paid for chiropractic care are reflective of a genuine need for those services. In the result, the plaintiff is entitled to recover $500 for those costs, representing a portion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defendants have advanced an argument with respect to a failure to mitigate. As I understand, that is put forward as an alternative, in the event the Court finds that the plaintiff suffered more than relatively minimal soft tissue injury that resolved quite straightforwardly. Given my finding, I see no purpose in addressing this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of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accident of April 5, 2006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driver. In that accident, the plaintiff sustained injuries which entitle him to recover damages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1255"/>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$4,000</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51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$ 500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$4,500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plaintiff is also entitled to recover pre-judgment 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xml:space="preserve"> in respect of the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the absence of there being considerations of which I am unaware, the plaintiff shall recover his costs of this action. If necessary, arrangements may be made through New Westminster Supreme Court Scheduling to provide further submissions on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J.W. WILLIAMS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9"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5"/>
          <w:headerReference w:type="default" r:id="rId56"/>
          <w:footerReference w:type="even" r:id="rId57"/>
          <w:footerReference w:type="default" r:id="rId58"/>
          <w:headerReference w:type="first" r:id="rId59"/>
          <w:footerReference w:type="first" r:id="rId6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1" w:history="1">
        <w:r>
          <w:rPr>
            <w:rFonts w:ascii="arial" w:eastAsia="arial" w:hAnsi="arial" w:cs="arial"/>
            <w:b/>
            <w:bCs/>
            <w:i/>
            <w:color w:val="0077CC"/>
            <w:kern w:val="32"/>
            <w:sz w:val="28"/>
            <w:szCs w:val="32"/>
            <w:u w:val="single"/>
            <w:shd w:val="clear" w:color="auto" w:fill="FFFFFF"/>
            <w:lang w:val="en-US" w:eastAsia="en-US" w:bidi="ar-SA"/>
          </w:rPr>
          <w:t>Carlisle v. Fraser Health Authority (c.o.b. Fraser Canyon Hospital), [2012] B.C.J. No. 353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 Kloegman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30 and 31,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22,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S116943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353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259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Brian Carlisle and Shannon Francis McKee, Plaintiffs, and Fraser Health Authority d.b.a. Fraser Canyon Hospital, and d.b.a. Chilliwack General Hospital and Dr. Melanie Lee Madill M.D. and Dr. David Singleton M.D.,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0"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 w:name="Keywords_2"/>
      <w:bookmarkEnd w:id="21"/>
      <w:r>
        <w:rPr>
          <w:rFonts w:ascii="arial" w:eastAsia="arial" w:hAnsi="arial" w:cs="arial"/>
          <w:b/>
          <w:color w:val="000000"/>
          <w:sz w:val="20"/>
          <w:lang w:val="en-US" w:eastAsia="en-US" w:bidi="ar-SA"/>
        </w:rPr>
        <w:t>Civil litigation — Civil procedure — Judgments and orders — Summary judgments — To dismiss action — Application by defendant doctors for summary dismissal of plaintiffs' claim allowed — Singleton was doctor who occasionally treated Carlisle over three year period — Madill was doctor who saw Carlisle and McKee on one occasion each and tested McKee for HIV, which resulted in positive finding — Plaintiffs claimed doctors failed to diagnose that Carlisle had contracted HIV which caused him to unknowingly infect McKee — Expert evidence indicated that nothing in Carlisle's history or complaints would have led doctors to consider HIV — Preponderance of evidence negated allegations that doctors breached standard of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Failure to diagnose — Standard of care — Application by defendant doctors for summary dismissal of plaintiffs' claim allowed — Singleton was doctor who occasionally treated Carlisle over three year period — Madill was doctor who saw Carlisle and McKee on one occasion each and tested McKee for HIV, which resulted in positive finding — Plaintiffs claimed doctors failed to diagnose that Carlisle had contracted HIV which caused him to unknowingly infect McKee — Expert evidence indicated that nothing in Carlisle's history or complaints would have led doctors to consider HIV — Preponderance of evidence negated allegations that doctors breached standard of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Application by defendant doctors for summary dismissal of plaintiffs' claim allowed — Singleton was doctor who occasionally treated Carlisle over three year period — Madill was doctor who saw Carlisle and McKee on one occasion each and tested McKee for HIV, which resulted in positive finding — Plaintiffs claimed doctors failed to diagnose that Carlisle had contracted HIV which caused him to unknowingly infect McKee — Expert evidence indicated that nothing in Carlisle's history or complaints would have led doctors to consider HIV — Preponderance of evidence negated allegations that doctors breached standard of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 w:name="Case Summary_2"/>
            <w:bookmarkEnd w:id="2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doctors for the summary dismissal of the plaintiffs' claim against them. The defendant Singleton was a physician who treated the plaintiff Carlisle from time to time between 1999 and 2001. In 1999, Singleton also treated Carlisle's daughter and ordered HIV tests for her because her mother, Carlisle's former partner, was a drug addict. However, Singleton did not order HIV tests for Carlisle as his daughter's tests were negative and there was no indication that HIV testing of Carlisle was required. The defendant Madill was a physician who saw Carlisle on one occasion as a follow-up to a visit to emergency. In addition, Madill saw the plaintiff McKee on one occasion in 2002, the day after Carlisle was diagnosed with HIV. She was tested for HIV and found to be positive. The plaintiffs commenced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alleging that the doctors failed to diagnose in a timely way, or at all, that Carlisle had contracted HIV, which caused him to unknowingly infect McKee, his wife. The defendants' expert evidence indicated that there was nothing in Carlisle's history or complaints which would have led a physician to consider HIV as a cause and that Madill acted appropriately to address McKee's concerns and sent her for appropriate testing. Furthermore, the experts concluded that an earlier diagnosis of HIV would not have changed Carlisle's management or outcome. The doctors sought the dismissal of the claim against them on the basis that there was no breach of the standard in their medical treatment of the plaintiffs.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 w:name="Holdings of Court_2"/>
            <w:bookmarkEnd w:id="23"/>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preponderance of the evidence negated the allegation that the doctors breached the standard of care they owed to the plaintiffs.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 w:name="Legislation Cited_2"/>
      <w:bookmarkEnd w:id="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1"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Limitation Act, </w:t>
      </w:r>
      <w:hyperlink r:id="rId62"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 w:name="Counsel_2"/>
      <w:bookmarkEnd w:id="2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2" style="position:absolute;z-index:2517637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Dr. Melanie Lee Madill M.D. and Dr. David Singleton M.D.: J.D. Meadows.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Fraser Health Authority d.b.a. Fraser Canyon Hospital and d.b.a. Chilliwack General Hospital: J.D. Ankenman, (January 31).</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 w:name="Judgment_2"/>
      <w:bookmarkEnd w:id="26"/>
      <w:r>
        <w:pict>
          <v:line id="_x0000_s1043" style="position:absolute;z-index:2518149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 w:name="D. KLOEGMAN J."/>
            <w:bookmarkEnd w:id="27"/>
            <w:r>
              <w:rPr>
                <w:rFonts w:ascii="arial" w:eastAsia="arial" w:hAnsi="arial" w:cs="arial"/>
                <w:b/>
                <w:color w:val="000000"/>
                <w:sz w:val="30"/>
                <w:lang w:val="en-US" w:eastAsia="en-US" w:bidi="ar-SA"/>
              </w:rPr>
              <w:t>D. KLOEGMAN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defendant doctors Singleton and Madill for a summary dismissal of the plaintiffs' claim on the narrow ground that there was no breach of the standard of care in their medical treatment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action has been outstanding since August 23, 2004, when the plaintiffs issued a writ of summons and statement of claim against Dr. Singleton. On July 12, 2005, the plaintiffs commenced their action against Dr. Madill. In October 2008, both actions were consolidated. Since that time there have been no examinations for discovery or further court applications. Prior to 2008, there was ongoing document discovery and an application by the defendants for a summary dismissal of the plaintiffs' claims, which was successful, but then the judgment was subsequently set aside by Justice Groves on September 15, 2006. The order of Justice Groves allowed the plaintiffs 90 days within which to file any expert reports on which they intended to 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plaintiffs' claim against the defendant doctors sounds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failing to diagnose in a timely way, or at all, that the plaintiff Carlisle had contracted HIV, thereby causing him to unknowingly infect his wife, the plaintiff McKee.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Claim against Dr. Singleton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Dr. Singleton is a physician who treated the plaintiff Carlisle from time to time between December 22, 1999, and August 3, 2001. He never treated the plaintiff McKee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Dr. Singleton's treatment of the plaintiff Carlisle started in December 1999 and included such things as treatment for a sore throat (which turned out to be strep throat), glaucoma resulting from an assault to the plaintiff's face in 1994, a fractured right orbit from an assault in July 2000, sinusitis in August 2000, a contusion to his face from an assault on December 4, 2000, influenza and bronchitis later in December 2000 through late January 2001, injuries from an assault on February 2, 2001, a laceration to his hand on February 15, 2001, depression and chronic anxiety in late February 2001, and glaucoma in April 2001. The last visit to Dr. Singleton occurred on August 3, 2001, at which time the plaintiff Carlisle was seeking medical approval for the use of marijuana to alleviate pain from his glaucoma.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Claim against Dr. Madill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Dr. Madill saw the plaintiff Carlisle on one occasion on January 4, 2002, as a follow-up from a visit to emergency. He complained of muscle contractions in his arms and legs for about three weeks previously and a flu-like illness with vomiting and diarrhea. After reviewing medical records and performing a neurological examination, Dr. Madill was unable to arrive at a firm diagnosis. She referred the plaintiff Carlisle to a specialist in neurology.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Dr. Madill saw the plaintiff McKee on one occasion on July 18, 2002, the day after the plaintiff Carlisle was diagnosed with HIV. The plaintiff McKee asked Dr. Madill to test her for the HIV virus, which resulted in a positive finding. The plaintiff McKee returned to her regular physician Dr. Leyen for continuing care. Later, the plaintiffs also sued Dr. Leyen for failure to diagnose the plaintiff Carlisle. That action was dismissed by Justice Wong on May 20, 2005, and the appeal therefrom was dismissed on April 13, 2006, as abandoned.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defendants filed expert reports from Dr. Shore and Dr. Montessori, each dealing separately with the care by Dr. Singleton of the plaintiff Carlisle and the care of both plaintiffs by Dr. Madill.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Dr. Shore is a family practitioner who had an active family medicine practice in Langley, B.C., during the material time. In his report of November 25, 2010,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there is absolutely nothing in the history or complaints of Mr. Carlisle that would make any physician think of HIV/AIDS as a cause of any of the patient's complaints. ... There were no findings to make Dr. Singleton think of a significant systemic disease.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other words, there was no reason to do any further investigations based on the complaints the patient presented with to Dr. Singleton in his office.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Blood tests done on December 22, 1999 gave Dr. Singleton no cause for alarm to think of HIV/AIDS or any other significant systemic disease. The patient was, in fact, not diagnosed until he had long since left Dr. Singleton's care, i.e. in July of 2002.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Singleton obtained an appropriate history of Mr. Carlisle's complaints at each office visit subsequent to and including his initial December 22, 1999 visit. Dr. Singleton provided appropriate follow up care as necessary to Mr. Carlisle.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Singleton appropriately ordered and interpreted diagnostic testing for Mr. Carlisle. Dr. Singleton made appropriate and timely referrals for Mr. Carlisle.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there was no basis whatsoever upon which Dr. Singleton could have reasonably diagnosed HIV/AIDS in Mr. Carlisle prior to July 4,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With respect to the treatment of the plaintiff Carlisle by Dr. Madill, Dr. Shore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there was no basis upon which Dr. Madill could reasonably have been expected to have diagnosed Mr. Carlisle as being positive for HIV when she was involved in his care. In fact, there was absolutely no indication for Dr. Madill, based on the patient's complaints as mentioned above, to test or diagnose or even consider HIV as an etiologic cause of his complaints.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there was no evidence that Mr. Carlisle was displaying or complaining of HIV/AIDS related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there was no basis whatsoever upon which Dr. Madill could reasonably have diagnosed HIV/AIDS in Mr. Carlisle based on her one visit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Dr. Shore further opined with respect to Dr. Madill's treatment of the plaintiff McKee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Dr. Madill obtained an appropriate history when she saw Ms. McKee.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July 18, 2002 visit when Dr. Madill saw her she immediately addressed the patient's concerns and sent her for appropriate testing. She also recommended appropriate follow up.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Dr. Madill met the standard of care expected of a reasonable, prudent general practitioner in her care of Ms. McKee on July 18,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Dr. Montessori is an infectious disease specialist at St. Paul's Hospital in Vancouver. The majority of his patients are HIV positive. In his report of December 10, 2010, he answered the specific question: could an earlier diagnosis of HIV been made?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Mr. Carlisle presented to Dr. Singleton's office on a number of occasions between 1999 and 2001, there were no particular presenting complaints that were suggestive or typical for HIV infection. In fact, even when he was subsequently diagnosed and reviewed by Dr. Press at St. Paul's Hospital, his CD4 cell count was still relatively well preserved and he was not at risk for any opportunistic infections. Therefore it was very unlikely that he would present with any symptoms thought to be "typical" for HIV such as those seen with opportunistic infections.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 Montessori also went on to opine that an earlier diagnosis of HIV infection from Mr. Carlisle would not have changed either his management or outcome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filed no expert report regarding the standard of care or a breach thereof by the defendant doctors. They did provide a report dated December 13, 2006, from Dr. Burdge, a clinical professor in the Division of Infectious Diseases at the UBC Department of Medicine. Dr. Burdge has been involved in the care of several thousand HIV-infected individuals. He opined that he was confident that the plaintiff McKee acquired the infection some time in 2001 or 2002, and almost certainly from unprotected sexual intercourse with her husband, the plaintiff Carlisle. Dr. Burdge wrote that it was likely that the plaintiff Carlisle had an HIV infection of several years' duration prior to diagnosis in 2002. Dr. Burdge recites that the plaintiff Carlisle was "seen by multiple physicians, in multiple settings, with multiple complaints. It wasn't until July 2002 however that an HIV test was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However, significantly, Dr. Burdge does not state that these "multiple physicians" conducted themselves below the standard of care. In fact, he does not mention nor criticize the defendant doctors at all. The only opinions provided in his report are that:</w:t>
      </w:r>
      <w:r>
        <w:rPr>
          <w:rFonts w:ascii="arial" w:eastAsia="arial" w:hAnsi="arial" w:cs="arial"/>
          <w:sz w:val="20"/>
          <w:lang w:val="en-US" w:eastAsia="en-US" w:bidi="ar-SA"/>
        </w:rPr>
        <w:cr/>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Shannon McKee almost certainly acquired HIV infection on the basis of unprotected sexual intercourse with her partner Brian Carlisle, sometime between early 2001 and mid-2002.</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Lack of diagnosis of HIV in Brian, may well have contributed to her having unprotected sex with him, and therefore increased her risk of HIV acquisition.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plaintiffs submit that they do not need expert evidence to establish what is an obvious breach of care by the doctors. They rely on the principle espoused in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that in certain circumstances, a court can find a defendant physician negligent despite conformity with standard practice, and in the absence of expert evidence to support the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this regard, the plaintiffs point to the following evidence only discovered by them in March 2006 through document production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Testing of the plaintiff Carlisle's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Carlisle has a daughter. She was born March 3, 1994. Although the plaintiff Carlisle had broken off his relationship with her mother by the time she was born, the plaintiff Carlisle assumed custody of her. Dr. Singleton started treating the daughter for asthma in 1996, before the plaintiff Carlisle became his patient. In September 1999, the daughter was admitted to hospital under Dr. Singleton's care for a breathing-related ailment.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history and physical chart prepared by Dr. Singleton on September 28, 1999, with regard to the daughter,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PLAN Admit, use Ventolin for the bronchospasm. Get cultures and we will do because she was born of a drug addicted mother. Hepatitis A, B, C, HIV and we will do CBC and differential. I do not see that we should progress any further with liver function etc. in the presence of a normal liver, unless of course we get a positive on one of the 3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discharge summary relating to the daughter dated October 1, 1999, and dictated by Dr. Singleton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child has been tested for hepatitis A, B, C, HIV because her mother was heavily into drugs apparently at the time of her birth and, therefore, I thought it would be wise to do it. We have not yet received the results of that back yet and those are pending.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results of the HIV testing of the daughter were negative.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plaintiffs submit that if the drug addiction history of the daughter's mother was a sufficient risk factor to warrant HIV testing of the daughter, why did Dr. Singleton not suggest HIV testing to the plaintiff Carlisle, as he had been one of the mother's sexual partners. When asked this question by way of interrogatories, Dr. Singleton replied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daughter] was tested at the request of Shirley Carlisle because Shirley Carlisle advised that [her] mother was addicted to cocaine prior to and probably during delivery. The results were negative. Further follow-up was not required.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the time I saw [the plaintiff Carlisle], there was no indication that such testing was required. [The daughter]'s test results were negative and this did not provide any further indication that testing was required for [the plaintiff Carlisle].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plaintiffs also allege that Dr. Singleton never told the plaintiff Carlisle that he was testing his daughter for HIV. Dr. Singleton's response to this allegation in his answers to interrogatories by the plaintiff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the best of my recollection, attempts were made to locate [the plaintiff Carlisle] to discuss this issue but we were unsuccessful in locating him. At the time of the tests, instructions for the medical care of [the daughter] were provided by Shirley Carlisle. We proceeded on the consent provided by Shirley Carlisle.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Shirley Carlisle, the plaintiff Carlisle's 86-year-old mother, has no recollection of providing her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plaintiffs also rely on the 1992 and 1998 editions of the </w:t>
      </w:r>
      <w:r>
        <w:rPr>
          <w:rFonts w:ascii="arial" w:eastAsia="arial" w:hAnsi="arial" w:cs="arial"/>
          <w:i/>
          <w:color w:val="000000"/>
          <w:sz w:val="20"/>
          <w:lang w:val="en-US" w:eastAsia="en-US" w:bidi="ar-SA"/>
        </w:rPr>
        <w:t>Canadian Guidelines for the Prevention, Diagnosis, Management and Treatment of Sexually Transmitted Diseases</w:t>
      </w:r>
      <w:r>
        <w:rPr>
          <w:rFonts w:ascii="arial" w:eastAsia="arial" w:hAnsi="arial" w:cs="arial"/>
          <w:color w:val="000000"/>
          <w:sz w:val="20"/>
          <w:lang w:val="en-US" w:eastAsia="en-US" w:bidi="ar-SA"/>
        </w:rPr>
        <w:t xml:space="preserve"> by Health and Welfare Canada. These </w:t>
      </w:r>
      <w:r>
        <w:rPr>
          <w:rFonts w:ascii="arial" w:eastAsia="arial" w:hAnsi="arial" w:cs="arial"/>
          <w:i/>
          <w:color w:val="000000"/>
          <w:sz w:val="20"/>
          <w:lang w:val="en-US" w:eastAsia="en-US" w:bidi="ar-SA"/>
        </w:rPr>
        <w:t>Guidelines</w:t>
      </w:r>
      <w:r>
        <w:rPr>
          <w:rFonts w:ascii="arial" w:eastAsia="arial" w:hAnsi="arial" w:cs="arial"/>
          <w:color w:val="000000"/>
          <w:sz w:val="20"/>
          <w:lang w:val="en-US" w:eastAsia="en-US" w:bidi="ar-SA"/>
        </w:rPr>
        <w:t xml:space="preserve"> list risk factors such as sharing of injection drug use equipment and sex with a person known to be HIV infected. The </w:t>
      </w:r>
      <w:r>
        <w:rPr>
          <w:rFonts w:ascii="arial" w:eastAsia="arial" w:hAnsi="arial" w:cs="arial"/>
          <w:i/>
          <w:color w:val="000000"/>
          <w:sz w:val="20"/>
          <w:lang w:val="en-US" w:eastAsia="en-US" w:bidi="ar-SA"/>
        </w:rPr>
        <w:t>Guidelines</w:t>
      </w:r>
      <w:r>
        <w:rPr>
          <w:rFonts w:ascii="arial" w:eastAsia="arial" w:hAnsi="arial" w:cs="arial"/>
          <w:color w:val="000000"/>
          <w:sz w:val="20"/>
          <w:lang w:val="en-US" w:eastAsia="en-US" w:bidi="ar-SA"/>
        </w:rPr>
        <w:t xml:space="preserve"> also set out a counselling protocol for pre-and post-HIV testing, which was not followed in the daughter's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 am somewhat sympathetic to the argument of the plaintiffs that if Dr. Singleton recognized a risk to the plaintiff Carlisle's daughter from her mother who was a drug addict and potentially HIV positive, he should have recognized a similar risk to the plaintiff Carlisle as a past sexual partner of the mother. However the </w:t>
      </w:r>
      <w:r>
        <w:rPr>
          <w:rFonts w:ascii="arial" w:eastAsia="arial" w:hAnsi="arial" w:cs="arial"/>
          <w:i/>
          <w:color w:val="000000"/>
          <w:sz w:val="20"/>
          <w:lang w:val="en-US" w:eastAsia="en-US" w:bidi="ar-SA"/>
        </w:rPr>
        <w:t>Guidelines</w:t>
      </w:r>
      <w:r>
        <w:rPr>
          <w:rFonts w:ascii="arial" w:eastAsia="arial" w:hAnsi="arial" w:cs="arial"/>
          <w:color w:val="000000"/>
          <w:sz w:val="20"/>
          <w:lang w:val="en-US" w:eastAsia="en-US" w:bidi="ar-SA"/>
        </w:rPr>
        <w:t xml:space="preserve"> do not specifically include sex with known drug users in the list of risk factors. Further, there was no evidence that the mother was infected with HIV, nor was she the only possible source of infection of the plaintiff Carlisle. With regard to counselling, the preamble to the </w:t>
      </w:r>
      <w:r>
        <w:rPr>
          <w:rFonts w:ascii="arial" w:eastAsia="arial" w:hAnsi="arial" w:cs="arial"/>
          <w:i/>
          <w:color w:val="000000"/>
          <w:sz w:val="20"/>
          <w:lang w:val="en-US" w:eastAsia="en-US" w:bidi="ar-SA"/>
        </w:rPr>
        <w:t>Guidelines</w:t>
      </w:r>
      <w:r>
        <w:rPr>
          <w:rFonts w:ascii="arial" w:eastAsia="arial" w:hAnsi="arial" w:cs="arial"/>
          <w:color w:val="000000"/>
          <w:sz w:val="20"/>
          <w:lang w:val="en-US" w:eastAsia="en-US" w:bidi="ar-SA"/>
        </w:rPr>
        <w:t xml:space="preserve"> state that counselling has to be age-appropriate and individualized to the patient being tested. The counselling on risk reduction for patients with negative results would not have been appropriate for the 5-year-old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Finally, the expert evidence of Dr. Shore is that there was no obligation on the part of Dr. Singleton as a reasonable, prudent practitioner in the circumstances to have ordered HIV testing for the plaintiff Carlisle, because the daughter's test was negative. Neither the complaints which the plaintiff Carlisle presented to Dr. Singleton, nor the subsequent laboratory results, in any way suggested a systemic disease, let alone HIV.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Dr. Page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plaintiffs also rely on the clinical records of Dr. Page, who tested the plaintiff Carlisle for HIV antibodies in July 2002. The plaintiffs say Dr. Page set the standard of care and Dr. Singleton should have conducted himself similarly, and ordered HIV testing for the plaintiff Carlisle when he was under Dr. Singleton's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Interestingly enough, Dr. Page notes in two places in her clinical records that the plaintiff Carlisle told her he had been tested for HIV one year earlier because he was concerned about an ex-girlfriend, but the result was negative. The plaintiff Carlisle denies telling Dr. Page this and submits that Dr. Page must have been confused.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difficulty with comparing Dr. Page's conduct with the defendant doctors is that Dr. Page was presented with an entirely different clinical picture in July 2002. The plaintiff Carlisle had been admitted to the emergency department of the hospital in Fort McMurray because of a recurring infection in his leg. There was a concern that he was suffering from necrotising fascitis (flesh eating disease) and intravenous antibiotics were administered. When the antibiotics were stopped, the infection came back and then started in the other leg. Dr. Page's notes state that the infection had been a problem since June 6,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defendants submitted that I could infer that because Dr. Page could not diagnose the problem, she decided to check out the plaintiff's immune system and ordered a raft of tests, including one for HIV. That is not the only reasonable inference to draw from the circumstances. Without evidence from her or any expert on behalf of the plaintiffs, I cannot infer the reasoning behind Dr. Page's conduct nor can I infer that she set the standard of care for Drs. Singleton and Madill.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plaintiffs, who are self-represented, pleaded with me to allow them to continue this action to trial. They suggested that they could obtain a report from Dr. Page "clarifying some of the issues," or that they could locate Dr. Burdge, now retired, to opine on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Unfortunately for the plaintiffs, I am of the view that this matter cannot continue. They have received the indulgence of the Court on a number of occasions, stretching back to 2006. They have not pursued their own case, but simply reacted to any legal steps taken by the defendants. Groves J. gave them 90 days back in 2006 to gather expert evidence, which obviously includes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now, six years later, they still cannot tender such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One cannot help but feel empathy for these plaintiffs who suffer from such a dreaded disease, but the law must be applied evenly and fairly to both sides. The defendant doctors are entitled, at some point, to have this matter adjudicated upon. That time has now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preponderance of evidence before me, as reviewed above, negates the allegation that these doctors breached the standard of care they owed to these plaintiffs. Not only have the plaintiffs failed to establish this key element to a finding of liability, but the defendants have provided affirmative evidence to exonerate themselves from liability. The action must be dismissed against the defendant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As I am dismissing the action on the merits, I do not need to determine whether the plaintiffs were barred under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from bringing the action in the first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Due to the financial position of the plaintiffs, I will not order them to pay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 KLOEGMAN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4"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0" w:history="1">
        <w:r>
          <w:rPr>
            <w:rFonts w:ascii="arial" w:eastAsia="arial" w:hAnsi="arial" w:cs="arial"/>
            <w:b/>
            <w:bCs/>
            <w:i/>
            <w:color w:val="0077CC"/>
            <w:kern w:val="32"/>
            <w:sz w:val="28"/>
            <w:szCs w:val="32"/>
            <w:u w:val="single"/>
            <w:shd w:val="clear" w:color="auto" w:fill="FFFFFF"/>
            <w:lang w:val="en-US" w:eastAsia="en-US" w:bidi="ar-SA"/>
          </w:rPr>
          <w:t>Cheema v. Hamide, [2019] B.C.J. No. 1089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 Crawford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16,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13,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175380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1089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962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Jagtar Singh Cheema, Plaintiff, and Wali Hamide and Freebies Holdings Inc., doing business as Domino's Pizza,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5"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 w:name="Keywords_3"/>
      <w:bookmarkEnd w:id="28"/>
      <w:r>
        <w:rPr>
          <w:rFonts w:ascii="arial" w:eastAsia="arial" w:hAnsi="arial" w:cs="arial"/>
          <w:b/>
          <w:color w:val="000000"/>
          <w:sz w:val="20"/>
          <w:lang w:val="en-US" w:eastAsia="en-US" w:bidi="ar-SA"/>
        </w:rPr>
        <w:t xml:space="preserve">Civil litigation — Civil procedure — Parties — Adding or substituting — After expiry of limitation period — Motion by the plaintiff Cheema to add Domino's Pizza of Canada as a defendant dismissed — Cheema's action related to a December 2013 motor vehicle accident — The defendant Hamide's vehicle, which was marked as a "Domino's Pizza" van, struck Cheema's vehicle — Hamide's alleged employer, Freebies Holdings, was added in August 2017 — Domino's Canada was the grantor of the franchise — The limitation period had passed — It was readily apparent that the law was unlikely to recognize the vicarious liability of Domino's Canada for Hamide's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Supreme Court Civil Rules, Rule 6-2(7).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Vicarious liability — Motion by the plaintiff Cheema to add Domino's Pizza of Canada as a defendant dismissed — Cheema's action related to a December 2013 motor vehicle accident — The defendant Hamide's vehicle, which was marked as a "Domino's Pizza" van, struck Cheema's vehicle — Hamide's alleged employer, Freebies Holdings, was added in August 2017 — Domino's Canada was the grantor of the franchise — The limitation period had passed — It was readily apparent that the law was unlikely to recognize the vicarious liability of Domino's Canada for Hamide's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Supreme Court Civil Rules, Rule 6-2(7).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Practice and procedure — Parties — Adding or striking out parties — Motion by the plaintiff Cheema to add Domino's Pizza of Canada as a defendant dismissed — Cheema's action related to a December 2013 motor vehicle accident — The defendant Hamide's vehicle, which was marked as a "Domino's Pizza" van, struck Cheema's vehicle — Hamide's alleged employer, Freebies Holdings, was added in August 2017 — Domino's Canada was the grantor of the franchise — The limitation period had passed — It was readily apparent that the law was unlikely to recognize the vicarious liability of Domino's Canada for Hamide's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Supreme Court Civil Rules, Rule 6-2(7).</w:t>
      </w:r>
    </w:p>
    <w:p>
      <w:pPr>
        <w:jc w:val="both"/>
        <w:rPr>
          <w:rFonts w:ascii="arial" w:eastAsia="arial" w:hAnsi="arial" w:cs="arial"/>
          <w:sz w:val="20"/>
          <w:lang w:val="en-US" w:eastAsia="en-US" w:bidi="ar-SA"/>
        </w:rPr>
      </w:pPr>
      <w:bookmarkStart w:id="29" w:name="Legislation Cited_3"/>
      <w:bookmarkEnd w:id="2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6"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Limitation Act,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6-1, Rule 6-2(7)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 w:name="Counsel_3"/>
      <w:bookmarkEnd w:id="3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7" style="position:absolute;z-index:2517647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O. Hui.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 Colwell.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 w:name="Judgment_3"/>
      <w:bookmarkEnd w:id="31"/>
      <w:r>
        <w:pict>
          <v:line id="_x0000_s1048" style="position:absolute;z-index:2518159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 w:name="R. CRAWFORD J."/>
            <w:bookmarkEnd w:id="32"/>
            <w:r>
              <w:rPr>
                <w:rFonts w:ascii="arial" w:eastAsia="arial" w:hAnsi="arial" w:cs="arial"/>
                <w:b/>
                <w:color w:val="000000"/>
                <w:sz w:val="30"/>
                <w:lang w:val="en-US" w:eastAsia="en-US" w:bidi="ar-SA"/>
              </w:rPr>
              <w:t>R. CRAWFORD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Cheema is the plaintiff in an action concerning a motor vehicle accident that occurred on December 13, 2013. He alleges that Mr. Hamide rear ended him while he was stopped a stop light at the intersection of Whalley Boulevard and 104th Avenue in Surrey,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notice of civil claim was initially filed on November 5, 2015, and only named Mr. Hamide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On August 4, 2017, Freebies Holdings Inc. ("Freebies"), doing business as Domino's Pizza, was added pursuant to Rules 6-1 and 6-2(7)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Now the plaintiff seeks to add Domino's Pizza of Canada Ltd. ("Domino's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Curiously the issue of Mr. Hamide's insurance has not been determined and if he were uninsured, coverage would be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do not know the nature of Mr. Cheema's injuries. Nor do the pleadings note that there were other people in Mr. Cheema's car who are apparently making separate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issue before the Court is whether or not Domino's Canada should be added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Rule 6-2(7)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Adding, removing or substituting parties by order</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on application by any person, may, subject to subrules (9) and (10),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or substituted as a party if</w:t>
      </w:r>
    </w:p>
    <w:p>
      <w:pPr>
        <w:numPr>
          <w:numId w:val="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 ought to have been joined as a party, or</w:t>
      </w:r>
    </w:p>
    <w:p>
      <w:pPr>
        <w:numPr>
          <w:numId w:val="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person's participation in the proceeding is necessary to ensure that all matters in the proceeding may be effectually adjudicated on, and</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if there may exist, between the person and any party to the proceeding, a question or issue relating to or connected with</w:t>
      </w:r>
    </w:p>
    <w:p>
      <w:pPr>
        <w:numPr>
          <w:numId w:val="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relief claimed in the proceeding, or</w:t>
      </w:r>
    </w:p>
    <w:p>
      <w:pPr>
        <w:numPr>
          <w:numId w:val="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Regarding Rule 6-2(7)(b), the Court of Appeal in </w:t>
      </w:r>
      <w:r>
        <w:rPr>
          <w:rFonts w:ascii="arial" w:eastAsia="arial" w:hAnsi="arial" w:cs="arial"/>
          <w:i/>
          <w:color w:val="000000"/>
          <w:sz w:val="20"/>
          <w:lang w:val="en-US" w:eastAsia="en-US" w:bidi="ar-SA"/>
        </w:rPr>
        <w:t>Byrd v. Cariboo</w:t>
      </w:r>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2016 BCCA 69</w:t>
        </w:r>
      </w:hyperlink>
      <w:r>
        <w:rPr>
          <w:rFonts w:ascii="arial" w:eastAsia="arial" w:hAnsi="arial" w:cs="arial"/>
          <w:color w:val="000000"/>
          <w:sz w:val="20"/>
          <w:lang w:val="en-US" w:eastAsia="en-US" w:bidi="ar-SA"/>
        </w:rPr>
        <w:t xml:space="preserv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As discussed in </w:t>
      </w:r>
      <w:r>
        <w:rPr>
          <w:rFonts w:ascii="arial" w:eastAsia="arial" w:hAnsi="arial" w:cs="arial"/>
          <w:i/>
          <w:color w:val="000000"/>
          <w:sz w:val="20"/>
          <w:lang w:val="en-US" w:eastAsia="en-US" w:bidi="ar-SA"/>
        </w:rPr>
        <w:t>Letvad</w:t>
      </w:r>
      <w:r>
        <w:rPr>
          <w:rFonts w:ascii="arial" w:eastAsia="arial" w:hAnsi="arial" w:cs="arial"/>
          <w:color w:val="000000"/>
          <w:sz w:val="20"/>
          <w:lang w:val="en-US" w:eastAsia="en-US" w:bidi="ar-SA"/>
        </w:rPr>
        <w:t xml:space="preserve"> at paras. 16-18, Rule 6-2(7)(b) has been given a narrow interpretation. It is intended to remedy defects in the proceeding as it stood prior to the application to add a party. "Ought to have been joined" deals with the situation where the person sought to be added has a direct interest in the outcome of the existing action. "[N]ecessary to ensure that all matters ... may be effectually adjudicated" deals with a situation where the participation of the person sought to be added is required in order for the existing claim to be fully and properly adjudicated. See also: </w:t>
      </w:r>
      <w:r>
        <w:rPr>
          <w:rFonts w:ascii="arial" w:eastAsia="arial" w:hAnsi="arial" w:cs="arial"/>
          <w:i/>
          <w:color w:val="000000"/>
          <w:sz w:val="20"/>
          <w:lang w:val="en-US" w:eastAsia="en-US" w:bidi="ar-SA"/>
        </w:rPr>
        <w:t>Kitimat (District) v. Alcan Inc.</w:t>
      </w:r>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2006 BCCA 562</w:t>
        </w:r>
      </w:hyperlink>
      <w:r>
        <w:rPr>
          <w:rFonts w:ascii="arial" w:eastAsia="arial" w:hAnsi="arial" w:cs="arial"/>
          <w:color w:val="000000"/>
          <w:sz w:val="20"/>
          <w:lang w:val="en-US" w:eastAsia="en-US" w:bidi="ar-SA"/>
        </w:rPr>
        <w:t xml:space="preserve"> at paras. 28-32, </w:t>
      </w:r>
      <w:hyperlink r:id="rId72" w:history="1">
        <w:r>
          <w:rPr>
            <w:rFonts w:ascii="arial" w:eastAsia="arial" w:hAnsi="arial" w:cs="arial"/>
            <w:i/>
            <w:color w:val="0077CC"/>
            <w:sz w:val="20"/>
            <w:u w:val="single"/>
            <w:shd w:val="clear" w:color="auto" w:fill="FFFFFF"/>
            <w:lang w:val="en-US" w:eastAsia="en-US" w:bidi="ar-SA"/>
          </w:rPr>
          <w:t>61 B.C.L.R. (4th) 295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It is not clear that Domino's Canada ought to have been joined as a party. Mr. Cheema may fulsomely maintain his action against Freebies without Domino's Canada's participation.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Thus the issue becomes whether there exists between Domino's Canada and any party to the proceeding a question or issue related to or connected with any relief claimed or the subject matter in the proceeding, such that it would be just and convenient to determine as between Domino's Canada and Mr. Cheema.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Patently, over five years have gone by since the accident. Freebies, the alleged employer, was added by order August 7,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Cheema says he then attempted settlement but did not make an offer until mid-August 2018. Then the plaintiff sought a list of documents from Freebies, in particular any documents material to whether or not Mr. Hamide was an employee in the course of his employment. As well he sought the franchise agreement between Domino's Canada and Freebies, which might reveal the degree of control exercised by Domino's on the daily operations of Freebies. The franchise agreement was provided on September 5, 2018, and describes the relationship between Freebies and Domino's Canada as one of independent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Examination for discovery of Freebies was set for December 4, 2018. Mr. A. Singh attended on the behalf of Freebies. Mr. Singh testified that Freebies used Domino's Canada's "tools" and systems to train employees; Domino's Canada set training standards and evaluated operation every six months; Domino's Canada could impose sanctions and deficiencies by letter and give the franchisee 30 days to fix deficiencies; Domino's Canada imposed standards with respect to dress, grooming, and appearance of employees, including a standardized uniform the franchise buys from Domino's Canada and provides to the contract drivers without fee, except for a $35 deposit; Freebies buys pizza bags from Domino's and provides them to drivers without fee; the drivers' vehicles may carry a sign which bears the Domino's name purchased from Domino's Canada and provided to the driver with no fee and without obligation; drivers use Freebies' debit machines without charge; Domino's Canada sets standards as to who is hired as a driver; and on at least one occasion Domino's Canada asked Freebies for a list of all employees and contract drivers, including the contract driver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trial of the matter was set for March 4, 2019, but has been adjourned.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plaintiff says that the threshold is low for adding a party: see </w:t>
      </w:r>
      <w:r>
        <w:rPr>
          <w:rFonts w:ascii="arial" w:eastAsia="arial" w:hAnsi="arial" w:cs="arial"/>
          <w:i/>
          <w:color w:val="000000"/>
          <w:sz w:val="20"/>
          <w:lang w:val="en-US" w:eastAsia="en-US" w:bidi="ar-SA"/>
        </w:rPr>
        <w:t>The Owners, Strata Plan No. VIS3578 v. John A. Neilson Architects Inc.</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2010 BCCA 329</w:t>
        </w:r>
      </w:hyperlink>
      <w:r>
        <w:rPr>
          <w:rFonts w:ascii="arial" w:eastAsia="arial" w:hAnsi="arial" w:cs="arial"/>
          <w:color w:val="000000"/>
          <w:sz w:val="20"/>
          <w:lang w:val="en-US" w:eastAsia="en-US" w:bidi="ar-SA"/>
        </w:rPr>
        <w:t xml:space="preserve"> paras. 45-48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Subrule 15(5)(a)(iii) thus establishes two requirements that an applicant must prove to succeed in joining a new defendant. First, it must show that there is a question or issue between the plaintiff and the proposed defendant that relates to the relief, remedy, or subject matter of the proceeding. The threshold is low. It has been expressed as establishing simply that there is a real issue between them that is not frivolous, or that the plaintiff has a possible cause of action against the proposed party. This requirement may be met solely on the basis of proposed amendments to the statement of claim, or the parties may provide affidavit evidence addressing it. If evidence is provided, the court is not to weigh it and assess whether the plaintiff could prove the allegations. It is limited to examining the evidence only to the extent necessary to determine if the required issue between the parties exists: </w:t>
      </w:r>
      <w:r>
        <w:rPr>
          <w:rFonts w:ascii="arial" w:eastAsia="arial" w:hAnsi="arial" w:cs="arial"/>
          <w:i/>
          <w:color w:val="000000"/>
          <w:sz w:val="20"/>
          <w:lang w:val="en-US" w:eastAsia="en-US" w:bidi="ar-SA"/>
        </w:rPr>
        <w:t>Strata Plan LMS 1816 v. Acastina Investments Ltd.</w:t>
      </w:r>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2004 BCCA 578</w:t>
        </w:r>
      </w:hyperlink>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33 B.C.L.R. (4th) 69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MacMillan Bloedel Ltd. v. Binstead et al</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(1981), 58 B.C.L.R. 173</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If this first requirement is met, the court must next determine whether it would be just and convenient to decide the issue between the parties in this proceeding. This is a discretionary decision, but that discretion is fettered to the extent that it must be exercised judicially, and in accord with the evidence adduced and the guidelines established in the authorities: </w:t>
      </w:r>
      <w:r>
        <w:rPr>
          <w:rFonts w:ascii="arial" w:eastAsia="arial" w:hAnsi="arial" w:cs="arial"/>
          <w:i/>
          <w:color w:val="000000"/>
          <w:sz w:val="20"/>
          <w:lang w:val="en-US" w:eastAsia="en-US" w:bidi="ar-SA"/>
        </w:rPr>
        <w:t>Letvad v. Fenwick</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2000 BCCA 630</w:t>
        </w:r>
      </w:hyperlink>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82 B.C.L.R. (3d) 296</w:t>
        </w:r>
      </w:hyperlink>
      <w:r>
        <w:rPr>
          <w:rFonts w:ascii="arial" w:eastAsia="arial" w:hAnsi="arial" w:cs="arial"/>
          <w:color w:val="000000"/>
          <w:sz w:val="20"/>
          <w:lang w:val="en-US" w:eastAsia="en-US" w:bidi="ar-SA"/>
        </w:rPr>
        <w:t xml:space="preserve">. At para. 29 of </w:t>
      </w:r>
      <w:r>
        <w:rPr>
          <w:rFonts w:ascii="arial" w:eastAsia="arial" w:hAnsi="arial" w:cs="arial"/>
          <w:i/>
          <w:color w:val="000000"/>
          <w:sz w:val="20"/>
          <w:lang w:val="en-US" w:eastAsia="en-US" w:bidi="ar-SA"/>
        </w:rPr>
        <w:t>Letvad</w:t>
      </w:r>
      <w:r>
        <w:rPr>
          <w:rFonts w:ascii="arial" w:eastAsia="arial" w:hAnsi="arial" w:cs="arial"/>
          <w:color w:val="000000"/>
          <w:sz w:val="20"/>
          <w:lang w:val="en-US" w:eastAsia="en-US" w:bidi="ar-SA"/>
        </w:rPr>
        <w:t xml:space="preserve">, Esson J.A., writing for the Court, adopted the list of factors to be considered from </w:t>
      </w:r>
      <w:r>
        <w:rPr>
          <w:rFonts w:ascii="arial" w:eastAsia="arial" w:hAnsi="arial" w:cs="arial"/>
          <w:i/>
          <w:color w:val="000000"/>
          <w:sz w:val="20"/>
          <w:lang w:val="en-US" w:eastAsia="en-US" w:bidi="ar-SA"/>
        </w:rPr>
        <w:t>Teal Cedar Products (1977) Ltd. v. Dale Intermediaries Ltd</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(1996), 71 B.C.A.C. 161</w:t>
        </w:r>
      </w:hyperlink>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19 B.C.L.R. (3d) 282</w:t>
        </w:r>
      </w:hyperlink>
      <w:r>
        <w:rPr>
          <w:rFonts w:ascii="arial" w:eastAsia="arial" w:hAnsi="arial" w:cs="arial"/>
          <w:color w:val="000000"/>
          <w:sz w:val="20"/>
          <w:lang w:val="en-US" w:eastAsia="en-US" w:bidi="ar-SA"/>
        </w:rPr>
        <w:t>, a decision that dealt with adding further claims under R. 24. These include the extent of the delay, the reasons and any explanation for the delay, any prejudice arising from the delay, and the degree of connection between the existing action and the new parties and claims contemplated. The overriding question is what is just and convenient in the circumstances of the particular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The existence of a limitation defence is a relevant, but not determinative, factor in deciding whether to permit joinder, since the effect of s. 4(1)(d)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is to extinguish such a defence if the proposed defendant is added. In </w:t>
      </w:r>
      <w:r>
        <w:rPr>
          <w:rFonts w:ascii="arial" w:eastAsia="arial" w:hAnsi="arial" w:cs="arial"/>
          <w:i/>
          <w:color w:val="000000"/>
          <w:sz w:val="20"/>
          <w:lang w:val="en-US" w:eastAsia="en-US" w:bidi="ar-SA"/>
        </w:rPr>
        <w:t>Brito (Guardian ad litem of) v. Wooley</w:t>
      </w:r>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(1997), 15 C.P.C. (4th) 255</w:t>
        </w:r>
      </w:hyperlink>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[1997] B.C.J. No. 2487</w:t>
        </w:r>
      </w:hyperlink>
      <w:r>
        <w:rPr>
          <w:rFonts w:ascii="arial" w:eastAsia="arial" w:hAnsi="arial" w:cs="arial"/>
          <w:color w:val="000000"/>
          <w:sz w:val="20"/>
          <w:lang w:val="en-US" w:eastAsia="en-US" w:bidi="ar-SA"/>
        </w:rPr>
        <w:t xml:space="preserve">, Joyce J. set out a three step approach to considering a possible limitation defence, which was adopted by this Court in </w:t>
      </w:r>
      <w:r>
        <w:rPr>
          <w:rFonts w:ascii="arial" w:eastAsia="arial" w:hAnsi="arial" w:cs="arial"/>
          <w:i/>
          <w:color w:val="000000"/>
          <w:sz w:val="20"/>
          <w:lang w:val="en-US" w:eastAsia="en-US" w:bidi="ar-SA"/>
        </w:rPr>
        <w:t>Strata Plan LMS 1725 v. Star Masonry Ltd.</w:t>
      </w:r>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2007 BCCA 611</w:t>
        </w:r>
      </w:hyperlink>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73 B.C.L.R. (4th) 154</w:t>
        </w:r>
      </w:hyperlink>
      <w:r>
        <w:rPr>
          <w:rFonts w:ascii="arial" w:eastAsia="arial" w:hAnsi="arial" w:cs="arial"/>
          <w:color w:val="000000"/>
          <w:sz w:val="20"/>
          <w:lang w:val="en-US" w:eastAsia="en-US" w:bidi="ar-SA"/>
        </w:rPr>
        <w:t xml:space="preserve"> at para. 12. I summarize it as follows: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is clear there is no accrued limitation defence, the only question is whether it will be more convenient to have one or two actions since the plaintiff will be able to commence a new action against the proposed defendant if it is unsuccessful in the joinder application.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it is clear there is an accrued limitation defence, the question is whether it will nevertheless be just and convenient to add the party, notwithstanding it will lose that defence. The answer to that question will emerge from consideration of the factors set out in </w:t>
      </w:r>
      <w:r>
        <w:rPr>
          <w:rFonts w:ascii="arial" w:eastAsia="arial" w:hAnsi="arial" w:cs="arial"/>
          <w:i/>
          <w:color w:val="000000"/>
          <w:sz w:val="20"/>
          <w:lang w:val="en-US" w:eastAsia="en-US" w:bidi="ar-SA"/>
        </w:rPr>
        <w:t>Letvad</w:t>
      </w:r>
      <w:r>
        <w:rPr>
          <w:rFonts w:ascii="arial" w:eastAsia="arial" w:hAnsi="arial" w:cs="arial"/>
          <w:color w:val="000000"/>
          <w:sz w:val="20"/>
          <w:lang w:val="en-US" w:eastAsia="en-US" w:bidi="ar-SA"/>
        </w:rPr>
        <w: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parties disagree as to whether there is an accrued limitation defence, and a court cannot determine this issue on the joinder application, the court should proceed by assuming that there is a limitation defence, and consider whether it is just and convenient to add the party, even though the result will be the elimination of that defence. If that question is answered affirmatively, an order for joinder should be made, and it becomes unnecessary to deal with the limitation issue since it will be extinguished by s. 4(1)(d)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There is also a fourth option, an alternative to the third step, set out by Lambert J.A. in </w:t>
      </w:r>
      <w:r>
        <w:rPr>
          <w:rFonts w:ascii="arial" w:eastAsia="arial" w:hAnsi="arial" w:cs="arial"/>
          <w:i/>
          <w:color w:val="000000"/>
          <w:sz w:val="20"/>
          <w:lang w:val="en-US" w:eastAsia="en-US" w:bidi="ar-SA"/>
        </w:rPr>
        <w:t>Lui v. West Granville Manor Ltd.</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[1987] 4 W.W.R. 49</w:t>
        </w:r>
      </w:hyperlink>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11 B.C.L.R. (2d) 273</w:t>
        </w:r>
      </w:hyperlink>
      <w:r>
        <w:rPr>
          <w:rFonts w:ascii="arial" w:eastAsia="arial" w:hAnsi="arial" w:cs="arial"/>
          <w:color w:val="000000"/>
          <w:sz w:val="20"/>
          <w:lang w:val="en-US" w:eastAsia="en-US" w:bidi="ar-SA"/>
        </w:rPr>
        <w:t xml:space="preserve"> at 303 (C.A.) [</w:t>
      </w:r>
      <w:r>
        <w:rPr>
          <w:rFonts w:ascii="arial" w:eastAsia="arial" w:hAnsi="arial" w:cs="arial"/>
          <w:i/>
          <w:color w:val="000000"/>
          <w:sz w:val="20"/>
          <w:lang w:val="en-US" w:eastAsia="en-US" w:bidi="ar-SA"/>
        </w:rPr>
        <w:t>Lui No. 2</w:t>
      </w:r>
      <w:r>
        <w:rPr>
          <w:rFonts w:ascii="arial" w:eastAsia="arial" w:hAnsi="arial" w:cs="arial"/>
          <w:color w:val="000000"/>
          <w:sz w:val="20"/>
          <w:lang w:val="en-US" w:eastAsia="en-US" w:bidi="ar-SA"/>
        </w:rPr>
        <w:t xml:space="preserve">]. He suggested that when the limitation issue could not be determined on the joinder application, and the applicant had not established that considerations of justice and convenience justified extinction of the limitation defence under s. 4(1)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judicial discretion could be exercised to permit joinder on terms that the limitation defence would be preserved and determined at trial. That approach was considered and adopted in </w:t>
      </w:r>
      <w:r>
        <w:rPr>
          <w:rFonts w:ascii="arial" w:eastAsia="arial" w:hAnsi="arial" w:cs="arial"/>
          <w:i/>
          <w:color w:val="000000"/>
          <w:sz w:val="20"/>
          <w:lang w:val="en-US" w:eastAsia="en-US" w:bidi="ar-SA"/>
        </w:rPr>
        <w:t>Strata Plan No. VR 2000 v. Shaw</w:t>
      </w:r>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[1998] B.C.J. No. 1086</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Shaw</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Stone Venepal (Celgar) Pulp Inc. v. IMO Industries (Canada) Inc.</w:t>
      </w:r>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2008 BCCA 317</w:t>
        </w:r>
      </w:hyperlink>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83 B.C.L.R. (4th) 138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 xml:space="preserve"> thus discloses a two step test. First, Mr. Cheema must show that there is a question or issue between him and the proposed defendant, Domino's Canada, that relates to the relief, remedy, or subject matter of the proceeding. The threshold is low. If the first step is satisfied, this Court proceeds to decide whether it would be just and convenient to decide the issue between the parties in this proceeding. This is a discretionary decision, and reference may be made to the factors from </w:t>
      </w:r>
      <w:r>
        <w:rPr>
          <w:rFonts w:ascii="arial" w:eastAsia="arial" w:hAnsi="arial" w:cs="arial"/>
          <w:i/>
          <w:color w:val="000000"/>
          <w:sz w:val="20"/>
          <w:lang w:val="en-US" w:eastAsia="en-US" w:bidi="ar-SA"/>
        </w:rPr>
        <w:t>Teal Cedar Products (1977) Ltd. v. Dale Intermediaries Ltd</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(1996), 71 B.C.A.C. 161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Teal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Teal</w:t>
      </w:r>
      <w:r>
        <w:rPr>
          <w:rFonts w:ascii="arial" w:eastAsia="arial" w:hAnsi="arial" w:cs="arial"/>
          <w:color w:val="000000"/>
          <w:sz w:val="20"/>
          <w:lang w:val="en-US" w:eastAsia="en-US" w:bidi="ar-SA"/>
        </w:rPr>
        <w:t xml:space="preserve"> factors were summarized in </w:t>
      </w:r>
      <w:r>
        <w:rPr>
          <w:rFonts w:ascii="arial" w:eastAsia="arial" w:hAnsi="arial" w:cs="arial"/>
          <w:i/>
          <w:color w:val="000000"/>
          <w:sz w:val="20"/>
          <w:lang w:val="en-US" w:eastAsia="en-US" w:bidi="ar-SA"/>
        </w:rPr>
        <w:t>Amezcua v. Taylor</w:t>
      </w:r>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2010 BCCA 128</w:t>
        </w:r>
      </w:hyperlink>
      <w:r>
        <w:rPr>
          <w:rFonts w:ascii="arial" w:eastAsia="arial" w:hAnsi="arial" w:cs="arial"/>
          <w:color w:val="000000"/>
          <w:sz w:val="20"/>
          <w:lang w:val="en-US" w:eastAsia="en-US" w:bidi="ar-SA"/>
        </w:rPr>
        <w:t>, where there had been a lengthy delay due to the plaintiff's attempts to settle an action against an RCMP officer who had caused a motor vehicle accident, and apparent challenges in identifying the proposed defendant, and who was representing it. The Court of Appeal in its discussion reiterated five reasons for the court to consider in late amendments to pleadings or adding a party after a limitation period, namely:</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delay;</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reasons for delay;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of prejudice which in part is inferred with the loss of the limitation period;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connection between the existing and proposed cause of action;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overriding consideration of justice and convenience.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Here, there has patently been a lengthy delay past a limitation period. The claim arose on December 13, 2013. The claim was filed November 5, 2015. Freebies was added on August 4, 2018. No discovery was taken of Freebies until December 4, 2018, when to use the plaintiff's argument, "there was evidence of significant control by Domino's [Canada] of its franchisee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This raises the issue of vicarious liability and the principles cited by the Supreme Court of Canada in </w:t>
      </w:r>
      <w:r>
        <w:rPr>
          <w:rFonts w:ascii="arial" w:eastAsia="arial" w:hAnsi="arial" w:cs="arial"/>
          <w:i/>
          <w:color w:val="000000"/>
          <w:sz w:val="20"/>
          <w:lang w:val="en-US" w:eastAsia="en-US" w:bidi="ar-SA"/>
        </w:rPr>
        <w:t>671122 Ontario Ltd. v. Sagaz Industries Canada Inc.</w:t>
      </w:r>
      <w:r>
        <w:rPr>
          <w:rFonts w:ascii="arial" w:eastAsia="arial" w:hAnsi="arial" w:cs="arial"/>
          <w:color w:val="000000"/>
          <w:sz w:val="20"/>
          <w:lang w:val="en-US" w:eastAsia="en-US" w:bidi="ar-SA"/>
        </w:rPr>
        <w:t xml:space="preserve">, </w:t>
      </w:r>
      <w:hyperlink r:id="rId84" w:history="1">
        <w:r>
          <w:rPr>
            <w:rFonts w:ascii="arial" w:eastAsia="arial" w:hAnsi="arial" w:cs="arial"/>
            <w:i/>
            <w:color w:val="0077CC"/>
            <w:sz w:val="20"/>
            <w:u w:val="single"/>
            <w:shd w:val="clear" w:color="auto" w:fill="FFFFFF"/>
            <w:lang w:val="en-US" w:eastAsia="en-US" w:bidi="ar-SA"/>
          </w:rPr>
          <w:t>2001 SCC 59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Sagaz</w:t>
      </w:r>
      <w:r>
        <w:rPr>
          <w:rFonts w:ascii="arial" w:eastAsia="arial" w:hAnsi="arial" w:cs="arial"/>
          <w:color w:val="000000"/>
          <w:sz w:val="20"/>
          <w:lang w:val="en-US" w:eastAsia="en-US" w:bidi="ar-SA"/>
        </w:rPr>
        <w:t>], where the Court opined on the policy rationale underlying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At para. 31 of </w:t>
      </w:r>
      <w:r>
        <w:rPr>
          <w:rFonts w:ascii="arial" w:eastAsia="arial" w:hAnsi="arial" w:cs="arial"/>
          <w:i/>
          <w:color w:val="000000"/>
          <w:sz w:val="20"/>
          <w:lang w:val="en-US" w:eastAsia="en-US" w:bidi="ar-SA"/>
        </w:rPr>
        <w:t>Sagaz</w:t>
      </w:r>
      <w:r>
        <w:rPr>
          <w:rFonts w:ascii="arial" w:eastAsia="arial" w:hAnsi="arial" w:cs="arial"/>
          <w:color w:val="000000"/>
          <w:sz w:val="20"/>
          <w:lang w:val="en-US" w:eastAsia="en-US" w:bidi="ar-SA"/>
        </w:rPr>
        <w:t xml:space="preserve">, reference was made to an earlier comment by Madam Justice McLachlin in </w:t>
      </w:r>
      <w:r>
        <w:rPr>
          <w:rFonts w:ascii="arial" w:eastAsia="arial" w:hAnsi="arial" w:cs="arial"/>
          <w:i/>
          <w:color w:val="000000"/>
          <w:sz w:val="20"/>
          <w:lang w:val="en-US" w:eastAsia="en-US" w:bidi="ar-SA"/>
        </w:rPr>
        <w:t>Bazley v. Curry</w:t>
      </w:r>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[1999] 2 S.C.R. 534</w:t>
        </w:r>
      </w:hyperlink>
      <w:r>
        <w:rPr>
          <w:rFonts w:ascii="arial" w:eastAsia="arial" w:hAnsi="arial" w:cs="arial"/>
          <w:color w:val="000000"/>
          <w:sz w:val="20"/>
          <w:lang w:val="en-US" w:eastAsia="en-US" w:bidi="ar-SA"/>
        </w:rPr>
        <w:t xml:space="preserve"> at para.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employer puts in the community an enterprise which carries with it certain risks. When those risks materialize and cause injury to a member of the public despite the employer's reasonable efforts, it is fair that the person or organization that creates the enterprise and hence the risk should bear the loss.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is accepted that the most common relationship attracting vicarious liability is employer and employee, or master and servant. That is to be distinguished from the relationship between employer and an independent contractor which, subject to certain limited exceptions, typically does not give rise to a claim for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There may well be different elements of risk in certain ventures. Take for example the City of Vancouver's parking and impounding bylaws. To enforce them it hires towing companies. The City of Vancouver has a contract with Busters to tow and impound vehicles from city streets and parks, under its impounding bylaw. It hires the towing company as an independent contractor to remove cars that are parked in the no parking zones, e.g., at times of high traffic such as 4 p.m. to 7 p.m. in the evening when people are going home from work and therefore the roads need to be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is not unheard of for the owner of a car to be incensed at a tow truck driver and thus if the tow truck driver over reacts, the tow truck driver can be "a certain risk" for the towing company. But this does not in my view give rise to a claim against the City of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Similarly for a franchise company that is selling a brand of pizzas and to protect the brand, sets certain kitchen standards as well as dress and punctuality but enters into contracts with independent contractors, i.e., Freebies, who in turn employ drivers, often on a contract basis, puts an extra layer into the vicarious liability 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asked counsel if in fact they could point to any precedent case where the court has reached beyond the worker, being in this case the driver Hamide, and his employer Freebies (which may be an independent contractor relationship), to the grantor of the franchise, Domino's Canada. I was told there was no such reported case. That would seem to accord with the imposition of vicarious liability arising from the employer-employee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Counsel did point to a case where there could be a situation where an employee in effect had two employers: see </w:t>
      </w:r>
      <w:r>
        <w:rPr>
          <w:rFonts w:ascii="arial" w:eastAsia="arial" w:hAnsi="arial" w:cs="arial"/>
          <w:i/>
          <w:color w:val="000000"/>
          <w:sz w:val="20"/>
          <w:lang w:val="en-US" w:eastAsia="en-US" w:bidi="ar-SA"/>
        </w:rPr>
        <w:t>Downtown Eatery (1993) Ltd. v. Ontario</w:t>
      </w:r>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54 O.R. (3d) 161</w:t>
        </w:r>
      </w:hyperlink>
      <w:r>
        <w:rPr>
          <w:rFonts w:ascii="arial" w:eastAsia="arial" w:hAnsi="arial" w:cs="arial"/>
          <w:color w:val="000000"/>
          <w:sz w:val="20"/>
          <w:lang w:val="en-US" w:eastAsia="en-US" w:bidi="ar-SA"/>
        </w:rPr>
        <w:t xml:space="preserve"> (Ont. C.A.) [</w:t>
      </w:r>
      <w:r>
        <w:rPr>
          <w:rFonts w:ascii="arial" w:eastAsia="arial" w:hAnsi="arial" w:cs="arial"/>
          <w:i/>
          <w:color w:val="000000"/>
          <w:sz w:val="20"/>
          <w:lang w:val="en-US" w:eastAsia="en-US" w:bidi="ar-SA"/>
        </w:rPr>
        <w:t>Downtown Eatery</w:t>
      </w:r>
      <w:r>
        <w:rPr>
          <w:rFonts w:ascii="arial" w:eastAsia="arial" w:hAnsi="arial" w:cs="arial"/>
          <w:color w:val="000000"/>
          <w:sz w:val="20"/>
          <w:lang w:val="en-US" w:eastAsia="en-US" w:bidi="ar-SA"/>
        </w:rPr>
        <w:t>]. The Ontario Court of Appeal cautioned against allowing the complexity of modern corporate structures to construe employer-employee relationships too narrowly.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Downtown Eatery</w:t>
      </w:r>
      <w:r>
        <w:rPr>
          <w:rFonts w:ascii="arial" w:eastAsia="arial" w:hAnsi="arial" w:cs="arial"/>
          <w:color w:val="000000"/>
          <w:sz w:val="20"/>
          <w:lang w:val="en-US" w:eastAsia="en-US" w:bidi="ar-SA"/>
        </w:rPr>
        <w:t xml:space="preserve"> was not about vicarious liability. It was a wrongful dismissal case where the employer went out of business after an action was commenced. Indeed, the employee took his action to judgment for $59,906.76 but the judgment proved empty as the company that had been paying him had been reorganized out of business. The court found there was a highly integrated or seamless group of companies running the nightclub and held the employer was entitled to establish a complex corporate structure, but at the same time that it not work an injustice in the realm of employment law. The court held Mr. Alouche was the man who had the job with salary, benefits and duties and who was wrongfully fired. The court said the word "employer" in that situation should recognize the complexity of a corporate structure, but not such as to defeat the legitimate entitlements of a wrongfully dismissed employee and pointed out the contract of employment was signed by a non-legal entity, "For Your Eyes Only", the name of the nightclub. The court held the judgment was enforceable against the remaining companies as being the true successor legal entity.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On this basis the plaintiff asserts that the classes of legal relationships attracting vicarious liability are not exhaustively defined or closed, but does concede independent contractors are less likely to be found vicariously liable: see </w:t>
      </w:r>
      <w:r>
        <w:rPr>
          <w:rFonts w:ascii="arial" w:eastAsia="arial" w:hAnsi="arial" w:cs="arial"/>
          <w:i/>
          <w:color w:val="000000"/>
          <w:sz w:val="20"/>
          <w:lang w:val="en-US" w:eastAsia="en-US" w:bidi="ar-SA"/>
        </w:rPr>
        <w:t>1738937 Alberta Ltd. v. Fair Waves Coffee Inc. (Waves Coffee House)</w:t>
      </w:r>
      <w:r>
        <w:rPr>
          <w:rFonts w:ascii="arial" w:eastAsia="arial" w:hAnsi="arial" w:cs="arial"/>
          <w:color w:val="000000"/>
          <w:sz w:val="20"/>
          <w:lang w:val="en-US" w:eastAsia="en-US" w:bidi="ar-SA"/>
        </w:rPr>
        <w:t xml:space="preserve">, </w:t>
      </w:r>
      <w:hyperlink r:id="rId87" w:history="1">
        <w:r>
          <w:rPr>
            <w:rFonts w:ascii="arial" w:eastAsia="arial" w:hAnsi="arial" w:cs="arial"/>
            <w:i/>
            <w:color w:val="0077CC"/>
            <w:sz w:val="20"/>
            <w:u w:val="single"/>
            <w:shd w:val="clear" w:color="auto" w:fill="FFFFFF"/>
            <w:lang w:val="en-US" w:eastAsia="en-US" w:bidi="ar-SA"/>
          </w:rPr>
          <w:t>2017 ABQB 714</w:t>
        </w:r>
      </w:hyperlink>
      <w:r>
        <w:rPr>
          <w:rFonts w:ascii="arial" w:eastAsia="arial" w:hAnsi="arial" w:cs="arial"/>
          <w:color w:val="000000"/>
          <w:sz w:val="20"/>
          <w:lang w:val="en-US" w:eastAsia="en-US" w:bidi="ar-SA"/>
        </w:rPr>
        <w:t xml:space="preserve"> paras. 20 to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Domino's Canada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summary Domino's Canada argued:</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is limitation barred;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against Domino's Canada is bound to fail; and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just and convenient to add Domino's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It is not in issue that the basic limitation period of two years has passed: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is evident and conceded that Mr. Hamide's vehicle struck Mr. Cheema's vehicle. It is further evident and conceded that Mr. Hamide's vehicle was marked as a "Domino's Pizza" van and thus Mr. Cheema knew from the outset Domino's Canada was involved in some fashion, i.e., scattered pizza boxes and a Domino's roof sign on the vehicle and Mr. Hamide saying to the plaintiff he "was getting late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Counsel referred to </w:t>
      </w:r>
      <w:r>
        <w:rPr>
          <w:rFonts w:ascii="arial" w:eastAsia="arial" w:hAnsi="arial" w:cs="arial"/>
          <w:i/>
          <w:color w:val="000000"/>
          <w:sz w:val="20"/>
          <w:lang w:val="en-US" w:eastAsia="en-US" w:bidi="ar-SA"/>
        </w:rPr>
        <w:t>Bukmeier v. Creyke</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[1998] B.C.J. 1319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Happy Investments Management Ltd. v. Dorio</w:t>
      </w:r>
      <w:r>
        <w:rPr>
          <w:rFonts w:ascii="arial" w:eastAsia="arial" w:hAnsi="arial" w:cs="arial"/>
          <w:color w:val="000000"/>
          <w:sz w:val="20"/>
          <w:lang w:val="en-US" w:eastAsia="en-US" w:bidi="ar-SA"/>
        </w:rPr>
        <w:t xml:space="preserve"> </w:t>
      </w:r>
      <w:hyperlink r:id="rId89" w:history="1">
        <w:r>
          <w:rPr>
            <w:rFonts w:ascii="arial" w:eastAsia="arial" w:hAnsi="arial" w:cs="arial"/>
            <w:i/>
            <w:color w:val="0077CC"/>
            <w:sz w:val="20"/>
            <w:u w:val="single"/>
            <w:shd w:val="clear" w:color="auto" w:fill="FFFFFF"/>
            <w:lang w:val="en-US" w:eastAsia="en-US" w:bidi="ar-SA"/>
          </w:rPr>
          <w:t>(1988), 23 B.C.L.R. (2d) 245</w:t>
        </w:r>
      </w:hyperlink>
      <w:r>
        <w:rPr>
          <w:rFonts w:ascii="arial" w:eastAsia="arial" w:hAnsi="arial" w:cs="arial"/>
          <w:color w:val="000000"/>
          <w:sz w:val="20"/>
          <w:lang w:val="en-US" w:eastAsia="en-US" w:bidi="ar-SA"/>
        </w:rPr>
        <w:t>, for the proposition the plaintiff had not taken the reasonable and obvious steps to determine the correct name of Domino's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pleadings as proposed against Domino's Canada in para. 6.1, and para. 3, Part 3, in the further amendments to the notice of civil claim, state that Freebies was at all material times a franchisee of Domino's Canada. The plaintiff claims that Domino's Canada is vicariously liable for the actions of the defendant Hamide, and separately, at all material times the defendant Freebies was the franchisee of the proposed defendant Domino's Canada and was conducting its business under the control of Domino's Canada, and therefore Domino's Canada is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Hamide.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No particulars have been plead as to the nature of the relationship of Hamide and the proposed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Counsel for Domino's Canada argues the allegation of control by Domino's Canada is deficient.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Hamide has stated he was late for work, not that he was in the course of employment; there is no contractual relationship between Domino's Canada and Mr. Hamide; that Mr. Hamide supplied his own vehicle to deliver pizza for Freebies and was free to accept or reject work; and the standard franchise agreement as between Freebies and Domino's Canada stated Domino's Canada and Freebies were independent contractors.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If there is control as suggested by the plaintiff, it is not in this case a ground for imposing vicarious liability, e.g., a parent is not liable for the torts of his or her children, school teachers are not liable for the torts of the pupils, and so on. In sum, the relationship between the defendant Hamide and the proposed defendant Domino's Canada is not sufficiently close to make the claim appropriate: see G.H.L. Fridman, </w:t>
      </w:r>
      <w:r>
        <w:rPr>
          <w:rFonts w:ascii="arial" w:eastAsia="arial" w:hAnsi="arial" w:cs="arial"/>
          <w:i/>
          <w:color w:val="000000"/>
          <w:sz w:val="20"/>
          <w:lang w:val="en-US" w:eastAsia="en-US" w:bidi="ar-SA"/>
        </w:rPr>
        <w:t>The Law of Torts in Canada</w:t>
      </w:r>
      <w:r>
        <w:rPr>
          <w:rFonts w:ascii="arial" w:eastAsia="arial" w:hAnsi="arial" w:cs="arial"/>
          <w:color w:val="000000"/>
          <w:sz w:val="20"/>
          <w:lang w:val="en-US" w:eastAsia="en-US" w:bidi="ar-SA"/>
        </w:rPr>
        <w:t>, 3rd ed., (Toronto: Carswell, 1990) at 252.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Plainly in terms of prejudice there is the accrual of limitation and a lengthy delay. I acknowledge the trial was adjourned. It is submitted that is inexplicable, given that it was clear at the accident scene Domino's Canada in some form was known from the outset of the claim, and could easily have been identified by a corporate registry search.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Domino's Canada submitted it would be at an evidentiary disadvantage in obtaining contemporary records and any potential witness availability, had been deprived of any timely investigation, and was being asked to bear a significant cost due to the delay and uncertainty of the nature of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arguments are well canvassed by counsel, and my findings and views of the same set out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 xml:space="preserve"> at para. 45 provides Mr. Cheema must first show there is a question or issue between him and Domino's Canada that relates to the relief, remedy, or subject matter of the proceeding. The threshold is 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Mr. Cheema has failed to meet the threshold. No particulars have been plead as to the nature of the relationship of Hamide and the proposed defendant. Without weighing the evidence or determining Mr. Cheema's ability to prove the allegations, it is readily apparent that the law is unlikely to recognize the vicarious liability of Domino's Canada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Hamide. Absent a possible case of vicarious liability, there is no issue as between the plaintiff and the proposed defendant related to Mr. Cheema's alleged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Having found the first step described in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 xml:space="preserve"> is not satisfied, I need not proceed to the subsequent stages of the analysis detailed at para. 46 and onward.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sum, the proposed basis for vicarious liability is in my view, is not backed up by evidence, and is less than tenuous at law. I decline to add Domino's Canada as a defendant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proposed defendant is entitled to its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 CRAWFORD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9"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6" w:history="1">
        <w:r>
          <w:rPr>
            <w:rFonts w:ascii="arial" w:eastAsia="arial" w:hAnsi="arial" w:cs="arial"/>
            <w:b/>
            <w:bCs/>
            <w:i/>
            <w:color w:val="0077CC"/>
            <w:kern w:val="32"/>
            <w:sz w:val="28"/>
            <w:szCs w:val="32"/>
            <w:u w:val="single"/>
            <w:shd w:val="clear" w:color="auto" w:fill="FFFFFF"/>
            <w:lang w:val="en-US" w:eastAsia="en-US" w:bidi="ar-SA"/>
          </w:rPr>
          <w:t>Chen v. Ross, [2014] B.C.J. No. 415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S.K. Ballance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25-29, July 3, 12, August 9, September 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24-26, October 4, 29, November 13 and December 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2012; January 9, May 2, 27-31 and June 3-5,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February 21,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10,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S017001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415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374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Pei Xiong Chen, Plaintiff, and Dr. William H. Ross and Dr. Shui Hing Lee,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(398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0"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3" w:name="Keywords_4"/>
      <w:bookmarkEnd w:id="33"/>
      <w:r>
        <w:rPr>
          <w:rFonts w:ascii="arial" w:eastAsia="arial" w:hAnsi="arial" w:cs="arial"/>
          <w:b/>
          <w:color w:val="000000"/>
          <w:sz w:val="20"/>
          <w:lang w:val="en-US" w:eastAsia="en-US" w:bidi="ar-SA"/>
        </w:rPr>
        <w:t xml:space="preserve">Health law — Health care professionals — Liability (malpractice) — Battery — Absence of valid consent — Informed consent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Failure to diagnose — Treatment, authorization for — Consent — Informed consent — Action by 83-year-old plaintiff against ophthalmologists Lee and Ross for damages for medical malpractice dismissed — Lee referred plaintiff to Ross concerning epiretinal membrane — Ross performed pars plan vitrectomy with membrane peel — Days after surgery, plaintiff experienced acute loss of vision — Eventually assessed as legally blind — Defendants did not breach expected standard of care by failing to administer visual field test or failing to diagnose glaucoma prior to surgery — Surgery appropriate whether or not plaintiff had glaucoma — Nature of potential benefits and risks accurately and sufficiently disclosed to plaintiff by Ross.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Self-governing professions — Duties — Duty of care — Standard of care — Duty to inform — Professions — Health care — Ophthalmologists, optometrists and opticians — Action by 83-year-old plaintiff against ophthalmologists Lee and Ross for damages for medical malpractice dismissed — Lee referred plaintiff to Ross concerning epiretinal membrane — Ross performed pars plan vitrectomy with membrane peel — Days after surgery, plaintiff experienced acute loss of vision — Eventually assessed as legally blind — Defendants did not breach expected standard of care by failing to administer visual field test or failing to diagnose glaucoma prior to surgery — Surgery appropriate whether or not plaintiff had glaucoma — Nature of potential benefits and risks accurately and sufficiently disclosed to plaintiff by Ross.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4" w:name="Case Summary_3"/>
            <w:bookmarkEnd w:id="3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83-year-old plaintiff against the defendant ophthalmologists Lee and Ross for damages for medical malpractice. The plaintiff had diabetes and suffered an array of vision difficulties, including cataract surgery performed by Lee in 1997. Lee did not routinely perform visual field tests as part of his examination of the plaintiff. Lee referred to Ross, a retinal subspecialist, concerning a suspected epiretinal membrane. Ross reviewed the risks and benefits with the plaintiff before performing a pars plana vitrectomy with membrane peel on the plaintiff's left eye in 2000. Within days after the surgery, the plaintiff experienced an acute and dramatic loss of vision in his eye and was eventually assessed as legally blind in that eye. The defendants were unaware another doctor had previously diagnosed the plaintiff with an epiretinal membrane and had recommended the same surgery. The plaintiff claimed the defendants failed to properly diagnosis him as having glaucoma. At his discovery, the plaintiff admitted he was aware there was a risk of blindness from the surgery and a five per cent failure rate. In Ross's opinion, supported by the defendants' expert evidence, the plaintiff's vision loss occurred from a series of mini-strokes in his optic nerve unrelated to the surgery. In the plaintiff's medical expert's opinion the plaintiff's loss of vision was due to his vascular disease or glaucoma. He admitted the presence of glaucoma would not have affected the decision to proceed with the surgery and neither condition was directly related to the surgery.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5" w:name="Holdings of Court_3"/>
            <w:bookmarkEnd w:id="35"/>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comprehensive annual eye examination did not mandate peripheral vision testing through visual field tests. Lee did not breach the expected standard of care by failing to administer a visual field test on the plaintiff or by failing to diagnose him with glaucoma prior to the surgery. The referral to Ross and Ross's determination the plaintiff was an appropriate candidate for surgery were prudent and reasonable decisions whether or not the plaintiff suffered from glaucoma. Ross had no duty to order visual field tests or determine if the plaintiff had glaucoma prior to performing the surgery. Ross and Lee did not breach their duty of care to the plaintiff on any ground. The plaintiff understood one of the risks of the surgery was the loss of sight. The nature of the potential benefits and risks that could be expected were accurately and sufficiently disclosed to the plaintiff by Ross.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6" w:name="Counsel_4"/>
      <w:bookmarkEnd w:id="3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1"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P. Sood.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J.M. Lepp, Q.C. and A. Turner.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7" w:name="Judgment_4"/>
      <w:bookmarkEnd w:id="37"/>
      <w:r>
        <w:pict>
          <v:line id="_x0000_s1052" style="position:absolute;z-index:2517657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PROCEDURAL BACKDROP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OF EVIDENCE</w:t>
      </w:r>
      <w:r>
        <w:rPr>
          <w:rFonts w:ascii="arial" w:eastAsia="arial" w:hAnsi="arial" w:cs="arial"/>
          <w:sz w:val="20"/>
          <w:lang w:val="en-US" w:eastAsia="en-US" w:bidi="ar-SA"/>
        </w:rPr>
        <w:cr/>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Non-contentious Medical Evidence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Initial Appointment with Dr. Lee - February 22, 1996</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Medical Appointments - March 12, 1996 to October 1997</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of Falls Prior to Cataract Surgery</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Confrontation Visual Field Test before Cataract Surgery</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Cataract Surgery and Medical Appointments to December 31, 1997</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of Falls after Cataract Surgery</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Thomas's Consult - February 5, 1998</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Chang's Consult - February 12, 1998</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Medical Appointments in 1998</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Fluorescein Angiogram - October 29, 1998</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Appointment with Dr. Lee upon return from China/Hong Kong</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Fluorescein Angiogram - December 8, 1999</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Appointment with Dr. Lee - January 7, 2000</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Referral to Dr. Ross - January 2000</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Initial Appointment with Dr. Ross - January 21, 2000</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 appointment with Dr. Ross and Fluorescein Angiogram - January 26, 2000</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Family Meeting - January 31, 2000</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Membrane Surgery - February 2, 2000</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Event on February 5, 2000 and its Aftermath</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Anderson Consult - February 17, 2000</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Mikelberg Consult - February 22, 2000</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Maberley Consult - March 16, 2000</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Subsequent Entry to Dr. Stockl's chart</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Lee's Treatment of Mr. Chen after the Membrane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EXPERT 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Dr. Frederick Mikelberg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Dr. Alan Maberley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Dr. Aron Goldberg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Dr. Kelvin Finlay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Summary of 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OVERVIEW OF THE 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PRINCIPLES</w:t>
      </w:r>
      <w:r>
        <w:rPr>
          <w:rFonts w:ascii="arial" w:eastAsia="arial" w:hAnsi="arial" w:cs="arial"/>
          <w:sz w:val="20"/>
          <w:lang w:val="en-US" w:eastAsia="en-US" w:bidi="ar-SA"/>
        </w:rPr>
        <w:cr/>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Standard of Care</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Informed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r>
        <w:rPr>
          <w:rFonts w:ascii="arial" w:eastAsia="arial" w:hAnsi="arial" w:cs="arial"/>
          <w:sz w:val="20"/>
          <w:lang w:val="en-US" w:eastAsia="en-US" w:bidi="ar-SA"/>
        </w:rPr>
        <w:cr/>
      </w:r>
    </w:p>
    <w:p>
      <w:pPr>
        <w:numPr>
          <w:numId w:val="3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the Standard of Care and Causation</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Informed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8" w:name="S.K. BALLANCE J."/>
            <w:bookmarkEnd w:id="38"/>
            <w:r>
              <w:rPr>
                <w:rFonts w:ascii="arial" w:eastAsia="arial" w:hAnsi="arial" w:cs="arial"/>
                <w:b/>
                <w:color w:val="000000"/>
                <w:sz w:val="30"/>
                <w:lang w:val="en-US" w:eastAsia="en-US" w:bidi="ar-SA"/>
              </w:rPr>
              <w:t>S.K. BALLANCE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elderly plaintiff, Pei Xiong Chen, has suffered from multiple vision impairments over the span of many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Chen was under the care of the defendant, Dr. Shui Hing Lee, a general ophthalmologist, during the material time frame. In January 2000, Dr. Lee referred Mr. Chen to the defendant, Dr. William H. Ross, a retinal subspecialist, concerning a suspected epiretinal membrane in Mr. Chen's left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On February 2, 2000, Dr. Ross performed a surgical procedure known as a </w:t>
      </w:r>
      <w:r>
        <w:rPr>
          <w:rFonts w:ascii="arial" w:eastAsia="arial" w:hAnsi="arial" w:cs="arial"/>
          <w:i/>
          <w:color w:val="000000"/>
          <w:sz w:val="20"/>
          <w:lang w:val="en-US" w:eastAsia="en-US" w:bidi="ar-SA"/>
        </w:rPr>
        <w:t>pars plana</w:t>
      </w:r>
      <w:r>
        <w:rPr>
          <w:rFonts w:ascii="arial" w:eastAsia="arial" w:hAnsi="arial" w:cs="arial"/>
          <w:color w:val="000000"/>
          <w:sz w:val="20"/>
          <w:lang w:val="en-US" w:eastAsia="en-US" w:bidi="ar-SA"/>
        </w:rPr>
        <w:t xml:space="preserve"> vitrectomy with membrane peel on Mr. Chen's left eye. For convenience, I will sometimes refer to this procedure as the "Membrane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Within days after the Membrane Surgery, Mr. Chen experienced an acute and dramatic loss of vision in his left eye, and was eventually assessed as legally blind in that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Mr. Chen has brought this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Drs. Lee and Ross. The thrust of the claim against Dr. Lee is that in the course of treating Mr. Chen in the capacity of his general ophthalmologist, he failed to arrange a visual field test to investigate whether Mr. Chen had glaucoma and, more broadly, failed to diagnose glaucoma despite the fact that he was at high risk for developing it and had exhibited symptoms and voiced complaints consistent with peripheral vision loss associated with that disease. Mr. Chen alleges that had he been diagnosed with glaucoma prior to the Membrane Surgery, he would have promptly been referred to a glaucoma specialist and received appropriate treatment to manage his condition, thereby preserving the vascular fitness of his optic nerve and enabling it to withstand the Membrane Surgery, and thus prolonging his sight. He further asserts that Dr. Lee was negligent in failing to provide a written referral and Mr. Chen's medical history to Dr. Ross, alerting him to the fact that Mr. Chen's visual acuity had not declined significantly over the past few years, which, in turn, would have called into question whether the membrane was responsible for his central vision complaints and the appropriateness of the Membrane Surgery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Chen also condemns Dr. Ross's conduct as substandard on these overlapping, but separate, grounds: failing to adequately review Mr. Chen's medical records before performing the Membrane Surgery; failing to carry out a visual field test and diagnose Mr. Chen's glaucoma before performing the Membrane Surgery; failing to adequately inform Mr. Chen of the general risks inherent in the operation and of the increased risk due to the presence of his glaucoma; and carrying out the Membrane Surgery without adequately managing Mr. Chen's glaucoma. Mr. Chen further alleges that the Membrane Surgery was unnecessary in all of the circumstances, posed him serious risk, and ultimately caused him grievous harm. Finally, he accuses Dr. Ross of neglecting to provide him with appropriate post-operative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loss of vision in Mr. Chen's left eye was devastating to him and his immediate family and one can only feel sympathy for his ordeal. Tragic as that loss no doubt was, for the reasons that follow, I have concluded that it did not come about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either of the defendants. Accordingly, I have dismissed Mr. Chen's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Chen did not have legal counsel for a large portion of this trial or during much of the lead up to it. The medical evidence in this case was complex and the defendants' conduct was attacked on multiple fronts with an eye to considerable detail. I have chosen to address Mr. Chen's allegations and summarize the evidence in more depth than I might otherwise have done, as a means of assuring him that I have taken great care to consider the entirety of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PROCEDURAL BACKDROP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case proceeded in an unusual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trial began on June 25, 2012. At Mr. Chen's request, which was unopposed, I granted permission to his daughter, Heidi Chen, to assist him in trying his case. Mr. Chen relied on an interpreter throughout the proceedings. He testified in-chief for most of the first day at trial. Cross-examination started near the end of the first day and continued into day two. Although there were instances, particularly early on in direct examination, where Mr. Chen appeared to be responsive and coherent, difficulties surfaced during the course of his testimony, most notably while he was under cross-examination. On the second day, he became minimally responsive at best and his overall demeanour suggested that he was extremely confused.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His daughter, Ms. Chen, thought it was likely that her father was mentally exhausted and/or depleted by the excessive stress he was experiencing over appearing in Court. She urged that his apparent non-responsiveness would likely be rectified by taking a break from testifying. I endorsed her proposed course and other witnesses gave evidence for the balance of that day and the following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During the trial, I learned from the defendants' counsel that, in the preceding year on what was to have been the first day of this trial, the Court ordered that Mr. Chen be examined by a geriatric psychiatrist to assess whether he was mentally competent to participate in the litigation. The trial was necessarily adjourned at that time. The psychiatrist, Dr. M.O. Agbayewa reported that he found Mr. Chen to be coherent, internally consistent in his responses, with a good autobiographical memory, and good recall of immediate information. He observed that Mr. Chen knew what this lawsuit was about and why he was taking legal action, and the potential outcomes and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unfolding of the trial before me, Mr. Chen returned to the stand on the fourth day. There was a stark contrast between Dr. Agbayewa's positive assessment of Mr. Chen made some 11 months earlier and my observations of him when he resumed testifying. He continued to struggle with the questions and exhibited what I interpreted to be a general confusion, or possibly even disorientation. The trial was adjourned to facilitate a reassessment by Dr. Agbayewa. He concluded that Mr. Chen was capable of participating in the Court hearing and in his financial and legal affairs "with the assistance of his family and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Thereafter, the trial was adjourned to September 24, 2012 due to scheduling issues. Prior to the continuation, there was a case conference where Mr. Chen was present in the courtroom. Upon observing him that day, my concerns about his mental capacity to participate in this lawsuit were revived. I directed that Ms. Chen make her best efforts to obtain written confirmation from Mr. Chen's treating psychiatrist of his mental fitness to continue to participate as a party. Sometime later, the Court was advised that the psychiatrist did not wish to submit such a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Cross-examination of Mr. Chen resumed on September 25, 2012. At first, and for a short period only, he appeared to be at least marginally responsive in that he purported to adopt certain pieces of the evidence he had given at his examination for discovery. By and large, he did so in the form of one-word answers such as "yes" or "agree" when asked if his discovery evidence was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Within a relatively short time Mr. Chen stopped answering defence counsel's questions, most of which were straightforward. I then posed simple questions to Mr. Chen such as, "Are you able to tell me where you are right now?" and "Do you know why you are here today, Mr. Chen?" His answers were not coherent. At the urging of Ms. Chen, I allowed defence counsel to continue with cross-examination after a 30-minute recess. Mr. Chen remained silent after the questions were interpreted for him. Within a few minutes, it was plain that his responsiveness had not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September 26, 2012, I stayed this action until a litigation guardian or committee was appointed for Mr. Chen. Mr. Chen's wife was eventually appointed as her husband's litigation guardian, and Ms. Sood was retained as counsel to complete the trial on Mr. Chen's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Sood, who came aboard as counsel well into Mr. Chen's case, faced challenging circumstances given the complexity of the medical evidence and Mr. Chen's compromised capacity to provide instructions and to testify. I recognize that Ms. Sood was retained by the litigation guardian and, therefore, is technically not Mr. Chen's counsel; however, for sake of simplicity, in these Reasons I sometimes refer to her as Mr. Chen's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trial continued on December 13, 2012, at which time the cross-examination of Mr. Chen resumed. Very soon into questioning, it became obvious that Mr. Chen continued to lack competence to testify. He did not testify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 circumstances, I have significant concerns about the reliability and overall quality of Mr. Chen's evidence at trial, and in particular, the evidence given in cross-examination where he seemed to display cognitive fatigue and limitations. Despite my reservations, I have not discounted his testimony across the board, preferring instead to assess its weight on any given matter in the context of the other trial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There was no suggestion that at the time of Mr. Chen's discovery on December 13, 2005, his capacity to testify was impaired in any way. As part of their case, the defendants read in parts of his discovery testimony. Additional excerpts of the evidence from his examination for discovery were read in, either by agreement between counsel or as a result of my ruling that they were closely connected to the answers read in by defendants'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these Reasons, I will refer to Mr. Chen's discovery evidence that was read in at trial as his "Discovery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OF EVIDENCE</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Chen was born on May 7, 1930. He and his family immigrated to Canada from China in 1994. After their arrival, Mrs. Chen took a position working in a factory. Mr. Chen, who was 64 years old, was retired and passed his time studying, reading newspapers, playing stocks on the computer, and taking walks. It is common ground that being able to read and use the computer effectively was of tremendous importance to Mr. Chen throughout the relevant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Chen communicates exclusively in Mandarin and does not understand written or spoken English.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Throughout his later years, Mr. Chen has suffered from various ailments, including an array of vision difficulties as well as diabetes mellitus that he found challenging to control. More recently, he has endured strokes and has become confined to a wheelchair.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For a time, Mr. Chen was treated by an English-speaking general ophthalmologist but found the language barrier posed too great a problem. He and his family doctor, Dr. Sammy Lee, conversed in Mandarin. On January 24, 1996, Dr. Sammy Lee referred him to the defendant, Dr. Lee, who is also fluent in Mandarin and English, for routine diabetic eye care. Ms. Chen testified that "peripheral vision" was a second reason for the family doctor's referral to Dr. Lee. However, that was not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Because Mr. Chen's general practitioner has the same surname as the defendant, Dr. Lee, for clarity, I will refer to the former as Dr. Sammy Lee, and to the latter as Dr.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Lee received his medical degree from the University of New South Wales, Australia, in 1972 and obtained his fellowship of the Royal College of Surgeons and Physicians of Canada in the speciality of ophthalmology in 1984. After completion of a fellowship specializing in ocular plastic surgery in New York and another in anterior segment surgery with a special interest in the cornea at the University of Toronto, Dr. Lee began practicing ophthalmology in Canada in 1990. He is a member of several medical organizations, a Fellow of the American Academy of Ophthalmology, a Diplomat of the American Board of Ophthalmology, and a tutor in the Department of Ophthalmology, Faculty of Medicine, at the University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Most of his patients come by way of referral from their family doctors and encompass a myriad of eye problems, the majority of which is blurred vision. As a general ophthalmologist, Dr. Lee diagnoses and treats glaucoma.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the material time frame, Dr. Ross was a prominent retinal subspecialist. He was a clinical professor in the Department of Ophthalmology at the University of British Columbia, and the head of the retina divisions of both the Vancouver General Hospital and St. Paul's Hospital. He also pioneered the development of a specialized teaching facility for international Fellows studying to become subspecialists in retinal diseases and surgery. As a retinal subspecialist, Dr. Ross's medical practice concentrated on the diagnosis and treatment of diseases of the retina, especially those related to diabetes, as well as surgeries related to the retina. At the time that Mr. Chen underwent the Membrane Surgery, Dr. Ross had already carried out between 12,000 and 13,000 eye surgeries, of which approximately 2,000 to 2,500 were membrane peels.</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Non-contentious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lynchpin of Mr. Chen's claim is the allegation of a missed or delayed diagnosis of glaucoma by the defendant physicians. The uncontroverted medical evidence was to the effect that there are several kinds of glaucoma, each of which may have a different etiology. The shared pathway to vision loss in patients with glaucoma is the destruction of the optic nerve brought about by elevated intraocular pressure, the anatomy of the nerve itself, or vascular insufficiency. By far, the most commonly occurring variant of glaucoma is primary open angle glaucoma. In broad terms, it is classically caused by elevated intraocular pressure that harms the optic nerve. Its onset is often subtle, even insidious, adversely affecting peripheral vision often with no detectible symptoms. For that reason, this type of glaucoma is referred to as the "silent thief of 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Another form of glaucoma is known as low tension or normal tension glaucoma. As the name implies, for reasons that are not entirely understood medically, damage to the optic nerve in those cases occurs without abnormally high eye pressures.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optic disc (also known as the optic nerve head) is a circular area where the optic nerve and blood vessels connect to the retina at the back of the eye. In the center of the optic disc is a cup-like region called the optic cup. An ophthalmologist routinely compares the diameter of a patient's optic cup area of the optic disc against the diameter of the optic disc in which the cup sits. This comparative measurement is known as the "cup to disc ratio", which I have abbreviated as the "C/D ratio". It is a subjective assessment. The relevance of the C/D ratio in this case is that the optic disc in individuals with glaucoma often becomes cupped, producing a large C/D ratio. An increased C/D ratio is therefore a factor, albeit inconclusive, that may indicate the presence of glaucoma. Considerable evidence elicited at trial pertained to the appearance of Mr. Chen's optic nerve and optic disc, and the assessment of his C/D ratio throughout the material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was also established that glaucoma of all types can be detected by way of a visual field test, which assesses peripheral vision. One of the principal contentious issues in the case at hand is whether Mr. Chen ought to have undergone one or more visual field tests while under Dr. Lee's care, either as part of an annual eye examination or due to clinical signs and subjective complaints that suggested he may have glaucoma.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Visual acuity refers mainly to central vision. A measurement of 20/100 means that an individual can see only at 20 feet what a person with 20/20 sight is able to see at a distance of 100 feet. The evidence established that acuity of 20/50 is the threshold for driving, efficient reading, and computer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It is also undisputed that a fluorescein angiogram facilitates examination of the retina and retinal circulation and is a diagnostic tool for retinal disease and diseases associated with the retina. The test involves a series of high-speed colour photographs taken of the retina, mostly of the retinal vascular system, while a dye called fluorescein, which has been injected into the patient, passes through the eye. Each time an angiogram is done, a set of colour photographs are taken of the eye for documentation purposes.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Initial Appointment with Dr. Lee - February 22,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Chen was first seen by Dr. Lee on February 22, 1996. They conversed in Mandarin and had no difficulty communicating throughout their doctor-patient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During the initial appointment, Mr. Chen's main complaint was blurred vision in both eyes. Dr. Lee interviewed him about his ocular history, his medical history, and current medications. I accept Dr. Lee's testimony that Mr. Chen advised that there was no family history of glaucoma.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 magnifying slit lamp examination revealed a diffuse stromal scar on Mr. Chen's cornea, cataracts in both his eyes, and dry eye syndrome. Dr. Lee dilated Mr. Chen's pupils and used a direct and indirect ophthalmoscope to examine the fundus of his eye, which enabled him to look at the retina (including the peripheral retina), retinal blood vessels, vitreous humour, macula and the optic disc and optic cup, thereby facilitating assessment of the C/D ratio. All appeared normal to Dr. Lee at this visit. In Mr. Chen's chart, he drew a simple diagram of what he had observed as far as the optic disc, optic cup and blood vessels were concerned. Dr. Lee assessed Mr. Chen's C/D ratio; however, he did not chart it in numeric terms at this or any other appointment prior to the Membrane Surgery. This is because Dr. Lee's practice was to not record the actual C/D ratio measurement unless he considered it to be abnormal.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Lee measured Mr. Chen's visual acuity as 20/100 in his right eye and 20/60 in his left. In the course of his examination, he used a Goldman tonometer to measure the intraocular pressure ("IOP") of Mr. Chen's eyes. I accept his uncontradicted evidence that at the time and throughout his treatment of Mr. Chen, there were a number of acceptable ways to measure a patient's IOP and the Goldman technique was the "gold standard". Dr. Lee charted Mr. Chen's IOP as 16 in both eyes, which is within the normal range. With perhaps one exception, he did not record the time of day that he took Mr. Chen's IOPs.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Lee diagnosed dry eye syndrome and prescribed Mr. Chen artificial tears. He also advised him that in order to improve his vision, he might require cataract surgery in both of his eyes, particularly the right. I accept that Dr. Lee told Mr. Chen that if the cataract surgery on the right eye did not produce the desired outcome, a corneal transplant may be indicated to further improve his 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Chen was reluctant to proceed with cataract surgery at that time.</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Medical Appointments - March 12, 1996 to October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When Mr. Chen returned to Dr. Lee on March 12, 1996, he reiterated his complaint of blurred vision, particularly in his right eye. On examination, his visual acuity had not changed. I accept Dr. Lee's evidence that he assessed Mr. Chen's C/D ratio as normal at that time and, adhering to his customary practice, did not record it numerically because it was not abnormal. The discussion of possible cataract surgery was revived by Dr. Lee. He gave credible testimony, supported by the contents of his chart, to the effect that Mr. Chen expressed a change of mind about undergoing cataract surgery and said that he would follow up after his trip to Hong Kong.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accept Dr. Lee's testimony that he waited several weeks for Mr. Chen to follow-up and, upon hearing nothing further after two-and-a-half months, sent Dr. Sammy Lee a detailed consult letter setting out his findings, clinical impression, and suggested management of Mr. Chen based on his initial assessment on February 22, 1996. Dr. Sammy Lee had no recollection of discussing the contents of the consult letter with Mr. Chen. His view was that engaging in such a discussion was part of Dr. Lee's responsibility as the general ophthalmologist and I am satisfied that Dr. Lee had done so. In closing submissions, Mr. Chen's counsel suggested there was something careless or otherwise substandard in Dr. Lee waiting this long a period of time before sending his consult to Dr. Sammy Lee. The submission is groundless and does not advance Mr. Chen's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September 18, 1996, Mr. Chen presented to Dr. Sammy Lee with worsening acuity in his left eye. The plan was to follow up with Dr. Lee the next day. In her questions to Dr. Sammy Lee in-chief, it was evident that Ms. Chen believed that a notation of "PERL" that he had charted at that visit pertained to concerns or complaints her father had expressed about his peripheral vision. Dr. Sammy Lee explained that PERL referred to a clinical test known as "pupils equal and reactive to light" that checks whether the pupils are functioning properly, and was in no way connected to Mr. Chen's peripheral vision. Of note is that Dr. Sammy Lee had no recollection of Mr. Chen ever complaining about the impairment of his peripheral vision before he underwent the Membrane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Reiterating his complaint of blurred vision, especially in the right eye, Mr. Chen met with Dr. Lee on September 19, 1996. Visual acuity in his right eye was measured at 20/100 with optical correction and the left eye at 20/60. His IOP was recorded as 18 in both eyes, which was normal. Dr. Lee examined the corneas through a slit lamp and again raised the prospect of cataract surgery. I accept his testimony that, as part of the overall discussion, he cautioned Mr. Chen that cataract surgery would not restore his visual acuity to a level of 20/20. Dr. Lee also prescribed bifocal glasses for Mr. Chen.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At Mr. Chen's appointments on January 18 and June 19, 1997, Dr. Lee recorded his IOP as varying between 18 and 19, which are within normal parameters. His visual acuity remained stable. At the June appointment, Dr. Lee advised Mr. Chen to come back in six months'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Chen did not wait six months to follow up with Dr. Lee. Instead, he returned on August 26, 1997, complaining that his left eye had started to become blurry. Dr. Lee found that the visual acuity in Mr. Chen's left eye had declined. At this appointment, Dr. Lee once again used a slit lamp to examine Mr. Chen's cornea, found the IOP in both eyes to be normal, and performed a dilated fundus examination using a direct and indirect ophthalmoscope. He also ordered a PAM study that Mr. Chen subsequently underwent at the eye care center. The results predicted that Mr. Chen could potentially achieve 20/25 vision in both eyes after the removal of his cataracts.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Chen saw Dr. Lee on September 25, 1997, complaining of worsened visual acuity of his right eye, which was confirmed on examination. I accept Dr. Lee's testimony that he accurately explained the results of the PAM study to Mr. Chen and again outlined the "pros, cons and risks" of cataract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Chen agreed to move ahead with cataract surgery in his right eye. The procedure was scheduled for October 7,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Sammy Lee assessed Mr. Chen as generally fit to have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 few days before the scheduled cataract surgery, Dr. Lee saw Mr. Chen for complaints of pain in his right eye. Using the direct and indirect ophthalmoscope, he checked the fundus of Mr. Chen's eye and assessed it as normal. However, in examining the cornea of his right eye with a slit lamp, he found signs of dry eye. His impression was dry eye syndrome was the cause of Mr. Chen's right eye pain and advised him to use lubricating eye drops.</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Evidence of Falls Prior to Cataract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August 1, 1997, Mr. Chen went to the emergency department of the Richmond Hospital where he was examined by Dr. Dean Smith. The emergency room record noted that Mr. Chen reported having fallen and that his chief complaint was dizziness. Dr. Smith charted that Mr. Chen had been involved in an altercation with a family member, had felt faint, and fell to the floor. He also recorded "PERL, unable to visualize fundi". Dr. Sammy Lee reiterated his evidence that the notation of PERL in this record was not a reference to Mr. Chen's peripheral 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Chen saw Dr. Sammy Lee a few days after his visit to the emergency room. He essentially reiterated the entries charted by Dr. Smith to the effect that he had had a fight with a family member, had been very upset, and had felt faint. Dr. Sammy Lee thought Mr. Chen may have fallen down as a result, but could not be 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September 18, 1997, Mr. Chen told Dr. Sammy Lee he had fallen down. Dr. Sammy Lee charted that Mr. Chen sustained abrasions to his knees and his right hand and recorded, "can't see too well due to cataracts".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These were the only two incidences recorded by Dr. Sammy Lee that referred to Mr. Chen having fallen, and both of them had taken place before he underwent cataract surgery.</w:t>
      </w:r>
      <w:r>
        <w:rPr>
          <w:rFonts w:ascii="arial" w:eastAsia="arial" w:hAnsi="arial" w:cs="arial"/>
          <w:sz w:val="20"/>
          <w:lang w:val="en-US" w:eastAsia="en-US" w:bidi="ar-SA"/>
        </w:rPr>
        <w:cr/>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Confrontation Visual Field Test before Cataract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Prior to the cataract surgery, Dr. Lee completed a pre-printed Cataract Pre-operative Assessment Report that required him to carry out specified examinations of Mr. Chen's eyes. Among other things, he measured Mr. Chen's IOP, assessed his optic disc, optic cup, macula, and retina using a direct and indirect ophthalmoscope, and performed a gonioscopic examination. He found all the results to be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this occasion, Dr. Lee also carried out a confrontation visual field test aimed at detecting dysfunction in Mr. Chen's peripheral vision and charted the results. He administered the test by having Mr. Chen cover each eye while staring straight ahead as he moved his fingers off to the side of Mr. Chen's head and out of view and slowly brought them back to center within Mr. Chen's visual quadrants. Dr. Lee's evidence that the confrontation visual field test did not reveal any difficulties or deficits with Mr. Chen's peripheral vision was unchallenged and I accept it as accurate.</w:t>
      </w:r>
      <w:r>
        <w:rPr>
          <w:rFonts w:ascii="arial" w:eastAsia="arial" w:hAnsi="arial" w:cs="arial"/>
          <w:sz w:val="20"/>
          <w:lang w:val="en-US" w:eastAsia="en-US" w:bidi="ar-SA"/>
        </w:rPr>
        <w:cr/>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Cataract Surgery and Medical Appointments to December 31,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Lee performed cataract surgery on Mr. Chen's right eye on October 7, 1997. Mr. Chen had several follow-up appointments with Dr. Lee between October 8 and December 18, 1997. Dr. Lee checked Mr. Chen's IOP at the majority of those visits, each time assessing it as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Nine days after the procedure, Dr. Lee noted a substantial improvement in the visual acuity of Mr. Chen's right eye. During the November 20 appointment, he performed another dilated fundus examination and assessed Mr. Chen's optic disc, optic cup, retina, macula, and retinal blood vessels as normal. At the December 4 visit, Dr. Lee observed signs of opacification of the posterior capsule behind the lens in Mr. Chen's right eye. With Mr. Chen's consent, he performed a YAG laser procedure to address the opacification and thereafter the visual acuity in Mr. Chen's right eye further improved. Dr. Lee prescribed him new glasses.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Chen also saw Dr. Sammy Lee at various times in October, November, and December 1997. Dr. Sammy Lee testified that, as was typically the case, Mr. Chen's primary complaints on these occasions mostly pertained to his diabetes condition.</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Evidence of Falls after Cataract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Chen testified that her father fell several weeks after the cataract surgery and told her he was tripping all the time because he was not able to see anything under his nose. She also said that several weeks after the surgery her father claimed that he was still in pain and that his right eye vision had not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Sammy Lee did not chart complaints of eye pain within this time frame. On the contrary, at their November 21, 1997 session he noted that Mr. Chen reported feeling "okay", even though he could not read the newspaper for more than ten minutes at a time, "can get double vision", and felt his vision was only "so-so". At this visit and the next one on December 27, 1997, Dr. Sammy Lee charted that Mr. Chen was in no apparent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Chen had accompanied her father to the December 27 appointment. Either she or her father told Dr. Sammy Lee that Mr. Chen's vision was still blurry and that he wanted a different eye doctor. Ms. Chen asked that her father be referred to her general ophthalmologist, Dr. Roger Thomas, to obtain a second opinion. At Ms. Chen's request, Dr. Sammy Lee made the referral. His referral form stated that Mr. Chen was diabetic, had cataract extraction by Dr. Lee in 1997 and complained of and was concerned about his worsening visual acuity.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Chen claimed that she had also taken her father to see Dr. Lee after the cataract surgery and told him that her father had fallen and had developed a pattern of tripping. According to her, Dr. Lee dismissed these complaints and attributed the tripping to Mr. Chen having "walked too fast or something" and offered no tests or treatment. At times, Ms. Chen's evidence was difficult to follow largely because she tended to move in and out of chronological order in the telling of it. It was not clear whether her testimony concerning this discussion with Dr. Lee, which had been given in the context of her discussion of events before Mr. Chen saw Dr. Thomas, occurred around then or possibly later in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direct examination, Dr. Lee testified that Mr. Chen had never reported to him that he had fallen down and that neither Mr. Chen nor any member of his family complained about difficulties with his vision suggestive of peripheral vision loss. He added that he would have recorded such complaints in his chart and they were absent. In cross-examination, evidence given at his examination for discovery was put to Dr. Lee. The excerpt was to the effect that Dr. Lee did not recall Mr. Chen complaining about falling down and injuring his knees after the cataract surgery, and continued "that if - he - he probably - I think he mentioned it but I did not recorded as I never document it". Dr. Lee agreed that he had given that answer on discovery. However, he was not asked whether his answer was true or whether he adopted it as part of his evidence at trial. The only cogent evidence that Mr. Chen had fallen and injured his knees, which was the lead-in to the question, pertained to the event that had happened in September 1997 before his cataract surgery. Moreover, Mr. Chen's Discovery Testimony was that the complaints of falling he expressed to Dr. Lee referred to two incidences, both of which had occurred before and not after his cataract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Chen contended that Dr. Lee's failure to chart his complaint of falling indicated that he failed to properly maintain records of his complaints of vision difficulties, in violation of his duty of care. This attempted line of argument did not advance Mr. Chen's case. To this I would add the larger observation that, as it turned out, the evidence about Mr. Chen's falls was not germane to the material issues in this case.</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Thomas's Consult - February 5,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Thomas assessed Mr. Chen's vision on February 5, 1998. He testified at trial but did not give expert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Thomas agreed to see Mr. Chen on an urgent basis at the request of and as a courtesy to Ms. Chen who was his current patient. It appears as though Mr. Chen had previously been seen by Dr. Thomas in or around 1995; however, the details of any prior visits were not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Thomas understood that he was being asked to provide a second opinion to Mr. Chen as to why his vision did not seem better after the cataract surgery. He recorded that Mr. Chen complained that he "can't read newspaper, falling at times when walking".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Thomas measured Mr. Chen's visual acuity as 20/100 unaided in his right eye, and 20/50 minus in his left, with a normal IOP of 17 on each side. Although he did not record the C/D ratio numerically, Dr. Thomas drew a diagram of the optic cup and disc and wrote the word "cupped" next to it in his chart.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the consult letter he sent to Dr. Sammy Lee, Dr. Thomas commented that Mr. Chen's right optic nerve head appeared cupped. He did not reproduce or attach his chart diagram of the C/D ratio or express Mr. Chen's C/D ratio in numeric terms. At trial, he testified that his diagram depicted a "somewhat large" C/D ratio corresponding to 0.7. Dr. Thomas said that although he did not test Mr. Chen's peripheral vision, based on his C/D ratio of 0.7, he would have expected it to be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Thomas discovered evidence of a membrane over the retina of Mr. Chen's left eye and arranged for him to be assessed by Dr. Tom Chang, a retinal subspecialist. He testified that he did not run any further investigations because he was not assuming responsibility for Mr. Chen's overall ophthalmologic care, and because he regarded the membrane as Mr. Chen's most urgent ocular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Ms. Chen testified that Dr. Thomas had referred her father to Dr. Chang because of "cup to disc ratio problems". Her understanding was incorrect.</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Chang's Consult - February 12,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Chang carried out a retinal examination of Mr. Chen on February 12, 1998. Ms. Chen did not attend. Dr. Chang did not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He recorded the visual acuity in Mr. Chen's right eye as 20/40 and as 20/60 in his left. Dr. Chang's measurement of Mr. Chen's visual acuity of his right eye was vastly better than the acuity assessed by Dr. Thomas. The evidence established that there is a subjective feature to determining visual acuity that is dependent on the patient's level of cooperation and reticence about guessing at answers during the test. Those subjective considerations mean that testing of the same patient by different healthcare providers could yield slightly different visual acuities. That variability was demonstrated by the differences in Mr. Chen's visual acuity obtained by Drs. Thomas and Chang. I understood Ms. Sood to say in closing submissions that both Drs. Thomas and Chang had recorded Mr. Chen's IOP as elevated. That was not the evidence. The only evidence of Mr. Chen having high IOPs prior to the Membrane Surgery is the measurement obtained by Dr. Chang.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Chang arranged for fluorescein angiography to be performed in respect of both of Mr. Chen's eyes. The angiogram was interpreted by Dr. K. Tawansy under the supervision of Dr. Chang. They reported a slight disc pallor with a generous cup in Mr. Chen's right eye with normal appearing blood vessels, and the presence of an epiretinal membrane with associated leakage in his left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his consult to Dr. Thomas, Dr. Chang reported that the dilated fundus examination revealed a "large cup:disc ratio in both eyes", measuring approximately 0.6. Mr. Chen's IOP was higher than usual at 23 in his right eye and 24 in his left. He also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Mr. Chen has features consistent with an epiretinal membrane in his left eye. At the present time, his visual functioning is 20/60 and so I have encouraged him to leave this alone for the time being. I recognize that he is considerably troubled by this 20/60 vision although I would like to make sure that he in fact would appreciate the risks and benefits from surgical intervention prior to obtaining a 20/70 level of disability in his left eye. In regards to his diabetic retinopathy, things are stable at the present time. I am a bit at a loss to explain his 20/40 vision in the right eye. I do not see any overt macular pathology...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He added this addendum to the foot of the letter: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ADDENDUM: Fluorescein angiography was performed and did not disclose any evidence of cystoid edema in the right eye. In the left eye, there was some late leakage appreciated. This is likely due to the epiretinal membrane.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Based on the main body of this consult, Dr. Thomas understood Dr. Chang's advice to be that Mr. Chen's vision in his left eye would have to get "a little worse" before the benefits of surgical removal of the membrane would outweigh the risks it posed. That said, to Dr. Thomas's mind, Dr. Chang's addendum added a difference in that it reported that Mr. Chen was experiencing fluid leakage, which signalled to Dr. Thomas that the membrane was creating damage which was an indication for doing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Sammy Lee did not discuss the contents of Dr. Thomas's consult letter with Mr. Chen. He could not recall whether he was ever provided with a copy of Dr. Chang's consult to Dr. Thomas or whether, if he had received it, he had read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Lee was adamant that he did not become aware of Mr. Chen's appointments with Dr. Thomas and Dr. Chang until after this litigation was well underway. Despite the skepticism shown by Mr. Chen's counsel in her cross-examination of Dr. Lee, I find there to be no convincing evidence to indicate or from which to reasonably infer that the respective consult letters of Drs. Thomas and Chang were forwarded to Dr. Lee, either by those physicians or by Dr. Sammy Lee. I conclude that Dr. Lee was not informed that Mr. Chen had been seen by Dr. Thomas and Dr. Chang and had no knowledge of their findings or the contents of their consult letters before the Membrane Surgery.</w:t>
      </w:r>
      <w:r>
        <w:rPr>
          <w:rFonts w:ascii="arial" w:eastAsia="arial" w:hAnsi="arial" w:cs="arial"/>
          <w:sz w:val="20"/>
          <w:lang w:val="en-US" w:eastAsia="en-US" w:bidi="ar-SA"/>
        </w:rPr>
        <w:cr/>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Other Medical Appointments in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Chen's first appointment with Dr. Lee in 1998 took place on March 5. During that session, the acuity in his right eye was measured as 20/30 with optical correction, and his IOP was recorded as normal at 18. Dr. Lee's assessment was that he was doing well and should follow-up in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As it happened, Mr. Chen decided to proceed with a vitrectomy and membrane peel on his left eye with Dr. Chang. In evidence was a hospital consent form signed by Mr. Chen on March 24, 1998, by which he consented to a "left vitrectomy and membrane peel by Dr. Chang". It is common ground that Mr. Chen ultimately decided not to go through with the procedure with Dr. Chang. His Discovery Testimony was to the effect that Dr. Chang had informed him of two "failure rates" connected to the procedure; one was 20 percent and the other was 15 percent. Mr. Chen said he felt that what Dr. Chang was telling him was not reliable and he did not trust him. Ms. Chen testified that she understood from her father that Dr. Chang's estimated failure rate for the membrane procedure was 20 percent. She said she warned her father that the risk was "too high" and there was "no way" he should undergo the operation. The evidence of what Dr. Chang may have advised Mr. Chen and what Mr. Chen, in turn, told his daughter concerning the risks of a membrane peel procedure was not admitted as evidence at trial for the truth of its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foregoing events were not known to Dr.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When Mr. Chen returned to Dr. Lee on May 4, 1998, he complained that he was not able to see as well as he had expected. In the course of that visit, Dr. Lee discovered that Mr. Chen had not filled his prescription for glasses that Dr. Lee had written almost five months earlier. Dr. Lee admitted to being a little "emotional" that Mr. Chen had not taken the step of obtaining his glasses. He rewrote the prescription and urged Mr. Chen to have it filled.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Chen next saw Dr. Lee on August 25, 1998. At that visit, Dr. Lee examined Mr. Chen's fundus and concluded that his optic disc, optic cup, macula, retinal blood vessels, and peripheral retina looked healthy. Mr. Chen returned on October 22, 1998, this time reporting that he could not see well out of his left eye. Dr. Lee assessed the optic disc as normal; however, he spotted what he thought may be evidence of hemorrhage in Mr. Chen's left macula, which led him to question whether Mr. Chen might have age-related macular degeneration. His clinical impression was of a left macula hemorrhage related to age-related macular degeneration. Based on these findings, he arranged for fluorescein angiography.</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Fluorescein Angiogram - October 29,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An angiographic study was done at the Vancouver General Hospital on October 29, 1998 (the "October 1998 Angiogram"). The results were interpreted by Dr. Purohit and reviewed by Dr. Alan Maberley, a senior and respected retinal subspecialist. Dr. Maberley was called as a witness and gave expert opinion evidence at trial on Mr. Chen's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October 1998 Angiogram report did not mention any perceived pathology of the optic disc in Mr. Chen's right eye and stated that the "fundus photographs of the left eye shows a normal appearing optic disc and retinal vessels". Nor did it mention any observed cupping or report the C/D ratio in either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quality of the photographs of Mr. Chen's right eye was documented as being poor. As to the left eye, the report noted angiographic evidence of cystoid macular edema and an unusual appearance of the left fundus. The doctors who interpreted the angiographic studies were not able to determine from the photographs whether the problem in the left eye was a possible epiretinal membrane or chorioretinal dystrophy. Consideration of obtaining further imagery of both eyes and an electroretinogram was recommended. Dr. Maberley testified that the purpose of the electroretinogram would be to rule out macular dystrophy and a severe vascular component.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Lee received and reviewed the October 1998 Angiogram, including the colour photographs. He was satisfied that Mr. Chen's optic disc and optic cup in both eyes looked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At Mr. Chen's next appointment on November 16, 1998, Dr. Lee thought he detected a small epiretinal membrane; however, he was not certain and still considered it possible that Mr. Chen may have age-related macular degeneration. I am satisfied that Dr. Lee discussed the results of the October 1998 Angiogram and his clinical findings with Mr. Chen, told him he wanted to follow him more closely, and recommended that he have a fresh angiogram. Mr. Chen informed Dr. Lee he was planning to leave the country for about a year, and asked for a letter describing his eye condition. Complying with the request, Dr. Lee prepared a brief letter dated November 16, 1998, addressed "to whom it may concern", summarizing Mr. Chen's ocular problems, and inviting the recipient to contact him with questions. Dr. Lee understood that Mr. Chen wished to seek a second opinion in relation to his vision difficulties from a physician in China and that his letter might be used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As revealed in both his Discovery Testimony and his testimony at trial, Mr. Chen's vision in both eyes deteriorated in the year or so that he was away from Vancouver, travelling in China and Hong Kong. He explained that he did not see an eye doctor while away because it was too expensive and he planned to return to Vancouver.</w:t>
      </w:r>
      <w:r>
        <w:rPr>
          <w:rFonts w:ascii="arial" w:eastAsia="arial" w:hAnsi="arial" w:cs="arial"/>
          <w:sz w:val="20"/>
          <w:lang w:val="en-US" w:eastAsia="en-US" w:bidi="ar-SA"/>
        </w:rPr>
        <w:cr/>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First Appointment with Dr. Lee upon return from China/Hong Kong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Chen did not return to see Dr. Lee for nearly 13 months. Dr. Lee's medical chart indicates that a different family doctor, Dr. Janet Sun, referred Mr. Chen back to him, resulting in an appointment on December 3,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At that time, Mr. Chen complained to Dr. Lee of blurred vision in both eyes and, in particular, of deteriorating visual acuity in his left eye. At 20/100 with optical correction, Dr. Lee found that the visual acuity in Mr. Chen's left eye had significantly declined. He concluded that the fundoscopic examination supported his clinical impression of age-related macular degeneration in the left eye; however, he remained of the view that a new fluorescein angiogram was required.</w:t>
      </w:r>
      <w:r>
        <w:rPr>
          <w:rFonts w:ascii="arial" w:eastAsia="arial" w:hAnsi="arial" w:cs="arial"/>
          <w:sz w:val="20"/>
          <w:lang w:val="en-US" w:eastAsia="en-US" w:bidi="ar-SA"/>
        </w:rPr>
        <w:cr/>
      </w:r>
    </w:p>
    <w:p>
      <w:pPr>
        <w:numPr>
          <w:numId w:val="4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Fluorescein Angiogram - December 8, 1999</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Dr. Lee arranged for Mr. Chen to have a fluorescein angiogram on December 8, 1999 (the "1999 Angiogram"). Those results were interpreted by Dr. K. Colleaux and Dr. Alan Maberley's son, Dr. David Maberley, who is also a retinal subspecialist. The left eye was said to have a prominent epiretinal membrane and mild vascular "tortuosity", with significant cystoid macular edema. The evidence established that the term "tortuosity" refers to the membrane tugging on Mr. Chen's retina.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report mentioned a C/D ratio in Mr. Chen's right eye of 0.7 with healthy vessels. The C/D ratio in the left eye was also recorded as 0.7; however, the membrane was said to obscure the appearance of the underlying vessels. The 1999 Angiogram report contained no comment about the appearance of Mr. Chen's optic nerve and closed with this statement: "Appropriate referral for consideration of possible vitrectomy membrane peeling is indicated, as this patient may benefit visually from this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Lee reviewed the 1999 Angiogram report and photographs. His impression was that Mr. Chen's optic disc, optic cup, macula, and blood vessels looked good and appeared normal. He concluded that Mr. Chen had a large epiretinal membrane with cystoid macular edema in his left eye.</w:t>
      </w:r>
      <w:r>
        <w:rPr>
          <w:rFonts w:ascii="arial" w:eastAsia="arial" w:hAnsi="arial" w:cs="arial"/>
          <w:sz w:val="20"/>
          <w:lang w:val="en-US" w:eastAsia="en-US" w:bidi="ar-SA"/>
        </w:rPr>
        <w:cr/>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Appointment with Dr. Lee - January 7,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accept Dr. Lee's evidence that his examination of Mr. Chen's eyes on January 7, 2000, which included a fundoscopic examination, revealed no abnormal findings. He testified that the C/D ratio of 0.7 noted in the 1999 Angiogram report did not cause him concern because his clinical assessment had confirmed a healthy looking optic nerve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During this appointment, Dr. Lee explained the 1999 Angiogram findings to Mr. Chen and advised him that the membrane was the cause of the worsening vision in his left eye. He recommended that Mr. Chen be referred to Dr. Ross, a retinal subspecialist, and Mr. Chen agreed.</w:t>
      </w:r>
      <w:r>
        <w:rPr>
          <w:rFonts w:ascii="arial" w:eastAsia="arial" w:hAnsi="arial" w:cs="arial"/>
          <w:sz w:val="20"/>
          <w:lang w:val="en-US" w:eastAsia="en-US" w:bidi="ar-SA"/>
        </w:rPr>
        <w:cr/>
      </w:r>
    </w:p>
    <w:p>
      <w:pPr>
        <w:numPr>
          <w:numId w:val="4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Referral to Dr. Ross - January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Drs. Lee and Ross enjoyed a good working relationship of long standing. Dr. Lee often referred patients to Dr. Ross by telephone rather than by written referral, an arrangement Dr. Ross found acceptable. In keeping with that pattern, Dr. Lee called Dr. Ross to discuss the referral of Mr. Chen. I am satisfied that during their conversation, Dr. Lee provided a brief synopsis of Mr. Chen's presenting visual difficulties, explaining that he was a diabetic and had an epiretinal membrane that had resulted in impairment of his ability to read, and that he ought to be seen as soon as possible. The reason for the referral was the presence of the epiretinal membrane on Mr. Chen's left retina that was obstructing his central 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Ross agreed to see Mr. Chen and an appointment was scheduled for January 21, 2000.</w:t>
      </w:r>
      <w:r>
        <w:rPr>
          <w:rFonts w:ascii="arial" w:eastAsia="arial" w:hAnsi="arial" w:cs="arial"/>
          <w:sz w:val="20"/>
          <w:lang w:val="en-US" w:eastAsia="en-US" w:bidi="ar-SA"/>
        </w:rPr>
        <w:cr/>
      </w:r>
    </w:p>
    <w:p>
      <w:pPr>
        <w:numPr>
          <w:numId w:val="4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Initial Appointment with Dr. Ross - January 21,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Chen's first visit with Dr. Ross took place at his private office on January 21, 2000. Mr. Chen was accompanied by his son-in-law, Edward Shen who was Ms. Chen's husband at that time. Mr. Shen was employed as an administrator at the University of Hong Kong at the time of trial and testified in English with no language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Shen acted as his father-in-law's interpreter throughout this appointment and the next one on January 26 with Drs. Stockl and Ross. According to him, he translated the discussion in a literal fashion on both occasions. Mr. Chen's Discovery Testimony, which I accept, was that he trusted that Mr. Shen was interpreting the important matters raised at these appointments.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Ross had none of Mr. Chen's past medical records. He persuasively explained that it was not important for him to obtain them in order to assess Mr. Chen in the realm of his subspecialty. This is because he always conducts his own examination and arranges whatever battery of tests he considers appropriate in order to ascertain for himself the patient's precise and current retinal pathology.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Shen testified that through him, Mr. Chen informed Dr. Ross that he had had cataract surgery on his right eye and that his eye condition had not improved. In the context of giving this evidence, Mr. Shen went on to say that Mr. Chen had problems tripping and difficulty distinguishing colours, using the computer and reading, and had been recommended to have membrane surgery in the past "but the risk was very high". It was not clear whether this latter piece of evidence was intended to convey that Mr. Shen had actually informed Dr. Ross of Dr. Chang's past surgical recommendation, or was simply informing the Court of his knowledge of the medical background in general terms. In the event and to the extent that his evidence was that he told Dr. Ross that Mr. Chen had previously been advised to undergo a membrane peel, I find he is mistaken. The preponderance of the evidence, including the forceful testimony of Dr. Ross, is persuasively to the opposite effect. Like Dr. Lee, Dr. Ross was not aware that Mr. Chen had been diagnosed with an epiretinal membrane by another retinal subspecialist in 1998 and had come close to undergoing the very surgery that he was consulting Dr. Ross about.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his Discovery Testimony, Mr. Chen said that when he first saw Dr. Lee, his complaint was that one of his eyes was not comfortable. He said that over time, he told Dr. Lee that his sight was worsening and negatively impacting his ability to read and do stocks on the computer, and that on at least two occasions he had tripped and fallen. His Discovery Testimony was that he basically told Dr. Ross the same thing about his eyesight as he had told Dr. Lee. When asked during his evidence in-chief to recount what he told Dr. Ross about his eye complaints, Mr. Chen replied that he had said he had a bad eye, that his vision was blurry, and that his eyes would become teary and painful after reading the newspaper or looking at the stock market figures on the television. According to him, those were the very problems he had been seeing Dr. Lee about for so 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accept Dr. Ross's evidence that Mr. Chen's presenting complaint was that he had difficulty seeing and reading.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the course of his examination, Dr. Ross measured Mr. Chen's visual acuity as 20/70 in his left eye and found his IOP to be 14 in both eyes, which is normal. According to Dr. Ross, the degree of visual compromise in Mr. Chen's left eye was significantly inferior to an acuity level of 20/50 and meant he was severely visually impaired and could not read or use a computer well or with any efficiency, which detrimentally impacted the quality of his life. Dr. Ross's evidence was consistent with the other medical evidence, and I accept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Ross's evidence, which was supported by the expert medical evidence, was that the C/D ratio is an important factor in determining whether there is an index of suspicion for glaucoma, but, of itself, is not conclusive. This is because many patients with a large C/D ratio do not have glaucoma and others with small C/D ratios may have it. He testified that the health of the tissue of the neuroretinal rim surrounding the optic disc is a far more important factor in assessing glaucoma than a standalone measurement of the C/D ratio.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Ross assessed Mr. Chen's C/D ratio as 0.7 in his right eye and 0.8 in his left. He found that the neuroretinal tissue at the margin of Mr. Chen's optic disc had "good colour" and looked healthy in both eyes, leading him to conclude that Mr. Chen had a normal variant of an increased C/D ratio. He charted no diabetic hemorrhages.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Ross observed a "very very thick" stage 2 membrane obstructing Mr. Chen's left retina like a piece of wax paper. His impression was that the membrane was the source of the poor visual acuity in Mr. Chen's left eye and his corresponding impairment to see and read.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Ross informed Mr. Chen of the presence of the membrane and advised that further testing would have to be done before he could come to a firm conclusion regarding surgical intervention. This diagnosis was not news to Mr. Chen: he had been aware of the existence of the membrane for nearly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Following his usual practice, Dr. Ross arranged for Mr. Chen to have fluorescein angiographic studies to confirm the membrane diagnosis and document the present pathology, including whether the membrane was causing any fluid leakage. He sent a consult letter to Dr. Lee dated January 21, 2000, in which he summarized his findings, including that Mr. Chen's optic disc looked healthy, and said he would discuss the results of the angiographic studies with him when they became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Shen testified that Dr. Ross had many patients that day and the initial visit with him was very brief, lasting approximately five minutes. Dr. Ross said he would have spent between 10 and 15 minutes with Mr. Chen at that first appointment. He said he requires roughly 10 minutes to perform the necessary eye examination and determine the next steps to be taken. He testified that the fact that Mr. Chen communicated through an interpreter did not increase the duration of his examination, explaining that his eye examination is a very objective and technical undertaking, in contrast to diagnosing, for example, a stomach ache or pain. Dr. Ross stated that he is able to fully examine the eye of someone who does not speak at all. I accept his evidence.</w:t>
      </w:r>
      <w:r>
        <w:rPr>
          <w:rFonts w:ascii="arial" w:eastAsia="arial" w:hAnsi="arial" w:cs="arial"/>
          <w:sz w:val="20"/>
          <w:lang w:val="en-US" w:eastAsia="en-US" w:bidi="ar-SA"/>
        </w:rPr>
        <w:cr/>
      </w:r>
    </w:p>
    <w:p>
      <w:pPr>
        <w:numPr>
          <w:numId w:val="4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Second appointment with Dr. Ross and Fluorescein Angiogram - January 26,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At the time, Dr. Frank Stockl was a postgraduate doctor who had completed his residency in ophthalmology and was on his way to becoming a subspecialist in retinal diseases and surgery. By January 2000, he had been Dr. Ross's Fellow for approximately seven months. Dr. Ross praised him as an exceptionally brilliant and skilled Fellow.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angiographic testing requisitioned by Dr. Ross was performed on Mr. Chen at the St. Paul's eye clinic on January 26, 2000 (the "2000 Angiogram"). Acting within his purview as a Fellow, Dr. Stockl interpreted the results under the supervision of and in conjunction with Dr. Ross, and in the presence of medical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Stockl viewed the colour fundus photographs stereoscopically which gave him a three-dimensional-like depth perception. The photographs of both eyes were recorded as demonstrating a normal optic disc with a healthy neuroretinal rim. Dr. Ross explained that meant there was no evidence of optic disc excavation that is commonly associated with glaucoma. The presence of a diffuse stage 2 epiretinal membrane in the left eye was confirmed. The left eye was said to show increased tortuosity of the vessels surrounding the membrane. Evidence of fluid leakage from the macula, which could be accounted for as a secondary effect of the membrane, was also observed. Dr. Ross testified that the presence of fluid indicated that Mr. Chen's left retina was being pulled on and undergoing further degeneration. He said the fluid had given rise to cystoid macular edema which was of great concern and a chief indication for doing the membrane peeling procedure. Dr. Ross believed that Mr. Chen's left eye was still salvageable and concurred with Dr. Stockl's view that surgical removal was indicated.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According to Mr. Shen, at this appointment or the previous one, Dr. Ross had advised that if Mr. Chen did not have the operation, he </w:t>
      </w:r>
      <w:r>
        <w:rPr>
          <w:rFonts w:ascii="arial" w:eastAsia="arial" w:hAnsi="arial" w:cs="arial"/>
          <w:i/>
          <w:color w:val="000000"/>
          <w:sz w:val="20"/>
          <w:lang w:val="en-US" w:eastAsia="en-US" w:bidi="ar-SA"/>
        </w:rPr>
        <w:t>would</w:t>
      </w:r>
      <w:r>
        <w:rPr>
          <w:rFonts w:ascii="arial" w:eastAsia="arial" w:hAnsi="arial" w:cs="arial"/>
          <w:color w:val="000000"/>
          <w:sz w:val="20"/>
          <w:lang w:val="en-US" w:eastAsia="en-US" w:bidi="ar-SA"/>
        </w:rPr>
        <w:t xml:space="preserve"> lose his vision in three to six months. At a subsequent point, Mr. Shen agreed that Dr. Ross had said that he </w:t>
      </w:r>
      <w:r>
        <w:rPr>
          <w:rFonts w:ascii="arial" w:eastAsia="arial" w:hAnsi="arial" w:cs="arial"/>
          <w:i/>
          <w:color w:val="000000"/>
          <w:sz w:val="20"/>
          <w:lang w:val="en-US" w:eastAsia="en-US" w:bidi="ar-SA"/>
        </w:rPr>
        <w:t>could</w:t>
      </w:r>
      <w:r>
        <w:rPr>
          <w:rFonts w:ascii="arial" w:eastAsia="arial" w:hAnsi="arial" w:cs="arial"/>
          <w:color w:val="000000"/>
          <w:sz w:val="20"/>
          <w:lang w:val="en-US" w:eastAsia="en-US" w:bidi="ar-SA"/>
        </w:rPr>
        <w:t xml:space="preserve"> (as distinct from </w:t>
      </w:r>
      <w:r>
        <w:rPr>
          <w:rFonts w:ascii="arial" w:eastAsia="arial" w:hAnsi="arial" w:cs="arial"/>
          <w:i/>
          <w:color w:val="000000"/>
          <w:sz w:val="20"/>
          <w:lang w:val="en-US" w:eastAsia="en-US" w:bidi="ar-SA"/>
        </w:rPr>
        <w:t>would</w:t>
      </w:r>
      <w:r>
        <w:rPr>
          <w:rFonts w:ascii="arial" w:eastAsia="arial" w:hAnsi="arial" w:cs="arial"/>
          <w:color w:val="000000"/>
          <w:sz w:val="20"/>
          <w:lang w:val="en-US" w:eastAsia="en-US" w:bidi="ar-SA"/>
        </w:rPr>
        <w:t>) very well lose his vision in three to six months. Dr. Ross confirmed that he told Mr. Chen that the fluid leakage at the macula could eventually produce an irreversible loss of vision. His evidence on the point was if Mr. Chen's membrane was not removed it would continue to contract and allow additional damage to accrue to the underlying retina, leading to greater vision loss. The testimony of Dr. Ross and Mr. Shen in combination with Mr. Chen's Discovery Testimony satisfies me that Mr. Chen understood from Dr. Ross that he could potentially lose his vision, possibly in both eyes, if the membrane was left untreated. There was no evidence to indicate that Dr. Ross's advice concerning the prognosis with regard to the membrane was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his evidence-in-chief, Mr. Shen portrayed the interaction with Dr. Ross as being very brief again on January 26 and recalled that it was interrupted when Dr. Ross left the session to deal with an urgent patient call. He testified that he and his father-in-law waited for Dr. Ross to return for more than half an hour. Mr. Shen eventually wandered into the hallway area of the clinic where he came across Dr. Ross and reminded him that they were still waiting. He testified that Dr. Ross guided them to another area and asked the nurse to explain the mechanics of the membrane peeling procedure using an anatomical model of an eye. Mr. Shen said it was at that point that his father-in-law asked Dr. Ross about the risks involved in the membrane operation. Mr. Shen's perception was that Dr. Ross was getting annoyed and that he had firmly replied that it was a routine procedure that he had carried out many times and that the success rate was about 95 percent. Mr. Shen said that his father-in-law tried to ask Dr. Ross some questions that he had prepared, but that Dr. Ross left them in the hallway, implying that he was too busy to be bothered with their queries. Mr. Shen later recounted that the one question Mr. Chen did ask Dr. Ross was whether the procedure would be handled by him or others, and that Dr. Ross confirmed he would perform the operation but medical students would be on-site for observation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direct evidence, Mr. Shen claimed that Dr. Ross did not elaborate on the nature or chances of the risks associated with the proposed surgery or explain what 95 percent success actually meant. I note parenthetically there is an error of significance in the transcription of Mr. Shen's evidence on this matter provided by the private reporting service. In cross-examination, however, Mr. Shen conceded that the concept of a successful outcome in the sense that there would be some improvement of Mr. Chen's vision in his left eye, even if it were only a minor improvement, was well-understood by him and Mr. Chen. He elaborated that "they" understood that if all went well with the Membrane Surgery, Mr. Chen's eye condition would not deteriorate and he would not lose the vision in his left eye on account of the membrane. Mr. Shen confirmed that his father-in-law's hope was that the improvement would be sufficient to enhance his ability to read because that activity was so important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Shen said that in this discussion with Dr. Ross, they focused on the success rate of the surgery, and did not use the term "failure". He insisted that at no time did Dr. Ross mention the risk of blindness. At the same time, however, he admitted that he "knew for sure there could be complications and thought the five percent referred to complications".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Shen testified that Dr. Ross asked Mr. Chen to sign a blank consent form that the nurse had handed to him earlier. I accept Mr. Shen's evidence to the effect that after Dr. Ross left, he asked the nurse to repeat her explanation of the procedure of the proposed surgery and she did so. He continued, "and then I think Mr. Chen thought deeply hard to see whether he wanted to go for - go for the procedure" and then signed the consent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According to Dr. Ross, and I find, Dr. Stockl was very much involved in Mr. Chen's care on January 26 and took the lead in advising Mr. Chen about the risks and benefits of the Membrane Surgery. Dr. Ross's medical file contained separate pages in different handwriting charting the January 26 appointment with Mr. Chen. I accept Dr. Ross's evidence that these pages consist of the chart that he kept and the chart independently created and maintained by Dr. Stockl.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his evidence-in-chief, Mr. Shen did not recall meeting with Dr. Stockl at any point on January 21 or 26. In cross-examination, he allowed that Dr. Stockl had met with them on January 26. However, he gave virtually no evidence about any interactions or discussions that he and/or Mr. Chen may have had with Dr. Stockl during the session on January 26. Mr. Shen's poor recall on the matter and his lack of evidence about Dr. Stockl's involvement was unsettling.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am satisfied that Dr. Stockl met with Mr. Chen and Mr. Shen for approximately 15 minutes after the 2000 Angiogram had been carried out. As had Dr. Ross, he measured Mr. Chen's visual acuity for both eyes at 20/70. He assessed Mr. Chen's IOP as 16 on the right and 13 on the left, and performed slit lamp and dilated fundus examinations. No abnormalities or concerns were charted.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find that it was after Dr. Stockl's examination of Mr. Chen that Dr. Ross joined the meeting to review the results of the 2000 Angiogram and discuss the planned course of action. Dr. Ross testified that from the start of Dr. Stockl's fellowship some seven months earlier, they had together reviewed the risks and benefits of this type of surgery with patients twice a week on average. I accept Dr. Ross's evidence that as a routine part of the protocol of working with his Fellow, he instructed Dr. Stockl to inform Mr. Chen of the surgical risks and benefits. With Mr. Shen acting as the interpreter, Dr. Stockl did so in Dr. Ross's presence and under his appropriate supervision. Dr. Ross persuasively testified that Dr. Stockl disclosed to Mr. Chen a breakdown of the nature of the risks and benefits of the proposed surgery, and the expected chances of their occurrence.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Dr. Stockl did not chart the particulars of his disclosure at that time. As will be explained, he recorded those details much later and after Mr. Chen had effectively lost the sight in his left eye. What Dr. Stockl did chart on January 26 after he reviewed the risks and benefits with Mr. Chen, was: "Plan. Explained risks/benefit of surgery. Pt accepts." Dr. Ross clarified that Dr. Stockl used the abbreviation "Pt" for the word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Dr. Ross recalled that, in addition to what Dr. Stockl disclosed to Mr. Chen, he told him that the surgery was routine and had about a 90 to 95 percent chance of success. In cross-examination, Dr. Ross stood by his evidence that he had told Mr. Chen the success rate of the surgery was between 90 and 95 percent, which he considered to be a reasonable and conservative estimate. He testified that the global success range of 90 to 95 percent referred to Mr. Chen achieving one or two lines of visual improvement on the eye chart or recapturing some improved vision, in the sense of permitting him to read with less distortion. Regaining two lines to 20/50 would enable Mr. Chen to resume using his computer and reinstate his ability to read, both of which were very important objectives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Dr. Ross also agreed that it was accurate to say that he would have told Mr. Chen that the membrane peel was a routine procedure with a success rate of about 95 percent and that success meant some improvements or minor improvements and that at least some minor improvement was expected from the surgery. In agreeing that summation was accurate, I did not understand Dr. Ross to be retreating from attempting to modify the evidence he had repeatedly given earlier to the effect that in his discussion with Mr. Chen, he summarized the success rate as between 90 and 95 percent. As I will discuss in my analysis of the issue of informed consent, I do not consider Dr. Ross's evidence on this point to be internally inconsistent.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Ross credibly recounted that when he returned to his office later that day, he recorded in his chart the risks and benefits that had been explained to Mr. Chen by Dr. Stockl as best as he could recall them. His entry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Risks + Benefits reviewed PT + son-in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- 60% 2 line improvement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- 30% less distorted central VA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- 10% significant complication i.e. R.D., endophthalmitis, loss of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Dr. Ross admitted that he did not remember what Dr. Stockl had said word for word, but was confident that his chart reflected the "same ballpark" of what Dr. Stockl had told Mr. Chen. He clarified that "R.D." referred to retinal detachment; "endophthalmitis" is the medical term for infection; and that "loss of eye" meant blindness. He explained that the risk of a patient sustaining a complete vision loss as a result of the membrane peeling procedure represented about one to two percent of the overall chance of complications.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Dr. Ross noted that the prognosis for Mr. Chen gaining two lines of improvement in vision would worsen if his vision were to decline while awaiting the surgery. By way of example, he stated that if the operation was performed after Mr. Chen's vision had declined to say, 20/100, then the best improvement he could achieve would only be two lines raising his acuity level to just 20/80, which still represented significantly compromised central 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accept Dr. Ross's unchallenged evidence that because of the thickness of Mr. Chen's membrane and the cystoid macular edema it was causing, together with his already significantly compromised central vision, there was a degree of urgency in performing the operation so as to preserve the potential of recapturing two lines of vision. He therefore moved Mr. Chen ahead of other 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Dr. Ross described the consent document signed by Mr. Chen as a form mandated by the hospital to verify the procedure that is to be carried out and a prerequisite to hospital admission. I accept that sometimes Dr. Ross would have a patient sign a blank consent form and at other times would write the procedure on the form before it was signed. I also accept Dr. Ross's evidence that, in accordance with his customary practice, he and Dr. Stockl first obtained Mr. Chen's verbal consent on January 26, 2000 to having the Membrane Surgery after advising him of the process, benefits, and risks it entailed, and only after doing so, did he seek and obtain his written consent on the hospital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One of the recurring criticisms levied by Mr. Shen in his evidence was the two appointments with Dr. Ross happened very quickly and Dr. Ross always seemed extremely busy, in a hurry, and spent very little time with Mr. Chen. Dr. Ross responded that he and the other clinic doctors moved quickly in order to manage the high volume caseload, but said they always examined each patient thoroughly and spent the time necessary to explain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Some important features of Mr. Chen's Discovery Testimony and his evidence in-chief were at odds with Mr. Shen's recollections. First of all, he testified that Dr. Ross had spent a lot of time with him on January 26 - over an hour - and recalled that a "practicum doctor", whom I find was Dr. Stockl, was also in attendance.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Early in his direct evidence, Mr. Chen testified that Dr. Ross told him that the success rate for the membrane procedure was 90 to 95 percent and reiterated that evidence at least twice more while still giving his evidence in-chief. In his direct evidence, Mr. Chen was not asked and did not say what Dr. Stockl had advised him with respect to the relative risks and benefits prior to the Membrane Surgery, or whether either Dr. Ross or Dr. Stockl had disclosed that the loss of his sight was a material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cross-examination, Mr. Chen appeared to agree with the proposition put to him to the effect that Dr. Ross had informed him that there was a five percent risk of blindness with the proposed surgery. That evidence was given late in the trial day when Mr. Chen's general responsiveness to questions had declined considerably and he was displaying signs of fatigue. In the circumstances, I ascribe no weight to it. However, I do attribute a degree of weight to his direct evidence given when he appeared to be coherent and responsive, that Dr. Ross had advised him the overall success rate for the membrane peel was 90 to 95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issue of disclosure by Dr. Ross of blindness as a material risk of the Membrane Surgery was canvassed at Mr. Chen's examination for discovery. Prior to his discovery, Mr. Chen had prepared a handwritten statement in Chinese, which was subsequently translated and typed into English. At his discovery, he had the typed English version in hand and made reference to it when being questioned about what Dr. Ross had advised him in relation to the risks of having the Membrane Surgery and, in particular, whether he understood that one of those potential risks was blindness. The exchange began this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139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you talked to Dr. Ross, he also talked to you about a failure rate?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said 5 percent.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140</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Ross told you that there was a 5 percent chance of blindness as a consequence of this surgery?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he didn't say blindness. Just saying that failure. Failure is 5 percent, but if you recover well, then you could see.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At that point in the discovery, Mr. Lepp for the defendants directed Mr. Chen's attention to the portion of the English statement and quoted the following passage: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145</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But by the time I went back on the 26th ... I had my doubts again. Dr. Ross saw that I was struggling with my decision. Told me that the success rate and the rate of maintaining status quo was 95 percent </w:t>
            </w:r>
            <w:r>
              <w:rPr>
                <w:rFonts w:ascii="arial" w:eastAsia="arial" w:hAnsi="arial" w:cs="arial"/>
                <w:color w:val="000000"/>
                <w:sz w:val="18"/>
                <w:u w:val="single"/>
                <w:lang w:val="en-US" w:eastAsia="en-US" w:bidi="ar-SA"/>
              </w:rPr>
              <w:t>with just five percent chance of blindness</w:t>
            </w:r>
            <w:r>
              <w:rPr>
                <w:rFonts w:ascii="arial" w:eastAsia="arial" w:hAnsi="arial" w:cs="arial"/>
                <w:color w:val="000000"/>
                <w:sz w:val="18"/>
                <w:lang w:val="en-US" w:eastAsia="en-US" w:bidi="ar-SA"/>
              </w:rPr>
              <w:t>. I was relieved after hearing this and thought to myself, this professor was really good, much better than the others.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better than Dr. Chang.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146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what I just read your best memory of what Dr. Ross told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he said there is not complete. He said successful rate is 95 percent.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That was closely followed by a series of questions and answers in reference to what Dr. Ross told Mr. Chen about the percentage chance of blindness as a consequence of the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149</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know that you and Dr. Ross spoke of other things. I simply wanted to know if what I read to you from your statement was your best memory of that part of the conversation?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I said earlier, it is not complete.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he did tell you there was a chance of going blind.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151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thought that that chance was about 5 percent.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that - I believed him, yeah. Dr. Chang is only 80 percent. And he said 95. So he is comparing, he is better than Dr. Chang.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152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understand. But you understood the risk of blindness was about 5 percent.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yes, failure.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At an adjournment of the trial, it was discovered that a crucial portion of the English version of Mr. Chen's statement had been mistranslated. The phrase "with just five percent chance of blindness" read aloud to him as question 145 (underlined for clarity) and purporting to have been part of his own statement, should have read "with just five percent chance of failure". Therefore, although Mr. Chen appeared to agree that Dr. Ross had advised him there was a five percent chance of blindness, the translation error introduced an element of unfairness to the question and may have tainted his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That said, however, there was no evidence that the word "blind" used in question 150 was mistranslated at the discovery. Consequently, quite apart from the issue bearing on the mistranslation of the English version of Mr. Chen's statement put to him, in his answer to question 150, he agreed that Dr. Ross told him there was a chance of going blind with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 Chen gave the following evidence at a later point in his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198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have any memory of anybody on January 26 talking about the risks of the surgery?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Yes, mentioned about the risks.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Who was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doctor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Which doctor?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Ross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did he say?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Five percent failure rate.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202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were willing to accept the failure rate?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because no other way. I have written six points to ask him, but later didn't get - finally didn't get the chance of asking.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203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You've already told me that you decided not to ask him after your meeting with the family?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Well, the family members said don't do anything extra.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204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family said don't ask any more questions if you want to have the surgery. And you agreed?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accept and don't ask. If you don't want to accept the surgery, then you ask.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205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you decided to accept the surgery?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206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Dr. Ross answered any questions that you did have?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207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have any questions?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didn't ask.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Family Meeting - January 31,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Mr. Chen's surgery was originally scheduled for February 1, 2000. Mr. Shen recalled that on the eve of the surgery his father-in-law was very anxious and convened a family meeting to debate the pros and cons as to whether or not he should proceed. Mr. Shen and Ms. Chen both understood from Mr. Chen that in 1998 he had been told by Dr. Chang that there were "a lot" of risks with the surgery, the risk factor was high, and the success rate of a membrane peel was 80 percent. They said they both had that information in mind when debating the positives and negatives of the surgery proposed by Dr. 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According to Mr. Shen, on the occasion of the family meeting, Mr. Chen compared his understanding of Dr. Chang's assessment for success against what Mr. Shen said was the more promising assessment of 95 percent given by Dr. Ross. His recollection was that Mr. Chen and the rest of the family referred to the remaining five percent as "complications", and not as failure or as blindness, implying that there was a difference. However, his evidence did not align with Mr. Chen's Discovery Testimony to the effect that the family discussed a five percent "failure rate" during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Ms. Chen testified that the family members discussed the potential outcomes of Dr. Ross's surgery in terms of a 95 percent success rate and a five percent "failure" rate. She was very opposed to her father having the operation because she considered the risk of a "5 percent failure" to be "too dangerous". She cautioned her father along these lines: "even 5 percent failure rate, just don't go for it. What if you do not have improvement? What if you have complications?"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Mr. Shen recounted that during this discussion his father-in-law announced he had six written questions that he wished to ask of Dr. Ross before the surgery. Mr. Shen did not share his wife's opposition to Mr. Chen undergoing the surgery. He testified that he "pushed Mr. Chen a little bit along the thinking" during the discussion. Mr. Shen told his father-in-law that if he wanted the surgery he should not worry about his questions, and should instead trust Dr. Ross because he was a well-established specialist, and had "promised" the procedure was merely routine and that his eye condition would improve. In the end, Mr. Chen decided not to pursue his questions with Dr. 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In order to accommodate a patient from out of town or other emergency, Dr. Ross cancelled Mr. Chen's surgery slated for February 1 on short notice, and rescheduled it for the next day. There was no evidence that in the intervening period Mr. Chen revived his concerns about the operation or invited further discussion about whether he ought to proceed. He had decided to go ahead.</w:t>
      </w:r>
      <w:r>
        <w:rPr>
          <w:rFonts w:ascii="arial" w:eastAsia="arial" w:hAnsi="arial" w:cs="arial"/>
          <w:sz w:val="20"/>
          <w:lang w:val="en-US" w:eastAsia="en-US" w:bidi="ar-SA"/>
        </w:rPr>
        <w:cr/>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Membrane Surgery - February 2,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On February 2, 2000, Mr. Chen had the Membrane Surgery under a general anesthetic at Vancouver General Hospital. Dr. Ross made an unexpected finding when the membrane was lifted during the operation. The blood vessels in Mr. Chen's left eye were occluded and a possible old branch vein occlusion, meaning a stroke in the eye, was detected. That signalled to Dr. Ross that Mr. Chen had a very ischemic eye - that is, a lack or absence of blood. Dr. Ross testified that, in addition to having the membrane, which is a structural problem, Mr. Chen had basic vascular compromise in his left eye in the form of occlusion and sheathing of the blood vessels, indicating that Mr. Chen was a vasculopath. He explained that the term "vasculopath" refers to a person who suffers from multiple organ vascular abnormalities, which is not uncommon in individuals with diabetes, like Mr. Chen.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During the Membrane Surgery, Dr. Ross used an endolaser probe to rectify the vascular obstructions in Mr. Chen's left eye. The post-operative report dictated by Dr. Stockl on the day of the operation summarized the steps of the Membrane Surgery in considerable detail, including the reason for and use of the endolaser.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Mr. Chen remained in hospital overnight. The next morning, he was examined by Dr. Stockl and was discharged later that day. Dr. Stockl charted that Mr. Chen had no complaints but also noted a "language barrier". Dr. Ross gave detailed evidence about the automated monitoring of Mr. Chen's eye pressure while he underwent the procedure. There was no evidence whatsoever of any problem in controlling Mr. Chen's IOPs during the Membrane Surgery. Dr. Ross's evidence that the procedure was successful and that there were no intraoperative complications was amply supported by several notations in the post-operative report prepared by Dr. Stock and by the whole of the evidence that I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One of Mr. Chen's allegations is that, while in hospital after the Membrane Surgery, he had fared very poorly and was in extreme pain and vomited. His initial theory appeared to have been that shortly after the Membrane Surgery and before his discharge, he suffered symptoms consistent with an acute onset of closed angle glaucoma that went undiagnosed and untreated by Dr. Ross and caused his blindness. In attempting to develop an evidentiary foothold to support this theory, Ms. Chen and Ms. Sood respectively cross-examined the defendants and questioned the medical experts at length in relation to Mr. Chen's post-operative symptoms and the care he received in respect of them. Even putting to the side Dr. Ross's testimony by which he forcefully refuted Mr. Chen's hypothesis, the combined evidence of the medical experts, among them Mr. Chen's own expert, Dr. Frederick Mikelberg, discredited this theory.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In closing submissions, it became apparent that Mr. Chen had abandoned this line of attack and instead was purporting to rely on such evidence to establish that, after and in consequence of the Membrane Surgery, he suffered extreme pain and vomiting which are to be taken into account in the assessment of his non-pecuniary damages.</w:t>
      </w:r>
      <w:r>
        <w:rPr>
          <w:rFonts w:ascii="arial" w:eastAsia="arial" w:hAnsi="arial" w:cs="arial"/>
          <w:sz w:val="20"/>
          <w:lang w:val="en-US" w:eastAsia="en-US" w:bidi="ar-SA"/>
        </w:rPr>
        <w:cr/>
      </w:r>
    </w:p>
    <w:p>
      <w:pPr>
        <w:numPr>
          <w:numId w:val="5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Event on February 5, 2000 and its Aftermath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On February 5, 2000, Mr. Chen suffered a sudden and dramatic loss of vision in his left eye while he was out for a 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Dr. Stockl saw Mr. Chen at the eye clinic at the Vancouver General Hospital on the morning of February 8, 2000. Mr. Chen's IOPs were elevated and the visual acuity in his left eye was extremely poor, being "count fingers at three feet". Mr. Chen had effectively become legally blind in his left eye. Dr. Stockl did not record a definitive diagnosis of the problem. Instead, in his notes he queried optic neuropathy, old ischemic optic neuropathy, glaucoma, and cystoid macular edema.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Dr. Ross also examined Mr. Chen that day, in the company of Mr. Shen, and immediately launched into a series of investigations to assist in ascertaining what had happened. He requisitioned a sedimentation rate blood test to rule out temporal arteritis, which causes ischemic optic neuropathy that can lead to sudden bilateral blindness in older people. It came back normal. As well, he ordered a CT scan of Mr. Chen's head to determine whether he had a blood clot that caused him to have a stroke. The CT results were also unremarkable.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Dr. Ross also ordered an automated visual field test. It revealed that Mr. Chen had severely constricted visual fields of both his eyes. He arranged a second fluorescein angiogram which reported that Mr. Chen had increased C/D ratios suggestive of glaucomatous optic neuropathy, and that there was compelling evidence of acute AION on the left. The medical evidence established that the acronym AION stands for "anterior ischemic optic neuropathy" which refers to damage to the anterior segment of the optic nerve caused by insufficient blood flow or the absence of blood flow.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Dr. Ross saw Mr. Chen in follow-up on February 11. At that stage, Mr. Chen's IOP was 22. Dr. Ross prescribed medication to lower it. At their next appointment three days later, Dr. Ross made referrals to Dr. Duncan Anderson, a neuro-ophthalmologist, and Dr. Frederick Mikelberg, a glaucoma subspecialist.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Dr. Ross wrote a follow-up letter to Dr. Lee dated February 23, 2000. That letter was not in evidence. About one week later, Dr. Ross's receptionist faxed a replacement letter from Dr. Ross's office to Dr. Lee. The fax cover sheet instructed Dr. Lee's office to disregard Dr. Ross's previous letter and keep the freshly faxed version on file. The receptionist did not specifically recall sending this particular fax to Dr. Lee's office. However, she testified that it was relatively common for her to send a substitute page or an entire replacement letter to correct a typographical error or medical terminology or to make some other small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 the replacement letter, Dr. Ross outlined his involvement in Mr. Chen's care before the Membrane Surgery and the steps taken thereafter to diagnose and treat Mr. Chen's loss of vision. In that letter, he recited the risks and benefits that he said were disclosed to Mr. Chen and Mr. Shen before the procedure. They were consistent with the nature and chances of the risks and benefits recorded by Dr. Ross in his chart on January 26, 2000. The letter also informed Dr. Lee that Mr. Chen had been referred to Drs. Anderson and Mikelberg for 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 appreciate that, in the circumstances, Mr. Chen may harbour suspicions about the reasons for and propriety of Dr. Ross's office substituting this correspondence to Dr. Lee. On the evidence, however, I find nothing concerning about the fact that the February 23, 2000 letter in evidence had replaced an earlier version that was not in evidence, or that the replacement letter purported to confirm to Dr. Lee the disclosure made to Mr. Chen of the risks and benefits in having the Membrane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Dr. Ross testified that although the results of Mr. Chen's visual fields were consistent with low/normal tension glaucoma, he did not consider Mr. Chen's situation to be a truly glaucomatous "pressure problem". Nor did he think that Mr. Chen had AION, or generalized ischemic optic neuropathy, explaining that such a condition is indicated by inflammation of the nervous system of the eye, which had been ruled out by the sedimentation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In cross-examination, Dr. Ross was asked directly whether he knew what caused Mr. Chen to lose his sight after the Membrane Surgery and, if he did, to please explain his thinking. Dr. Ross answered that he did know. He said that as a vasculopath, Mr. Chen's vascular health was compromised and his eye was severely ischemic because of an occlusion or obstruction of the tiny vessels of his optic nerve.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Dr. Ross explained that there is a spectrum in medicine of what may be classified as AION or ischemic optic neuropathy on the one hand, and as a microinfarction of the optic nerve on the other. He categorized the loss of Mr. Chen's sight on the third day after the Membrane Surgery as an ischemic microinfarction of Mr. Chen's optic nerve. Expressed in lay terms, Dr. Ross said Mr. Chen had suffered multiple mini-strokes in his optic nerve that caused his sudden and profound vision loss. He elaborated that those mini-strokes were unrelated to the Membrane Surgery and were the same condition that eventually brought about the loss of vision in Mr. Chen's right eye. Dr. Ross remarked that the vascular event that had occurred with Mr. Chen's eye on about February 5, 2000 had nothing whatsoever to do with his IOPs.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In response to further cross-examination, Dr. Ross testified that there are no symptoms of this kind of vascular problem until a patient suddenly loses his or her sight. According to him, the microinfarction of Mr. Chen's optic nerve three days post-operatively could not have been expected or prevented and there was no evidence that contradicted his testimony on that point. Dr. Ross believed that Mr. Chen would have suffered his dramatic vision loss whether or not he had undergone the Membrane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Dr. Ross elaborated that Mr. Chen went on to develop a very unusual condition in his left eye called neovascular glaucoma, where the multiple obstructed blood vessels in the optic nerve cause the emergence of new blood vessels. It happens only where the eye is extremely ischemic and, according to Dr. Ross, Mr. Chen would have developed his condition even if he had not had the Membrane Surgery.</w:t>
      </w:r>
      <w:r>
        <w:rPr>
          <w:rFonts w:ascii="arial" w:eastAsia="arial" w:hAnsi="arial" w:cs="arial"/>
          <w:sz w:val="20"/>
          <w:lang w:val="en-US" w:eastAsia="en-US" w:bidi="ar-SA"/>
        </w:rPr>
        <w:cr/>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Anderson Consult - February 17,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Dr. Ross made an urgent telephone referral to Dr. Anderson explaining "the whole story" and Dr. Anderson took cryptic notes of their conversation. Even though Dr. Ross had reached his own conclusions about the reason for the deterioration of Mr. Chen's sight after the Membrane Surgery, he wanted to know Dr. Anderson's view of what had occurred. Dr. Anderson testified as a witness in Mr. Chen's case, but was not called to give expert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Dr. Anderson examined Mr. Chen at the St. Paul's eye clinic on February 17, 2000. Mr. Shen attended and interpreted. Mr. Chen's dilated fundi examination showed a C/D ratio of 0.9 in each eye and high IOP in both eyes. The optic nerve showed severe cupping which Dr. Anderson felt indicated glaucoma.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Dr. Anderson wanted to know whether Mr. Chen had been in "terrible pain" within the first few days after surgery because that could have been evidence of a sudden rise in his IOPs, which, in turn, could have worsened the cupping and thereby caused the glaucoma to advance within mere days. At trial, Dr. Anderson was clear that such a chain of events was not the "story" reported to him by Mr. Chen, and that Mr. Chen had denied having experienced severe post-operative pain. I accept his evidence. In the absence of such post-operative symptoms, Dr. Anderson was "at a loss" to explain Mr. Chen's sudden visual decline following the Membrane Surgery. He told Mr. Chen and Mr. Shen that he thought the loss of vision was the natural progression of severe advanced glaucoma.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In his consult to Dr. Ross, Dr. Anderson wrote that he did not detect evidence of ischemic optic neuropathy and believed that Mr. Chen's present visual field defects were compatible with advanced glaucomatous optic neuropathy. However, he considered it prudent to arrange for another visual field test because he noticed that the technician who had conducted the test on February 9 was concerned that they were not accurate. He told Mr. Chen that he wanted to have the tests redone as he was concerned they were not sufficiently reliable. Mr. Chen did not return for that subsequent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Dr. Anderson endorsed Dr. Ross's urgent referral of Mr. Chen to Dr. Mikelberg and copied his consult letter to both Dr. Lee and Dr. Mikelberg.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Although Ms. Sood acknowledged that Dr. Anderson's evidence had not been tendered as opinion evidence at trial, her closing submissions on the matter of causation placed reliance on Dr. Anderson's testimony for that very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In a related vein, I would also mention that in cross-examination Dr. Anderson admitted that he was not sure whether at the time of his consult he was aware that Mr. Chen was a vasculopath. He agreed that if Mr. Chen was a vasculopath, the microvessels within his optic nerve, which usually cannot be seen, could have occluded after, and independently from, the Membrane Surgery and caused his profound loss of vision. In that sense, he supported Dr. Ross's understanding of what had happened to Mr. Chen. As defence counsel readily conceded in argument, the evidence elicited on this point was clearly opinion evidence and neither it nor any other opinion offered by Dr. Anderson are admissible.</w:t>
      </w:r>
      <w:r>
        <w:rPr>
          <w:rFonts w:ascii="arial" w:eastAsia="arial" w:hAnsi="arial" w:cs="arial"/>
          <w:sz w:val="20"/>
          <w:lang w:val="en-US" w:eastAsia="en-US" w:bidi="ar-SA"/>
        </w:rPr>
        <w:cr/>
      </w:r>
    </w:p>
    <w:p>
      <w:pPr>
        <w:numPr>
          <w:numId w:val="5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Mikelberg Consult - February 22,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Dr. Mikelberg first assessed Mr. Chen on February 22, 2000. He was called as an expert witness by Mr. Chen.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In his consult letter to Dr. Ross, copied to Dr. Lee, Dr. Mikelberg stated that Mr. Chen's visual field and the appearance of his optic disc were consistent with glaucoma-related optic neuropathy. His diagnosis was "possible normal pressure glaucoma". However, and this point is important, he went on to elaborate that Mr. Chen's diabetes and the appearance of the arterioles indicated there was significant vasculopathy, which he thought may be a major factor in the pathology of Mr. Chen's optic disc.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Dr. Mikelberg was not convinced that any of the disease process of Mr. Chen's optic nerve was related to his IOP and proposed that his IOP medications be discontinued sequentially.</w:t>
      </w:r>
      <w:r>
        <w:rPr>
          <w:rFonts w:ascii="arial" w:eastAsia="arial" w:hAnsi="arial" w:cs="arial"/>
          <w:sz w:val="20"/>
          <w:lang w:val="en-US" w:eastAsia="en-US" w:bidi="ar-SA"/>
        </w:rPr>
        <w:cr/>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Maberley Consult - March 16,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Dr. Sammy Lee referred Mr. Chen to Dr. Maberley, a retinal subspecialist, for a second opinion. Dr. Maberley was called by Mr. Chen to give expert opinion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On March 16, 2000, Dr. Maberley assessed Mr. Chen whose other daughter (not Ms. Chen) also attended and acted as the interpreter. He found it difficult to sort out Mr. Chen's past ocular history because the daughter knew relatively little about it. Dr. Maberley testified that through his daughter, Mr. Chen advised that he was not aware of any peripheral vision loss prior to his cataract surgery or before he underwent the Membrane Surgery. At trial, Dr. Maberley expressed some reservation about the language barrier, even with the daughter interpreting.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Dr. Maberley assessed Mr. Chen's C/D ratio as 0.9 and observed that his optic nerve was quite pale. His IOPs fell within the normal range. A fluorescein angiogram was arranged and the results were reviewed with Mr. Chen at their next and last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Dr. Maberley believed that by the time he saw Mr. Chen clinically, he displayed evidence of chronic open angle glaucoma. He also noted that there may have very well been an element of ischemia secondary to his diabetes and vascular disease. He remarked, in particular, upon the significant element of a retinal vascular insufficiency affecting Mr. Chen's left eye which, he stated, may very well have contributed to the dramatic drop in his peripheral field superimposed upon the glaucomatous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Dr. Maberley felt there was nothing further that could be done from a therapeutic standpoint with respect to improving Mr. Chen's vision. He suggested that it may be worthwhile for Mr. Chen to obtain an ultrasound assessment of his carotid arteries in an attempt to evaluate his overall cerebrovascular flow pattern. There was no evidence that such an assessment was performed.</w:t>
      </w:r>
      <w:r>
        <w:rPr>
          <w:rFonts w:ascii="arial" w:eastAsia="arial" w:hAnsi="arial" w:cs="arial"/>
          <w:sz w:val="20"/>
          <w:lang w:val="en-US" w:eastAsia="en-US" w:bidi="ar-SA"/>
        </w:rPr>
        <w:cr/>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Subsequent Entry to Dr. Stockl's chart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As mentioned earlier, Dr. Stockl had made the following entry to his chart on January 26, 2000: "Plan. Explained risks/benefit of surgery. Pt accepts". At that time, he did not particularize the nature of the risks and benefits or the chances of their occurrence.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Dr. Ross testified that he had never before encountered a case such as this where a patient had irrevocably lost the use of his eye from a membrane removal, and recognized there was a potential for litigation. With this in his mind, he asked Dr. Stockl to complete his chart for January 26, 2000, by recording what he remembered advising Mr. Chen that day in Dr. Ross's presence concerning the risks and benefits of the Membrane Surgery. Dr. Stockl made the following entry to his chart: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risk of complication - RD - infection - loss of eye.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60% chance of 2 lines improvement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 " 1-line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no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When Dr. Stockl completed that entry, both he and Dr. Ross signed their names next to it but overlooked inserting the date. Dr. Ross testified that his signature denoted his confirmation that Dr. Stockl's addition accurately captured his recollection of what Dr. Stockl had advised Mr. Chen at the January 26 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Dr. Ross was not able to pinpoint when Dr. Stockl made the entry other than to say it would have been after February 28, 2000 and before Dr. Stockl's fellowship ended in June of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 accept Dr. Ross's credible and unchallenged testimony that he did not instruct nor suggest to Dr. Stockl what to add to the chart, that Dr. Stockl was the sole author of the foregoing entry, that it was all that was added, and that neither he nor Dr. Stockl deleted or altered anything that had been previously charted.</w:t>
      </w:r>
      <w:r>
        <w:rPr>
          <w:rFonts w:ascii="arial" w:eastAsia="arial" w:hAnsi="arial" w:cs="arial"/>
          <w:sz w:val="20"/>
          <w:lang w:val="en-US" w:eastAsia="en-US" w:bidi="ar-SA"/>
        </w:rPr>
        <w:cr/>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Lee's Treatment of Mr. Chen after the Membrane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Mr. Chen was seen by both Dr. Lee and Dr. Anderson at different times on February 17, 2000. Unlike Dr. Anderson, Dr. Lee found Mr. Chen's IOP to be in the normal range in both eyes that day. In closing argument, Ms. Sood suggested that the fact that Dr. Lee's measurements of Mr. Chen's IOP did not correspond to those taken by Dr. Anderson the same day (or to Dr. Chang's measurements taken some two years earlier) implied a general carelessness or inability on Dr. Lee's part in accurately recording Mr. Chen's IOP throughout the course of his treatment of Mr. Chen.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evidence was clear that an individual's IOP fluctuates throughout the day. As well, I accept Dr. Lee's evidence that there were many acceptable ways by which to measure a patient's IOP and that it was unclear whether he and Dr. Anderson had used the same method. There was no cogent development of the evidence to suggest that Dr. Lee inaccurately measured Mr. Chen's IOP then, or at any time. I found the entire line of attack to be ill-conceived.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At the February 17 appointment, Dr. Lee saw no evidence of chronic glaucoma and noted that in his chart. He did not share Dr. Anderson's impression that Mr. Chen suffered from severe glaucomatous optic neuropathy. Dr. Lee testified that a growing body of medical thinking was to the effect that low/normal tension glaucoma was one and the same as multiple attacks of AION and that he believed the latter condition explained Mr. Chen's profound vision loss on the third day post-operative. In support of his diagnosis, he pointed to the fact that, despite receiving state of the art treatment for his glaucoma from Dr. Mikelberg after the Membrane Surgery, the vision in Mr. Chen's right eye continued to decline until he eventually became legally blind in 2006 or thereabouts.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It was Dr. Lee's understanding, which I consider both accurate and reasonably held in the circumstances, that Dr. Ross had taken the lead in investigating the cause of the vision loss and had orchestrated the involvement of other appropriate subspecialists, including Dr. Mikelberg, in Mr. Chen's treatment, such that Dr. Lee was no longer acting as Mr. Chen's primary care physician. Although he still examined Mr. Chen's eyes and, for Mr. Chen's convenience, renewed medications prescribed by Dr. Mikelberg during these visits, he likened his new role to that of a "quarterback", working with Dr. Ross and the other subspecialists largely to interpret their findings to Mr. Chen, and answer Mr. Chen's many questions along the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Ms. Sood contended that Dr. Lee had failed to deliver an adequate level of care to Mr. Chen after the Membrane Surgery. The thrust of her argument appeared to be that Dr. Lee had been dilatory in waiting approximately two-and-a-half weeks to refer Mr. Chen to Dr. Mikelberg for treatment. She further asserted that Dr. Lee ought to have accepted that Mr. Chen had glaucoma and charted that diagnosis, but had neglected to do so because he was acting with a defensive demeanour and, in his mind, was trying to distance himself from the whole ordeal. This conduct, asserts Ms. Sood, amounted to a breach of the standard of care expected of Dr.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In my assessment, Ms. Sood's submissions were constructed on an unbalanced interpretation of the facts and, to some extent, on pure conjecture. They lack cogency in fact and in law and I dismiss them out of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EXPERT MEDICAL EVIDENCE</w:t>
      </w:r>
      <w:r>
        <w:rPr>
          <w:rFonts w:ascii="arial" w:eastAsia="arial" w:hAnsi="arial" w:cs="arial"/>
          <w:sz w:val="20"/>
          <w:lang w:val="en-US" w:eastAsia="en-US" w:bidi="ar-SA"/>
        </w:rPr>
        <w:cr/>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Frederick Mikelberg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Dr. Mikelberg is recognized as the leading glaucoma specialist in the province. He is a professor and head of the department of ophthalmology at the University of British Columbia and the department head at the Vancouver General Hospital. His practice is limited to the diagnosis and treatment of patients with glaucoma and, accordingly, only sees patients who have or are suspected of having glaucoma.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In response to questioning concerning the mode of referral from other physicians, Dr. Mikelberg testified that when a patient is referred to him by telephone, it is customary, although not mandatory, to subsequently receive a consultation letter from the referring ophthalmologist outlining the reasons for the referral. By no stretch did he suggest that a written referral was the expected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Dr. Mikelberg testified about the risk factors for glaucoma and the circumstances in which he thought a visual field test ought to be ordered. He clarified that the symptom of blurred vision is not suspicious for glaucoma and that modern studies have shown that diabetes is not a risk factor either. Dr. Mikelberg stated that, on the other hand, being age 65 or older does constitute a risk factor. He was careful to say that, even so, the standard of care is not to routinely order visual fields on all persons who are over age 65. He held the opinion that the key basis upon which to order a visual field test was the optic nerve findings and confirmed that it is a standard expectation of an ophthalmologist to be able to assess the optic nerve.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Although Dr. Mikelberg acknowledged that a large C/D ratio is not invariably indicative of glaucoma, he nonetheless considered it to be very suspicious for glaucoma. He opined that, therefore, where a large C/D ratio is present, the next step is for the patient to have a visual field test to confirm or rule out the diagnosis. He testified that a C/D ratio over "0.3, 0.4 or 0.5" is a factor to alert a physician to do a visual field test, and that it would be the standard of care for an ophthalmologist to order such a test on a patient with a large (although normal) C/D ratio of 0.7. Dr. Mikelberg believed that, depending on the circumstances, an individual with a large C/D ratio should usually have a visual field test every six to twelve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Turning his mind to Mr. Chen's case, Dr. Mikelberg opined that testing him for glaucoma was probably indicated due to his large C/D ratio noted in 1998 and that Dr. Lee should probably have ordered a visual field test when those ratios were discovered. At trial, he confirmed that he was referring to the findings of Mr. Chen's C/D ratio made by Drs. Thomas and Chang in February 1998. He could not recall whether, for the purposes of his opinion, he had assumed that Dr. Lee had been apprised of those findings. I have concluded that Dr. Lee was not aware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According to Dr. Mikelberg, it is standard procedure to record the patient's IOP and the appearance of the C/D ratio as part of a regular eye examination. He did not specify how the C/D ratio was to be recorded; that is, whether the description of it as "normal" would suffice or whether it was mandatory to express the ratio numerically. Nor was he specific that such conduct was the standard for general ophthalmologists during the period February 1996 through January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In his written opinion dated December 4, 2006, Dr. Mikelberg answered specific questions posed on Mr. Chen's behalf. In answer to whether there was a duty on Dr. Lee and/or Dr. Ross to ask Mr. Chen more specific questions about the nature of his vision difficulties in order to rule out low/normal tension glaucoma before the Membrane Surgery, he answered that asking specific questions to determine whether Mr. Chen's visual difficulties corresponded to peripheral or central vision problems prior to the Membrane Surgery was probably not indicated because Mr. Chen's central vision loss was apparent. In this context, he reiterated his view that Dr. Lee should probably have ordered a visual field test when Mr. Chen's large C/D ratio was discovered.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Dr. Mikelberg was very clear that the presence of glaucoma would not have affected the decision to proceed with the Membrane Surgery, which had the objective of improving Mr. Chen's central vision. He elaborated that had Dr. Ross been aware of Mr. Chen's pre-existing glaucoma, he would most likely have recommended the Membrane Surgery in any event because the membrane was the source of Mr. Chen's decreased pre-operative central vision. Dr. Mikelberg disagreed with Dr. Ross's positive characterization of Mr. Chen's optic nerve and the neuroretinal rim prior to the Membrane Surgery. Yet, at no time did he opine that the standard of care expected of a retinal subspecialist standing in Dr. Ross's shoes would be to order a visual field test or conduct any other type of investigation to rule out glaucoma prior to performing the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Dr. Mikelberg was also asked to address the following question: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that the plaintiff complained about: (1) falling when crossing the road; (2) being able to read but unable to see generally - should the possibility of the existence of low-tension glaucoma been considered followed by testing to determine whether this condition existed prior to the [Membrane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His response was that Mr. Chen's complaints in this regard were non-specific and would probably not have led to further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Dr. Mikelberg's essential opinion as to the etiology of Mr. Chen's dramatic loss of vision remained unchanged from his initial impression set out in his consult to Dr. Ross nearly seven years earlier. In his view, Mr. Chen had both retinal vascular disease and glaucoma since at least 1998. He explained that the glaucoma was the source of Mr. Chen's peripheral vision loss and that, since at least 1998, the epiretinal membrane contributed to his central vision deficit. Dr. Mikelberg opined that Mr. Chen's sudden vision loss in February 2000 was due either to his retinal vascular disease or to the loss of his central vision brought about as the end stage of advanced glaucoma. Stating it more summarily at trial, he testified that Mr. Chen lost his vision either from his vascular disease or from further progression of the glaucoma damage. In his opinion, neither of these causes were directly related to the Membrane Surgery. He postulated there could be an indirect relationship in the sense that, in the case of advanced glaucomatous optic neuropathy, the optic nerve becomes very weak and tenuous, either from intraocular pressure or vascular insufficiency, and the stress from the procedure could cause further damage or result in a dramatic loss of central 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Dr. Mikelberg was questioned about whether Mr. Chen may have suffered acute closed angle glaucoma shortly after the Membrane Surgery. As noted previously, this line of questioning was related to Mr. Chen's hypothesis that this condition manifested post-operatively and was the cause of his vision loss. Dr. Mikelberg testified that an individual must be predisposed to that condition by having a narrow drain angle, and that Mr. Chen did not have the requisite narrow angles at the relevant time. Consequently, he thought it unlikely that Mr. Chen had an attack of acute angle closure post-operatively.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Dr. Mikelberg agreed that the early stages of open angle glaucoma can be treated with medication, which may result in the patient maintaining his or her field of vision for a longer period of time. His answer explicitly addressed the treatment of early open angle glaucoma, and it was not clarified whether he was also speaking to the treatment of advanced open angle or low/normal tension glaucoma.</w:t>
      </w:r>
      <w:r>
        <w:rPr>
          <w:rFonts w:ascii="arial" w:eastAsia="arial" w:hAnsi="arial" w:cs="arial"/>
          <w:sz w:val="20"/>
          <w:lang w:val="en-US" w:eastAsia="en-US" w:bidi="ar-SA"/>
        </w:rPr>
        <w:cr/>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Alan Maberley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Dr. Maberley is a senior and well-respected retinal subspecialist with extensive credentials. He is a vitreoretinal consultant and surgeon and member of the attending surgical and consulting staff of Vancouver Coastal Health and the Children's Hospital of British Columbia. Since 1972, he has been on faculty of the Department of Ophthalmology at the University of British Columbia and has taught ophthalmology residents. He is a longstanding member of many professional associations.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At the outset of his written opinion dated March 15, 2011, Dr. Maberley expressed the caveat that he was at "a severe disadvantage" because he had only three documents to review in compiling his report. They consisted of the October 1998 Angiogram (which was dictated by his Fellow and reviewed by Dr. Maberley at the time), the 1999 Angiogram report, and his consult notes of March 16, 2000, including the fluorescein angiogram that he arranged for Mr. Chen. He also described himself as being "severely handicapped" in terms of assessing Mr. Chen, due to the fact that he did not see him pre-operatively and only examined him after he had lost all use of vision in his left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Dr. Maberley confirmed that he would have had the colour photographs in hand when he collaborated in the preparation of the October 1998 Angiogram. In reviewing enlarged colour copies of those photographs at trial, he agreed they were the same as the photographs before him when the October 1998 Angiogram report was composed and were comparable to the smaller images in the trial exhibits. He noted that the main pathology appeared to be the membrane in Mr. Chen's left eye. He further remarked that the right optic nerve appeared to be somewhat pale but the neuroretinal rim was "probably okay". Dr. Maberley testified that those photographs showed cupping of the nerve in the left eye that he variously characterized as being "about 0.7" and "at least" 0.7. None of those observations had been included in the October 1998 Angiogram report; it had described the appearance of the optic disc in Mr. Chen's left eye as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Based on the 1999 Angiogram, Dr. Maberley could see that Mr. Chen's membrane had definitely progressed. He confirmed that the 1999 Angiogram report said nothing about the appearance of Mr. Chen's optic nerve. He explained the reason was that the purpose of a fluorescein angiogram is to evaluate retinal pathology and not to assess and comment on the optic nerve. Dr. Maberley testified that if an angiogram raised questions about the optic nerve, it would fall to the patient's general ophthalmologist, and not to the retinal subspecialist who requested the angiogram, to conduct any investigations. He commented further that, because the optic nerve will always be part of the angiogram, the ophthalmologist reviewing it may choose to comment about it. He continued that if something about the optic nerve "stuck out", it would be mentioned, but that a definitive diagnosis of the condition of the optic nerve cannot properly be made on the basis of the results of an angiogram test and related photographs.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In reviewing the 1999 Angiogram photographs, Dr. Maberley observed cupping of Mr. Chen's left optic nerve; however, he was not able to ascertain the degree of cupping without doing a stereoscopic analysis. He also remarked that the optic nerve looked quite pale in one of the photographs. In cross-examination, Dr. Maberley confirmed that what appeared to be pallor or paleness of Mr. Chen's optic nerve in the copies of the sets of photographs may have been due to the exposure of the film itself. Additionally, he was careful to assert that, since the photographs did not provide a full view of Mr. Chen's optic nerve, it was not possible to use them alone to provide a reliable diagnosis of the optic nerve.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Dr. Maberley emphasized that in order to properly evaluate the optic nerve, a physical examination was essential. On that reasoning, he stated that Dr. Ross was in the best position to assess the health of Mr. Chen's optic nerves just prior to the Membrane Surgery because it was he who had physically examined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Dr. Maberley thought that the changes to Mr. Chen's optic nerve had probably been going on in both eyes for a matter of months before he saw him on March 16, 2000, or could have happened slowly over a period of years. He suspected that Mr. Chen's visual fields were abnormal prior to his cataract surgery and the Membrane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In discussing when a visual field test is appropriate, Dr. Maberley confirmed that a large C/D ratio is not conclusive of glaucoma and endorsed the school of thought that the physician has to form a certain amount of suspicion based on the clinical examination of the optic nerve before ordering such a test. He characterized as a "problem" the fact that no visual field test was performed on Mr. Chen, even though he had been complaining of peripheral vision loss. However, Dr. Maberley did not have the benefit of knowing that Dr. Lee had conducted a clinical confrontation field test in October 1997 and had detected no abnormality in Mr. Chen's peripheral vision at that time. Moreover, as will be explained in greater depth in the discussion of the standard of care, Dr. Maberley's impression that Mr. Chen had been expressing complaints of peripheral vision deficit before the Membrane Surgery was mistaken.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In any case, Dr. Maberley was unable to comment as to whether, if he were Dr. Lee, he would have considered doing visual fields on Mr. Chen before the Membrane Surgery to rule out the possibility of glaucoma, except to say he would have ordered them based on the appearance of Mr. Chen's optic nerves when he saw him on March 16, 2000, and "probably sooner". He did not expand upon how much "sooner" he may have done so. As well, he declined to comment about whether Dr. Lee's treatment of Mr. Chen was in accordance with the prevailing standard of care because he saw him "after the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Dr. Maberley's opinion concerning the reasons for Mr. Chen's dramatic loss of sight had not changed from the impression he reported in his initial consult letter, other than adding to his opinion that Mr. Chen's glaucoma was possibly of the low/normal tension variety. In sum, his opinion was that Mr. Chen had evidence of the end stage of glaucoma and there was a significant element of retinal vascular insufficiency affecting his left eye which could have contributed to the dramatic drop in peripheral field superimposed upon his glaucomatous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Dr. Maberley testified that the Membrane Surgery may have contributed to Mr. Chen's vision loss; however, he did not know to what extent. By no stretch did he opine that it was more likely than not that the Membrane Surgery caused or contributed to Mr. Chen's vision loss. His ultimate opinion on causation was couched in highly qualified terms, namely </w:t>
      </w:r>
      <w:r>
        <w:rPr>
          <w:rFonts w:ascii="arial" w:eastAsia="arial" w:hAnsi="arial" w:cs="arial"/>
          <w:i/>
          <w:color w:val="000000"/>
          <w:sz w:val="20"/>
          <w:lang w:val="en-US" w:eastAsia="en-US" w:bidi="ar-SA"/>
        </w:rPr>
        <w:t>if</w:t>
      </w:r>
      <w:r>
        <w:rPr>
          <w:rFonts w:ascii="arial" w:eastAsia="arial" w:hAnsi="arial" w:cs="arial"/>
          <w:color w:val="000000"/>
          <w:sz w:val="20"/>
          <w:lang w:val="en-US" w:eastAsia="en-US" w:bidi="ar-SA"/>
        </w:rPr>
        <w:t xml:space="preserve"> Mr. Chen had somewhat elevated IOPs in his left eye prior to the Membrane Surgery, and </w:t>
      </w:r>
      <w:r>
        <w:rPr>
          <w:rFonts w:ascii="arial" w:eastAsia="arial" w:hAnsi="arial" w:cs="arial"/>
          <w:i/>
          <w:color w:val="000000"/>
          <w:sz w:val="20"/>
          <w:lang w:val="en-US" w:eastAsia="en-US" w:bidi="ar-SA"/>
        </w:rPr>
        <w:t>if</w:t>
      </w:r>
      <w:r>
        <w:rPr>
          <w:rFonts w:ascii="arial" w:eastAsia="arial" w:hAnsi="arial" w:cs="arial"/>
          <w:color w:val="000000"/>
          <w:sz w:val="20"/>
          <w:lang w:val="en-US" w:eastAsia="en-US" w:bidi="ar-SA"/>
        </w:rPr>
        <w:t xml:space="preserve"> his optic nerves were susceptible, and </w:t>
      </w:r>
      <w:r>
        <w:rPr>
          <w:rFonts w:ascii="arial" w:eastAsia="arial" w:hAnsi="arial" w:cs="arial"/>
          <w:i/>
          <w:color w:val="000000"/>
          <w:sz w:val="20"/>
          <w:lang w:val="en-US" w:eastAsia="en-US" w:bidi="ar-SA"/>
        </w:rPr>
        <w:t>if</w:t>
      </w:r>
      <w:r>
        <w:rPr>
          <w:rFonts w:ascii="arial" w:eastAsia="arial" w:hAnsi="arial" w:cs="arial"/>
          <w:color w:val="000000"/>
          <w:sz w:val="20"/>
          <w:lang w:val="en-US" w:eastAsia="en-US" w:bidi="ar-SA"/>
        </w:rPr>
        <w:t xml:space="preserve"> there were any increase in his IOPs post-surgery, then that </w:t>
      </w:r>
      <w:r>
        <w:rPr>
          <w:rFonts w:ascii="arial" w:eastAsia="arial" w:hAnsi="arial" w:cs="arial"/>
          <w:i/>
          <w:color w:val="000000"/>
          <w:sz w:val="20"/>
          <w:lang w:val="en-US" w:eastAsia="en-US" w:bidi="ar-SA"/>
        </w:rPr>
        <w:t>might</w:t>
      </w:r>
      <w:r>
        <w:rPr>
          <w:rFonts w:ascii="arial" w:eastAsia="arial" w:hAnsi="arial" w:cs="arial"/>
          <w:color w:val="000000"/>
          <w:sz w:val="20"/>
          <w:lang w:val="en-US" w:eastAsia="en-US" w:bidi="ar-SA"/>
        </w:rPr>
        <w:t xml:space="preserve"> be enough to further a loss of his peripheral visual field and also of his central vision. The evidence demonstrates that, shortly before the Membrane Surgery, Drs. Ross and Stockl assessed Mr. Chen's IOPs within the normal range, and that throughout the material period, none of the ophthalmologists who saw him recorded elevated IOPs, other than the isolated instance of Dr. Chang who found his IOPs to be 23 and 24 almost two years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Dr. Maberley was the only retinal subspecialist called by Mr. Chen to give expert evidence. I consider it notable that the only substantive comment he made with respect to Dr. Ross's standard of care is found in his initial consult, where he described the Membrane Surgery as "appropriate" surgery.</w:t>
      </w:r>
      <w:r>
        <w:rPr>
          <w:rFonts w:ascii="arial" w:eastAsia="arial" w:hAnsi="arial" w:cs="arial"/>
          <w:sz w:val="20"/>
          <w:lang w:val="en-US" w:eastAsia="en-US" w:bidi="ar-SA"/>
        </w:rPr>
        <w:cr/>
      </w:r>
    </w:p>
    <w:p>
      <w:pPr>
        <w:numPr>
          <w:numId w:val="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Aron Goldberg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Dr. Goldberg is an experienced general ophthalmologist who gave expert opinion evidence on behalf of the defendants. He completed his residency in ophthalmology in 1978 and the next year was accepted as a retinal Fellow at a hospital connected with the University of Toronto. He has been a consulting ophthalmologist at the Lion's Gate Hospital in North Vancouver and has run his own private practice in that vicinity for approximately 32 years. Dr. Goldberg is a former head of the division of ophthalmology and former Chief of Surgery of Lion's Gate Hospital, and for ten years was the medical director of the North Mount Eye Surgical Centre on the North Shore. Many of his patients require cataract surgery or have glaucoma or suspected glaucoma, and many are diabetics referred to him for general eye examinations.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Dr. Goldberg testified there is no standard way for a general ophthalmologist to go about making a referral to a specialist; some send letters and others refer by phone. He explained that when a general ophthalmologist refers a patient to a retinal subspecialist, it is in respect of a retinal issue. In all his years of experience, he could not recall ever having received a consult letter from a retinal subspecialist containing remarks about visual issues that were not related to the retina, with the exception that some of them may have pointed out an elevated IOP. More to the point, no retinal subspecialist to whom he had sent a patient had ever commented about indicators of glaucoma that had not been previously diagnosed.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Dr. Goldberg's view was that, given the degree of central vision compromise experienced by Mr. Chen on account of his epiretinal membrane, it was entirely appropriate for Dr. Lee to refer him to Dr. 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The evidence established that the change in an individual's C/D ratio is a relevant factor in suspecting glaucoma. One of Mr. Chen's main complaints against Dr. Lee is that he did not record Mr. Chen's C/D ratio numerically so as to enable him to track any changes to it over the course of time. It was Dr. Goldberg's opinion that during the years in question a typical general ophthalmologist would not have necessarily recorded the C/D ratio in the absence of a noted abnormality, even in an annual eye examination. He acknowledged that would mean that a baseline ratio would not be established in the patient's chart to compare against future measurements for the purpose of ascertaining whether there had been a change. He elaborated that the standard practice of general ophthalmologists has evolved since then and, at the present time, the C/D ratio is either recorded numerically, by way of a diagram depicting the comparison or, where the clinician has a degree of suspicion of glaucoma, by way of ocular photography.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Dr. Goldberg added that it is becoming increasingly more prevalent among general ophthalmologists to have fluorescein angiograms with photographs taken in instances where there is any suspicion for glaucoma. This is mainly because studies have shown there is variability in the subjective recording of C/D ratios as between different observers, and also between the same observers on different occasions. For this reason, he was of the opinion that the photographic evidence obtained by Dr. Lee in the form of the October 1998 Angiogram and the 1999 Angiogram was extremely useful in evaluating the health of Mr. Chen's optic discs.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Dr. Goldberg readily agreed that it was standard practice to record the patient's complaints relating to vision on each appointment. That said, in his view, after a patient undergoes cataract surgery, an ophthalmologist would meet the expected standard of care by charting as the reason for subsequent appointments words to the effect "follow-up cataract surgery", without much further in the way of particulars, as Dr. Lee had done for several months following Mr. Chen's cataract removal. Dr. Goldberg confirmed it was standard practice to record the time of day that a patient's IOP was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Dr. Goldberg stated that the purpose of an annual eye examination is largely to assess the patient's central vision. He agreed that visualizing the optic nerve using an ophthalmoscope and measuring the patient's visual acuity would typically be encompassed in a complete eye examination. In cross-examination, he agreed it would be expected that an ophthalmologist would perform a full eye examination on a patient who had undergone cataract surgery and had continued to have problems with his vision and had not been seen by that ophthalmologist for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Notably, however, Dr. Goldberg disagreed that checking a patient's peripheral vision by use of a confrontation visual field test or otherwise would ordinarily be carried out as a routine component of an annual eye examination. He elaborated that he does not routinely perform confrontation visual fields on his patients and testified that they are ordinarily administered only where an index of suspicion has been established that indicated there may be a concern about the patient's peripheral vision. The formulation of an index of suspicion depends on the presence or absence of risk factors. The risk factors would include a family history of glaucoma; whether the patient is female or of a race that reports a higher incidence of glaucoma; whether the patient is elderly, has symptoms suggestive of a stroke or a transient ischemic attack or has high IOPs on clinical examination; the presence of notching, which refers to the loss of the neuroretinal rim in certain zones; evidence of hemorrhages of the optic disc and a deepening of the optic cup. Dr. Goldberg concurred with the testimony of the defendants and Dr. Mikelberg that diabetics have no greater incidence for the usual types of glaucoma.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Dr. Goldberg had read Dr. Thomas's records charting Mr. Chen's complaint that after undergoing the cataract surgery, his vision was no better and "can't read newspaper, falling at times when walking". The following hypothetical was posed to him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have another scenario for you. Again I will ask that you let me finish the hypothetical facts before you give a response. Let's suppose you have a patient who is in his late 60s and he has diabetes and he has complained of tripping and falling because he is unable to see the curb when he is walking. Now, my question is, would it be the standard of practice to check the patient's peripheral vision at this point?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Dr. Goldberg answered that while some ophthalmologists "might" do a quick confrontation field test, it would not necessarily be the standard practice to examine the patient's peripheral vision in such circumstances. His rationale was that tripping and falling were non-specific medical complaints that occur with a great variety of medical conditions, such as balance difficulties and circulatory problems. Dr. Mikelberg had opined along the same lines. To the extent that the tripping and falling related to a problem with vision, Dr. Goldberg said it was far more likely to reflect a diminishment of central vision than a problem with peripheral vision. His uncontradicted testimony in cross-examination was that the usual type of complaint one would get with a deficit of peripheral vision, as opposed to central vision impairment, would be missing seeing things that are off to one side or banging into things while walking, but not a complaint of falling.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Dr. Goldberg credibly dispelled the notion that Mr. Chen's complaints of falling constituted risk factors that contributed to an index of suspicion for glaucoma. He noted also that he had seen no comments in the records of the ophthalmologists about the loss of Mr. Chen's peripheral 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In reviewing all of the information Dr. Lee had at hand and having regard to the pertinent risk factors, Dr. Goldberg opined that an index of suspicion would not have been established warranting a visual field test of Mr. Chen in the applicable timeline. He summarized his view on the matter in these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it would have been useful in hindsight to have ordered one [visual field] based on the subsequent clinical course, but there is no way Dr. Lee could have known that things were going to go in the direction that they did and, based on the information that he had, I wouldn't have ordered a visual field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In preparing his expert report dated December 12, 2006, Dr. Goldberg had reviewed a variety of documents but had primarily relied on the facts and assumptions contained in the medical and hospital records and angiogram reports and not on the facts alleged by Mr. Chen in his pleading or the evidence given at his examination for discovery. Mr. Chen's counsel directed Dr. Goldberg's attention to the following three allegations taken from the Statement of Claim:</w:t>
      </w:r>
      <w:r>
        <w:rPr>
          <w:rFonts w:ascii="arial" w:eastAsia="arial" w:hAnsi="arial" w:cs="arial"/>
          <w:sz w:val="20"/>
          <w:lang w:val="en-US" w:eastAsia="en-US" w:bidi="ar-SA"/>
        </w:rPr>
        <w:cr/>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My daughter accompanied me to see Dr. Lee in October 1998 and asked Dr. Lee whether or not I had the glaucoma problem and whether there was any impact of my diabetic problem on my eye condition.</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December 1999 I told Dr. Lee that I could only read newspapers from one angle.</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first visit to see Dr. Ross I told him that I could not see roads while walking and that I could only see the newspaper from one angle.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Dr. Goldberg testified that the first passage merely focused his attention on the question of whether glaucoma could have been detected at an earlier stage, and did not detract from his overall opinion that Dr. Lee had acted reasonably in the face of all of the information he had at the time. In relation to the second and third extracts, Dr. Goldberg testified that he considered that information to be consistent with the degree of disability that Mr. Chen was experiencing from his other ocular problems, and not with a peripheral abnormality linked to glaucoma.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In final submissions, Mr. Chen's counsel argued that because Mr. Chen's complaint to Dr. Lee about his peripheral vision before the Membrane Surgery was not mentioned in Dr. Lee's medical records, Dr. Goldberg had not taken that into account as a fact and assumption. Counsel clarified that she was referring to the answers given by Mr. Chen to questions 94 and 95 at his examination for discovery, which form part of Mr. Chen's Discovery Testimony, as being disregarded by Dr. Goldberg. However, Mr. Chen's answers to those questions do not amount to evidence of complaints to Dr. Lee of problems with his peripheral vision. Those portions of his Discovery Testimony refer to tripping and falling, some of which, or possibly all, occurred before his cataract surgery and which the preponderance of the medical evidence established were related to central vision impairment and not to any peripheral vision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Preparatory to his opinion, Dr. Goldberg projected and reviewed the original slides of the photographs comprising the October 1998 and 1999 Angiograms, and subsequently reviewed the full-size colour photographs made from those slides. He did not consider the quality of the photographs to be any better than the original slides he viewed. Based on those slides and the photographic images, Dr. Goldberg's impression was that Mr. Chen's optic nerves had a good neuroretinal rim and a normal appearing optic disc at the time when each of those angiographic studies were done. He explained that the neuroretinal rim is the pink rim of nervous tissue and is one of the visible components of the optic nerve and agreed that the determination of whether it has a normal appearance is a subjective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The C/D ratio of 0.7 reported in the 1999 Angiogram report accorded with Dr. Goldberg's assessment based on the photographs. He would not expect a C/D ratio of that degree to be associated with the extensive degree of field loss that Mr. Chen exhibited after the Membrane Surgery, which he said was almost never seen on a glaucomatous basis in the absence of a total cupping of the optic discs. He pointed out that such severe cupping was not noted by any of the practitioners involved in Mr. Chen's care before the Membrane Surgery. Dr. Goldman had never observed the extreme field loss as was experienced by Mr. Chen after the Membrane Surgery in combination with the C/D ratios he had prior to the operation, and described the situation as exceptionally rare. In his view, Mr. Chen's severe post-surgical visual field loss could not have been predicted from the pre-operative appearance of his optic discs.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Dr. Goldberg explained that an optic nerve that is damaged by an impaired vascular system can simply reach a "tipping point" that leads to a precipitous loss of vision, by which he meant a severe visual loss within mere hours or days. It was his belief that this is what had happened with Mr. Chen after the Membrane Surgery, and that his diffuse vascular disease was the most likely cause of the dramatic vision loss in his left eye between December 1999 and shortly after the Membrane Surgery. However, he thought it unlikely that the Membrane Surgery itself was the actual "tipping point" for two reasons: first, because the loss of vision in Mr. Chen's left eye did not occur immediately at or after the Membrane Surgery; and second, because of the very extensive visual loss he subsequently suffered in his right eye. He considered it to be in the realm of speculation as to whether a thorough examination of Mr. Chen's optic nerve prior to the Membrane Surgery would have revealed such vascular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Dr. Goldberg opined that based on the clinical records and fluorescein angiogram studies, there was nothing in the appearance of Mr. Chen's optic discs that would have been a contraindication for the Membrane Surgery and considered it entirely acceptable for Dr. Lee to refer Mr. Chen to Dr. Ross for removal of his epiretinal membrane. That conclusion was universally held by the medical experts. He was unshaken in his opinion that Dr. Lee had paid appropriate attention to the condition of Mr. Chen's optic discs throughout and that the examinations performed by Dr. Lee and his medical records met the standard of care applicable at the time of a reasonable and competent general ophthalmologist.</w:t>
      </w:r>
      <w:r>
        <w:rPr>
          <w:rFonts w:ascii="arial" w:eastAsia="arial" w:hAnsi="arial" w:cs="arial"/>
          <w:sz w:val="20"/>
          <w:lang w:val="en-US" w:eastAsia="en-US" w:bidi="ar-SA"/>
        </w:rPr>
        <w:cr/>
      </w:r>
    </w:p>
    <w:p>
      <w:pPr>
        <w:numPr>
          <w:numId w:val="6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Kelvin Finlay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In 1982, Dr. Finlay completed his residency in ophthalmology and the following year finished a clinical fellowship in retinal/vitreous surgery, both in connection with University of British Columbia. He has been a full-time retinal subspecialist for approximately 30 years and was a long serving active staff member of Mount St. Joseph's Hospital. Dr. Finlay is currently on staff of the Burnaby General Hospital and formerly acted as its Chief of Surgery. He was called as an expert witness by the defendants and tendered two written reports dated February 6, 2007, and October 5, 2007,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Dr. Finlay performs many types of eye surgeries and believes he has probably done more epiretinal membrane peels than any other kind of retinal operation. He receives referrals from ophthalmologists by telephone if there is a true emergency; otherwise, it is his practice to request a referral letter. He does not "deal with" the referring letter - it is something that his staff requires in order to activate the referral and book the appointment. Dr. Finlay was never asked and did not imply, much less say, that the referral practice he had implemented in his office represented the standard expectation among retinal subspecialists now or at the material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Dr. Finlay testified that in a retinal subspecialty practice in British Columbia, a patient is ordinarily referred for a specific retinal problem. It is not usually within the purview of the retinal specialist to administer a full eye examination to cover all aspects of the patient's ocular health. It is his evidence that, accordingly, Dr. Ross would have only been considering Mr. Chen's retinal issues that Dr. Lee asked him to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Dr. Finlay also corroborated Dr. Ross's evidence to the effect that retinal subspecialists do not routinely request the records of the referring ophthalmologist. They requisition their own tests and make decisions based on the tests that they have arranged or administered, and not on what might have been done in the past. He was adamant that a retinal subspecialist in British Columbia would not rely on any old tests or studies unless new ones were not available, and that general ophthalmologists understood that retinal subspecialists managed their in-patients that way. Accordingly, said Dr. Finlay, Dr. Ross did not require Dr. Lee's chart or any prior test results, and there was no indication for him to perform tests other than the 2000 Angiogram. A fluorescein angiogram was the major investigation to be ordered for a retinal problem and was considered to be the gold standard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xml:space="preserve">  Dr. Finlay agreed that glaucoma is diagnosed on the basis of visual field change/loss in combination with a change in the optic nerve. For that reason, he agreed a change in the patient's C/D ratio, rather than the measurement of the C/D ratio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was of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Dr. Finlay did not consider the photographs of the October 1998 Angiogram to indicate glaucoma and testified that Mr. Chen's C/D ratio at that time looked to be healthy at about 0.5. In reviewing the 1999 Angiogram photographs, he saw no worrisome problems such as hemorrhaging of the optic nerve or major cupping in Mr. Chen's left eye. Consistent with the assessments of Drs. Ross and Goldberg, Dr. Finlay found that the optic nerve had a nice normal colour and looked quite healthy in both sets of photographs.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As had the defendants and Drs. Mikelberg and Goldberg, Dr. Finlay testified that the presence of severe glaucoma was not contraindicated for a membrane peel. He would not caution a patient with that disease against going forward with the procedure. He said it would be the recommendation of any retinal subspecialist that a patient undergo a membrane peel even where advanced glaucoma was present. In cases where Dr. Finlay is aware that the patient has glaucoma, he assumes the general ophthalmologist is managing the disease. If he suspected that a patient had an undiagnosed disease process such as glaucoma, he would send the patient back to the referring doctor to investigate and would probably not order a visual field test himself. I did not understand Dr. Finlay to say that a retinal subspecialist would be expected to have the referring physician undertake investigations for glaucoma before proceeding with a surgical membrane removal; nor rule out glaucoma, whether by ordering visual field tests or otherwise, on a patient before performing the procedure. In cross-examination, Dr. Finlay added that in instances where he knew the patient had glaucoma, he would take that into account in terms of his awareness of controlling that patient's pressure during the procedure, but nothing more than that. There was no evidence that Mr. Chen's IOPs were not properly controlled or became elevated during the Membrane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Dr. Finlay opined more particularly that the consultations Dr. Ross received from Drs. Anderson and Mikelberg suggesting the presence of a possible glaucomatous state would not have negated the need for or the potential benefit to be derived from the Membrane Surgery. He testified, as had Drs. Ross and Goldberg, that there is no other treatment available to address a membrane pathology. He also supported Dr. Ross's testimony to the effect that a membrane spreads and typically worsens an individual's vision over time, eventually resulting in blindness and, therefore, no value would be gained in having the surgery if the patient were to postpone it too 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Dr. Finlay further substantiated Dr. Ross's evidence that the removal surgery is indicated where the membrane has caused cystoid macular edema, which decreases an individual's vision, as he believed it had in Mr. Chen's case. He pointed out the evidence of such edema in the sets of photographs for the 1999 and 2000 Angiograms. He saw no material difference between the appearance of Mr. Chen's optic nerve head or the cystoid macular edema in the two sets of photographs. Dr. Finlay testified that the photographs showed Mr. Chen's vision in his left eye had diminished because of the membrane-induced cystoid macular edema and opined that removal of the membrane should improve his vision. Additionally, he testified that none of the imaging taken before the Membrane Surgery indicated that Mr. Chen had glaucoma or diabetic retinopathy.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In sum, on the basis of Mr. Chen's poor visual acuity and the results of the 2000 Angiogram, Dr. Finlay considered him to be an appropriate candidate for the Membrane Surgery, and would have recommended that he undergo that surgical procedure to improve his central vision whether or not glaucoma was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Another point on which Dr. Finlay supported Dr. Ross's testimony was that the advice given to a patient in relation to the risks and benefits of a vitrectomy and membrane removal is basically a standard speech that incorporates percentages consistent with the medical literature on membrane removal. In Dr. Finlay's opinion, Dr. Ross met the expected standard of care in advising Mr. Chen of the risks and benefits of surgery of this kind. For the purposes of his opinion, he assumed that when Mr. Chen was seen by Drs. Ross and Stockl on January 26, 2000, he was advised about the benefits and risks of the proposed surgical removal along the following lines:</w:t>
      </w:r>
      <w:r>
        <w:rPr>
          <w:rFonts w:ascii="arial" w:eastAsia="arial" w:hAnsi="arial" w:cs="arial"/>
          <w:sz w:val="20"/>
          <w:lang w:val="en-US" w:eastAsia="en-US" w:bidi="ar-SA"/>
        </w:rPr>
        <w:cr/>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60 percent chance that he would experience two lines of improvement in his vision on an eye chart;</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30 percent chance there would be some minimal improvement, less distortion, but some improvement;</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 to a ten percent chance of no improvement or a complication such as retinal detachment, infection or loss of 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In summarizing the risks and benefits at trial, Dr. Finlay opined that membrane peel surgery has approximately an 80 percent chance of producing significant visual improvement, and a ten to 15 percent chance of producing only a moderate improvement. He explained that the actual percentages for the risks can vary depending on the patient's general health and medications, but are generally considered to be less than somewhere between five to ten percent. His evidence of a 90 to 95 percent chance of improvement of varying degrees supported Dr. Ross's evidence to the effect that the global success rate was between 90 and 95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Dr. Finlay noted that the risks are present in all vitrectomy and membrane peels but represent a very small downside to the surgery. He concurred with Dr. Ross that a patient with severe glaucoma would have a "very small" increased risk of about one percent of the small chance of a catastrophic visual loss because of the surgery; it does not increase the overall risk of complications by one percent. The increased risk reflects the fact that the optic nerve of a glaucoma patient is more susceptible to vascular damage at the time of surgery. The reasons for this are not entirely clear. He supported Dr. Goldberg's view that if such a risk materializes, it does so immediately at the time of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Dr. Finlay expounded that the 80 percent chance of significant improvement would decrease to approximately 60 percent for patients who, unlike Mr. Chen, did not have cystoid macular edema, because the likelihood of visual improvement is much less in the absence of that condition. He did not opine that the chance of improvement would not be more than 60 percent if the patient had glaucoma, as was submitted by Mr. Chen's counsel in closing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Ninety-nine percent of Dr. Finlay's patients agreed to have the membrane surgery after the risks and benefits were disclosed in the foregoing terms. At the time of trial, he had performed between 50 and 100 epiretinal membrane operations on patients with advanced glaucoma. Although he could not be certain of the figures, he estimated that of those patients, there was probably only one or two who had not followed his recommendation to have the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Dr. Finlay was questioned extensively about closed angle glaucoma and the post-operative hospital records pertaining to Mr. Chen. He explained that with angle closure, the natural fluid made by the eye cannot escape and causes the pressure to become very high. The condition causes intense pain that can persist for weeks if it is not resolved by medical intervention. In Dr. Finlay's opinion, the suggestion that Mr. Chen had an angle closure post-operatively did not fit with any of the medical records, including the hospital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Dr. Finlay characterized AION essentially as a vascular episode involving the optic nerve. He shared the defendants' view that it is very difficult to differentiate between AION and low/normal tension glaucoma because of their similar presentation. He commented that some physicians believe that they may even be one and the same condition and that the latter is actually multiple attacks of AION and it is, therefore, not unreasonable to classify one or the other either way. He interpreted Dr. Mikelberg's opinion on causation as emblematic of the difficulty in distinguishing between the two conditions, noting that Dr. Mikelberg tread "right down the middle" of the two diagnoses by covering off both as possibilities.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Dr. Finlay concluded that Mr. Chen suffered from AION rather than low/normal tension glaucoma, in part, because his vision loss happened so acutely on the third day after surgery. He opined that Mr. Chen's optic nerve head pathology was related to his poor vascular status and was "certainly not" related to the Membrane Surgery and that Mr. Chen did not have AION at the time of the Membrane Surgery. Dr. Finlay appeared to use AION to describe a condition where the blood vessels to the optic nerve suddenly become blocked and cause catastrophic visual loss, which is a definition more in line with Dr. Ross's description of the multiple mini-strokes that he believes were responsible for Mr. Chen's left eye blindness.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Dr. Finlay closed his October 5 expert report with these conclusions: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Therefore, it is my conclusion that [Mr. Chen] had appropriate vitreoretinal surgery carried out on his left eye by Dr. William Ross. The pre-op diagnosis was confirmed with appropriate laboratory study. The potential risks and complications were appropriately given to the patient. The surgical procedure itself was appropriate and uneventful. The post-operative management was exemplary and the course of [Mr. Chen's] visual loss and change would not have been altered by any change in the circumstances or procedures regarding his management by Dr. Ross.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therefore conclude that Dr. Ross did meet all the required standards of care necessary to give [Mr. Chen] the best potential outcome.</w:t>
      </w:r>
    </w:p>
    <w:p>
      <w:pPr>
        <w:numPr>
          <w:numId w:val="6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Summary of 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The experts offered plausible theories, but reached no consensus, as to the cause of Mr. Chen's acute vision loss three days after the Membrane Surgery. The medical evidence established that Mr. Chen was likely a vasculopath and that his impaired vascular system, probably due to his diabetes, produced a significant degree of retinal vascular inefficiency that adversely affected his left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Dr. Mikelberg opined that Mr. Chen's loss of vision was caused either by his retinal vascular disease or as a result of the progression of his low/normal tension glaucoma. He did not say whether one was more probably the cause than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Dr. Maberley also concluded that Mr. Chen had significant vascular inefficiency at the time of the Membrane Surgery, as well as glaucoma, possibly of the low/normal tension type. He confessed that he was at a "severe disadvantage", because of the dearth of medical records and information available to him when he prepared his opinion. In light of that, and given the necessarily equivocal nature of Dr. Maberley's opinion on causation, I attribute no weight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Dr. Goldberg's opinion on causation was that Mr. Chen's diffuse vascular disease had likely damaged his optic nerve to a near "tipping point", which crystallized after the Membrane Surgery but was unrelated to it, and was responsible for bringing about Mr. Chen's precipitous loss of 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Dr. Finlay supported the defendants' testimony about the difficulty in differentiating between AION and low/normal tension glaucoma and the notion that they may be one and the same condition. He concluded that Mr. Chen suffered from AION after the Membrane Surgery, rather than low/normal tension glaucoma, and that the AION event suffered by Mr. Chen on the third day post-operatively was unrelated to the Membrane Surgery. Dr. Finlay's conception of AION corresponded to Dr. Ross's view, directly elicited in cross-examination, to the effect that Mr. Chen's ischemic eye resulting from the occlusion of blood vessels in his optic nerve had triggered multiple mini-strokes and caused Mr. Chen's blindness.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There was no agreement among the experts that glaucoma had played a causative role in Mr. Chen's loss of sight. To the extent that Mr. Chen was suffering from glaucoma at the time, the preponderance of their evidence established it was low/normal tension glaucoma. Although the experts did not hold a unified view as to the precise mechanics leading to Mr. Chen's blindness they did agree that a vascular episode of some kind was most probably implicated.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OVERVIEW OF THE 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In closing argument, Mr. Chen's counsel submitted that Dr. Lee's liability arose from his alleged substandard conduct in relation to seven principal areas, namely his failure to:</w:t>
      </w:r>
      <w:r>
        <w:rPr>
          <w:rFonts w:ascii="arial" w:eastAsia="arial" w:hAnsi="arial" w:cs="arial"/>
          <w:sz w:val="20"/>
          <w:lang w:val="en-US" w:eastAsia="en-US" w:bidi="ar-SA"/>
        </w:rPr>
        <w:cr/>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an annual visual field test on Mr. Chen from 1996 to 2000 to screen for glaucoma;</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record the appearance of Mr. Chen's optic nerve and C/D ratio with sufficient detail to assess whether there were any changes in its appearance over time;</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record the time of day he measured Mr. Chen's IOP;</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record all of the complaints that Mr. Chen had at each visit in a detailed manner;</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diagnose Mr. Chen with advanced open angle glaucoma in a timely manner;</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perform any medical treatments that could have prevented Mr. Chen's condition from worsening; and</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Dr. Ross with a referral letter advising him of Mr. Chen's medical history, his inability to communicate with non-Mandarin physicians, and a description of the reason for the referral.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The gravamen of Mr. Chen's claim against Dr. Lee is that he failed to diagnose his glaucoma and the susceptible condition of his optic nerve before the Membrane Surgery. The essence of his complaint is that the delayed diagnosis of glaucoma stems from Dr. Lee's failure to arrange automated visual field tests, at least annually, which were indicated for several reasons, including that Mr. Chen was an elderly person at high risk for glaucoma and had complained of symptoms reflective of peripheral vision impairment. Dr. Lee's alleged breach of his duty of care deprived Mr. Chen of appropriate treatment for his glaucoma (whatever the type) in a timely manner, which Mr. Chen says would have preserved the vascular health of his optic nerve, enabling it to endure the Membrane Surgery and thereby prolonging his sight. Mr. Chen's counsel clarified that the treatment referred to in this regard was the treatment that Mr. Chen received by Dr. Mikelberg in respect of his right eye after the Membrane Surgery, and more generally, whatever medical treatment that could have prevented Mr. Chen's condition from worsening and preserved the vision in his left eye for a longer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Mr. Chen alleges that Dr. Ross's breached his duty of care by failing to do ten things before the Membrane Surgery, namely:</w:t>
      </w:r>
      <w:r>
        <w:rPr>
          <w:rFonts w:ascii="arial" w:eastAsia="arial" w:hAnsi="arial" w:cs="arial"/>
          <w:sz w:val="20"/>
          <w:lang w:val="en-US" w:eastAsia="en-US" w:bidi="ar-SA"/>
        </w:rPr>
        <w:cr/>
      </w:r>
    </w:p>
    <w:p>
      <w:pPr>
        <w:numPr>
          <w:numId w:val="6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obtain a thorough medical history of Mr. Chen from Dr. Lee;</w:t>
      </w:r>
    </w:p>
    <w:p>
      <w:pPr>
        <w:numPr>
          <w:numId w:val="6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obtain a thorough medical history from Mr. Chen;</w:t>
      </w:r>
    </w:p>
    <w:p>
      <w:pPr>
        <w:numPr>
          <w:numId w:val="6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perform a thorough eye examination of Mr. Chen;</w:t>
      </w:r>
    </w:p>
    <w:p>
      <w:pPr>
        <w:numPr>
          <w:numId w:val="6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accurately assess whether Mr. Chen was a candidate for the Membrane Surgery;</w:t>
      </w:r>
    </w:p>
    <w:p>
      <w:pPr>
        <w:numPr>
          <w:numId w:val="6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accurately advise Mr. Chen of the risks associated with the Membrane Surgery, including the increased risk for patients with glaucoma;</w:t>
      </w:r>
    </w:p>
    <w:p>
      <w:pPr>
        <w:numPr>
          <w:numId w:val="6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adequately assess whether Mr. Chen understood the risks associated with the Membrane Surgery;</w:t>
      </w:r>
    </w:p>
    <w:p>
      <w:pPr>
        <w:numPr>
          <w:numId w:val="6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advise Mr. Chen that one of the risks of the procedure was the loss of vision in his left eye;</w:t>
      </w:r>
    </w:p>
    <w:p>
      <w:pPr>
        <w:numPr>
          <w:numId w:val="6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Mr. Chen's tolerance of risk if the Membrane Surgery was unsuccessful;</w:t>
      </w:r>
    </w:p>
    <w:p>
      <w:pPr>
        <w:numPr>
          <w:numId w:val="6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advise Mr. Chen of the treatment options available as an alternative to the Membrane Surgery and their attendant risks; and</w:t>
      </w:r>
    </w:p>
    <w:p>
      <w:pPr>
        <w:numPr>
          <w:numId w:val="6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disclose to Mr. Chen the risks and benefits of the Membrane Surgery in writing and ensure they were reiterated to him at the hospital at the time of the Membrane Surgery through a hospital translator.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Although Mr. Chen alleges that Dr. Ross breached his duty of care on matters unrelated to the informed consent issue, the thrust of his claim against Dr. Ross was that he had not provided his informed consent to the Membrane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xml:space="preserve">  A number of the criticisms raised by Mr. Chen belied a lack of appreciation of the constituent elements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particular, the compulsory causal link between the alleged substandard conduct and the harm done, and/or were without foundation in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The defendants deny any breach of their respective standards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Dr. Lee argues that if he were found to have violated the applicable standard of care on any basis, there is no evidence that an earlier diagnosis and treatment of Mr. Chen's low/normal tension glaucoma would have prevented or postponed the unfortunate outcome, or should have precluded the referral he made to Dr. Ross. In short, claims Dr. Lee, even if some aspect of his conduct had fallen below the acceptable standard, which he denies, it did not cause Mr. Chen's blindness.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Dr. Ross contends there is no evidence that he failed to meet the standard of care expected of a retinal subspecialist seeing a patient referred for retinal problems. His position is that the Membrane Surgery was uneventful and that Mr. Chen's acute loss of vision on the third post-operative day was unrelated to it. In the alternative, Dr. Ross says that even if the Membrane Surgery caused the injury to Mr. Chen, the fact is that loss of vision is a rare but real risk of the procedure, and this risk and other potential complications were adequately explained to Mr. Chen such that he had the requisite disclosure upon which to give his informed consent, and did so. It is Dr. Ross's further contention that even if Mr. Chen had not been so informed, a reasonable person in his circumstances, appropriately informed of the nature and prediction of risks associated with the Membrane Surgery, would have consented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Given my dismissal of this case, it is unnecessary to summarize the parties' submissions on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xml:space="preserve">  To succeed in a medical malpractice claim grounded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must establish the following:</w:t>
      </w:r>
      <w:r>
        <w:rPr>
          <w:rFonts w:ascii="arial" w:eastAsia="arial" w:hAnsi="arial" w:cs="arial"/>
          <w:sz w:val="20"/>
          <w:lang w:val="en-US" w:eastAsia="en-US" w:bidi="ar-SA"/>
        </w:rPr>
        <w:cr/>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physician owed the plaintiff a duty of care;</w:t>
      </w:r>
    </w:p>
    <w:p>
      <w:pPr>
        <w:numPr>
          <w:numId w:val="7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physician breached the applicable standard of care expected in the circumstances;</w:t>
      </w:r>
    </w:p>
    <w:p>
      <w:pPr>
        <w:numPr>
          <w:numId w:val="7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suffered harm;</w:t>
      </w:r>
    </w:p>
    <w:p>
      <w:pPr>
        <w:numPr>
          <w:numId w:val="7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harm suffered by the plaintiff was caused, as that concept is understood in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by the physician's substandard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Proof of all these constituent elements is essential. The defendants do not dispute that they owed Mr. Chen a duty of care. The contentious issues are whether they breached their respective standards of care and, if so, whether any such breach caused Mr. Chen's loss of vision and, in the case of Dr. Ross, whether he obtained Mr. Chen's informed consent to the Membrane Surgery.</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xml:space="preserve">  A physician's error in clinical judgment or an adverse outcome from medical treatment does not necessarily correspond to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Belknap v. Meakes</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(1989), 64 D.L.R. (4th) 452</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Belknap</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Fairley (Guardian ad litem of) v. Waterman</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2002 BCSC 10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Fairley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xml:space="preserve">  There is no uniform standard of care governing all doctors. The applicable standard is related to the physician's education, experience, qualifications and the surrounding circumstances. Specialists are expected to exhibit a higher degree of skill in their field than are general practitioners with respect to treatment as well as diagnosis. The physician's conduct is evaluated objectively against a reasonable medical person who possesses and exercises the skill, knowledge, and judgment of the normal prudent practitioner of his or her special group, in the particular circumstances, at the material time: </w:t>
      </w:r>
      <w:r>
        <w:rPr>
          <w:rFonts w:ascii="arial" w:eastAsia="arial" w:hAnsi="arial" w:cs="arial"/>
          <w:i/>
          <w:color w:val="000000"/>
          <w:sz w:val="20"/>
          <w:lang w:val="en-US" w:eastAsia="en-US" w:bidi="ar-SA"/>
        </w:rPr>
        <w:t>Wilson v. Swanson</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ter Neuzer v. Korn</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Korn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xml:space="preserve">  The enduring remarks of Schroeder J.A. in </w:t>
      </w:r>
      <w:r>
        <w:rPr>
          <w:rFonts w:ascii="arial" w:eastAsia="arial" w:hAnsi="arial" w:cs="arial"/>
          <w:i/>
          <w:color w:val="000000"/>
          <w:sz w:val="20"/>
          <w:lang w:val="en-US" w:eastAsia="en-US" w:bidi="ar-SA"/>
        </w:rPr>
        <w:t>Crits v. Sylvester</w:t>
      </w:r>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(1956), 1 D.L.R. (2d) 502</w:t>
        </w:r>
      </w:hyperlink>
      <w:r>
        <w:rPr>
          <w:rFonts w:ascii="arial" w:eastAsia="arial" w:hAnsi="arial" w:cs="arial"/>
          <w:color w:val="000000"/>
          <w:sz w:val="20"/>
          <w:lang w:val="en-US" w:eastAsia="en-US" w:bidi="ar-SA"/>
        </w:rPr>
        <w:t xml:space="preserve"> (Ont. C.A.) at 13, aff'd </w:t>
      </w:r>
      <w:hyperlink r:id="rId101" w:history="1">
        <w:r>
          <w:rPr>
            <w:rFonts w:ascii="arial" w:eastAsia="arial" w:hAnsi="arial" w:cs="arial"/>
            <w:i/>
            <w:color w:val="0077CC"/>
            <w:sz w:val="20"/>
            <w:u w:val="single"/>
            <w:shd w:val="clear" w:color="auto" w:fill="FFFFFF"/>
            <w:lang w:val="en-US" w:eastAsia="en-US" w:bidi="ar-SA"/>
          </w:rPr>
          <w:t>[1956] S.C.R. 991</w:t>
        </w:r>
      </w:hyperlink>
      <w:r>
        <w:rPr>
          <w:rFonts w:ascii="arial" w:eastAsia="arial" w:hAnsi="arial" w:cs="arial"/>
          <w:color w:val="000000"/>
          <w:sz w:val="20"/>
          <w:lang w:val="en-US" w:eastAsia="en-US" w:bidi="ar-SA"/>
        </w:rPr>
        <w:t>, are instructive of these points: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legal principles involved are plain enough but it is not always easy to apply them to particular circumstances. Every medical practitioner must bring to his task a reasonable degree of skill and knowledge and must exercise a reasonable degree of care. He is bound to exercise that degree of care and skill which could reasonably be expected of a normal, prudent practitioner of the same experience and standing, and if he holds himself out as a specialist, a higher degree of skill is required of him than of one who does not profess to be so qualified by special training and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xml:space="preserve">  All specialists do not share an equivalent standard of care. Practitioners with different specialties are not ordinarily expected to have the knowledge and skill outside the bounds of their respective specialty areas. By way of example, in </w:t>
      </w:r>
      <w:r>
        <w:rPr>
          <w:rFonts w:ascii="arial" w:eastAsia="arial" w:hAnsi="arial" w:cs="arial"/>
          <w:i/>
          <w:color w:val="000000"/>
          <w:sz w:val="20"/>
          <w:lang w:val="en-US" w:eastAsia="en-US" w:bidi="ar-SA"/>
        </w:rPr>
        <w:t>Kita v. Braig</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(1992), 71 B.C.L.R. (2d) 135</w:t>
        </w:r>
      </w:hyperlink>
      <w:r>
        <w:rPr>
          <w:rFonts w:ascii="arial" w:eastAsia="arial" w:hAnsi="arial" w:cs="arial"/>
          <w:color w:val="000000"/>
          <w:sz w:val="20"/>
          <w:lang w:val="en-US" w:eastAsia="en-US" w:bidi="ar-SA"/>
        </w:rPr>
        <w:t xml:space="preserve"> (C.A.), leave to appeal to S.C.C. refused, </w:t>
      </w:r>
      <w:hyperlink r:id="rId103" w:history="1">
        <w:r>
          <w:rPr>
            <w:rFonts w:ascii="arial" w:eastAsia="arial" w:hAnsi="arial" w:cs="arial"/>
            <w:i/>
            <w:color w:val="0077CC"/>
            <w:sz w:val="20"/>
            <w:u w:val="single"/>
            <w:shd w:val="clear" w:color="auto" w:fill="FFFFFF"/>
            <w:lang w:val="en-US" w:eastAsia="en-US" w:bidi="ar-SA"/>
          </w:rPr>
          <w:t>[1992] S.C.C.A. No. 469</w:t>
        </w:r>
      </w:hyperlink>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(1993), 74 B.C.L.R. (2d) xxx</w:t>
        </w:r>
      </w:hyperlink>
      <w:r>
        <w:rPr>
          <w:rFonts w:ascii="arial" w:eastAsia="arial" w:hAnsi="arial" w:cs="arial"/>
          <w:color w:val="000000"/>
          <w:sz w:val="20"/>
          <w:lang w:val="en-US" w:eastAsia="en-US" w:bidi="ar-SA"/>
        </w:rPr>
        <w:t xml:space="preserve"> (S.C.C.), an ear, nose, and throat specialist performing a particular surgical procedure was not held to the standard of a vascular surgeon. Similarly, in </w:t>
      </w:r>
      <w:r>
        <w:rPr>
          <w:rFonts w:ascii="arial" w:eastAsia="arial" w:hAnsi="arial" w:cs="arial"/>
          <w:i/>
          <w:color w:val="000000"/>
          <w:sz w:val="20"/>
          <w:lang w:val="en-US" w:eastAsia="en-US" w:bidi="ar-SA"/>
        </w:rPr>
        <w:t>McColl v. Hudson</w:t>
      </w:r>
      <w:r>
        <w:rPr>
          <w:rFonts w:ascii="arial" w:eastAsia="arial" w:hAnsi="arial" w:cs="arial"/>
          <w:color w:val="000000"/>
          <w:sz w:val="20"/>
          <w:lang w:val="en-US" w:eastAsia="en-US" w:bidi="ar-SA"/>
        </w:rPr>
        <w:t xml:space="preserve">, 1998 CarswellBC 769, </w:t>
      </w:r>
      <w:hyperlink r:id="rId105" w:history="1">
        <w:r>
          <w:rPr>
            <w:rFonts w:ascii="arial" w:eastAsia="arial" w:hAnsi="arial" w:cs="arial"/>
            <w:i/>
            <w:color w:val="0077CC"/>
            <w:sz w:val="20"/>
            <w:u w:val="single"/>
            <w:shd w:val="clear" w:color="auto" w:fill="FFFFFF"/>
            <w:lang w:val="en-US" w:eastAsia="en-US" w:bidi="ar-SA"/>
          </w:rPr>
          <w:t>[1998] B.C.J. No. 801</w:t>
        </w:r>
      </w:hyperlink>
      <w:r>
        <w:rPr>
          <w:rFonts w:ascii="arial" w:eastAsia="arial" w:hAnsi="arial" w:cs="arial"/>
          <w:color w:val="000000"/>
          <w:sz w:val="20"/>
          <w:lang w:val="en-US" w:eastAsia="en-US" w:bidi="ar-SA"/>
        </w:rPr>
        <w:t xml:space="preserve"> (S.C.), an obstetrician conducting an ultrasound was not held to the standard of a radiologist.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Neither the generalist nor specialist is expected to meet a standard of perfection; only reasonable care is required, not infallibility.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xml:space="preserve">  In the landmark decision of the Supreme Court of Canada in </w:t>
      </w:r>
      <w:r>
        <w:rPr>
          <w:rFonts w:ascii="arial" w:eastAsia="arial" w:hAnsi="arial" w:cs="arial"/>
          <w:i/>
          <w:color w:val="000000"/>
          <w:sz w:val="20"/>
          <w:lang w:val="en-US" w:eastAsia="en-US" w:bidi="ar-SA"/>
        </w:rPr>
        <w:t>Korn</w:t>
      </w:r>
      <w:r>
        <w:rPr>
          <w:rFonts w:ascii="arial" w:eastAsia="arial" w:hAnsi="arial" w:cs="arial"/>
          <w:color w:val="000000"/>
          <w:sz w:val="20"/>
          <w:lang w:val="en-US" w:eastAsia="en-US" w:bidi="ar-SA"/>
        </w:rPr>
        <w:t>, Sopinka J., for the Court, commented on the necessity of expert evidence in cases of medical malpractice at para. 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was observed in [</w:t>
      </w:r>
      <w:r>
        <w:rPr>
          <w:rFonts w:ascii="arial" w:eastAsia="arial" w:hAnsi="arial" w:cs="arial"/>
          <w:i/>
          <w:color w:val="000000"/>
          <w:sz w:val="20"/>
          <w:lang w:val="en-US" w:eastAsia="en-US" w:bidi="ar-SA"/>
        </w:rPr>
        <w:t>Lapointe v. Hôpital Le Gardeur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1 S.C.R. 351</w:t>
      </w:r>
      <w:r>
        <w:rPr>
          <w:rFonts w:ascii="arial" w:eastAsia="arial" w:hAnsi="arial" w:cs="arial"/>
          <w:color w:val="000000"/>
          <w:sz w:val="20"/>
          <w:lang w:val="en-US" w:eastAsia="en-US" w:bidi="ar-SA"/>
        </w:rPr>
        <w:t>], courts should not involve themselves in resolving scientific disputes which require the expertise of the profession. Courts and juries do not have the necessary expertise to assess technical matters relating to the diagnosis or treatment of patients. Where a common or accepted course of conduct is adopted based on the specialized and technical expertise of professionals, it is unsatisfactory for a finder of fact to conclude that such a standard was inherently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xml:space="preserve">  The law admits a narrow exception to the general rule that mandates the tendering of expert evidence as to the standard of care. It may not be required where the impugned conduct does not involve a matter of technical skill and expertise, but instead pertains to the taking of precautions in regard to something about which any ordinary, reasonable person would be competent to determine: </w:t>
      </w:r>
      <w:r>
        <w:rPr>
          <w:rFonts w:ascii="arial" w:eastAsia="arial" w:hAnsi="arial" w:cs="arial"/>
          <w:i/>
          <w:color w:val="000000"/>
          <w:sz w:val="20"/>
          <w:lang w:val="en-US" w:eastAsia="en-US" w:bidi="ar-SA"/>
        </w:rPr>
        <w:t>Anderson v. Chasney</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[1949] 4 D.L.R. 71</w:t>
        </w:r>
      </w:hyperlink>
      <w:r>
        <w:rPr>
          <w:rFonts w:ascii="arial" w:eastAsia="arial" w:hAnsi="arial" w:cs="arial"/>
          <w:color w:val="000000"/>
          <w:sz w:val="20"/>
          <w:lang w:val="en-US" w:eastAsia="en-US" w:bidi="ar-SA"/>
        </w:rPr>
        <w:t xml:space="preserve"> (Man. C.A.), aff'd </w:t>
      </w:r>
      <w:hyperlink r:id="rId107" w:history="1">
        <w:r>
          <w:rPr>
            <w:rFonts w:ascii="arial" w:eastAsia="arial" w:hAnsi="arial" w:cs="arial"/>
            <w:i/>
            <w:color w:val="0077CC"/>
            <w:sz w:val="20"/>
            <w:u w:val="single"/>
            <w:shd w:val="clear" w:color="auto" w:fill="FFFFFF"/>
            <w:lang w:val="en-US" w:eastAsia="en-US" w:bidi="ar-SA"/>
          </w:rPr>
          <w:t>[1950] 4 D.L.R. 223</w:t>
        </w:r>
      </w:hyperlink>
      <w:r>
        <w:rPr>
          <w:rFonts w:ascii="arial" w:eastAsia="arial" w:hAnsi="arial" w:cs="arial"/>
          <w:color w:val="000000"/>
          <w:sz w:val="20"/>
          <w:lang w:val="en-US" w:eastAsia="en-US" w:bidi="ar-SA"/>
        </w:rPr>
        <w:t xml:space="preserve"> (S.C.C.) (failure to count sponges in and out of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xml:space="preserve">  Differences of practice and opinion concerning diagnosis and treatment exist among members of the medical profession. Conduct that conforms to a generally accepted or standard practice will not normally be considered to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merely because there is a body of opinion that takes a contrary view: </w:t>
      </w:r>
      <w:r>
        <w:rPr>
          <w:rFonts w:ascii="arial" w:eastAsia="arial" w:hAnsi="arial" w:cs="arial"/>
          <w:i/>
          <w:color w:val="000000"/>
          <w:sz w:val="20"/>
          <w:lang w:val="en-US" w:eastAsia="en-US" w:bidi="ar-SA"/>
        </w:rPr>
        <w:t>Belknap</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Fairley</w:t>
      </w:r>
      <w:r>
        <w:rPr>
          <w:rFonts w:ascii="arial" w:eastAsia="arial" w:hAnsi="arial" w:cs="arial"/>
          <w:color w:val="000000"/>
          <w:sz w:val="20"/>
          <w:lang w:val="en-US" w:eastAsia="en-US" w:bidi="ar-SA"/>
        </w:rPr>
        <w:t>. The physician's treatment or conduct in question is evaluated in light of the approved practice at the material time and in the prevailing circumstances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xml:space="preserve">  The concept of two schools of thought stands for the proposition that reasonable ophthalmologists acting reasonably can disagree on patient management issues and diagnosis, and that their disagreement does not, of itself, imply a breach of the standard of care. The role of the Court is not to determine which of the accepted practices is the best or preferred practice, as that would not offer a sufficient basis for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Court must simply decide whether there is a reputable body of medical opinion in support of the school of thought adhered to and whether the followed practice was reasonable in all the circumstances. The onus of proving that the conduct conformed to an approved practice at the relevant time falls to the defendant: </w:t>
      </w:r>
      <w:r>
        <w:rPr>
          <w:rFonts w:ascii="arial" w:eastAsia="arial" w:hAnsi="arial" w:cs="arial"/>
          <w:i/>
          <w:color w:val="000000"/>
          <w:sz w:val="20"/>
          <w:lang w:val="en-US" w:eastAsia="en-US" w:bidi="ar-SA"/>
        </w:rPr>
        <w:t>Korn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Belknap</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Brimacombe v. Mathews</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2001 BCCA 206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xml:space="preserve">  Expert evidence that establishes there are two or more competing and accepted schools of thought in respect of the medical issue in question, and that the defendant physician adhered to one of them, is typically fatal to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This holds true even if, in retrospect, adherence to that line of thinking was erroneous: </w:t>
      </w:r>
      <w:r>
        <w:rPr>
          <w:rFonts w:ascii="arial" w:eastAsia="arial" w:hAnsi="arial" w:cs="arial"/>
          <w:i/>
          <w:color w:val="000000"/>
          <w:sz w:val="20"/>
          <w:lang w:val="en-US" w:eastAsia="en-US" w:bidi="ar-SA"/>
        </w:rPr>
        <w:t>Fairley</w:t>
      </w:r>
      <w:r>
        <w:rPr>
          <w:rFonts w:ascii="arial" w:eastAsia="arial" w:hAnsi="arial" w:cs="arial"/>
          <w:color w:val="000000"/>
          <w:sz w:val="20"/>
          <w:lang w:val="en-US" w:eastAsia="en-US" w:bidi="ar-SA"/>
        </w:rPr>
        <w:t xml:space="preserve"> at para.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xml:space="preserve">  A succinct statement of the defence of approved practice is found in </w:t>
      </w:r>
      <w:r>
        <w:rPr>
          <w:rFonts w:ascii="arial" w:eastAsia="arial" w:hAnsi="arial" w:cs="arial"/>
          <w:i/>
          <w:color w:val="000000"/>
          <w:sz w:val="20"/>
          <w:lang w:val="en-US" w:eastAsia="en-US" w:bidi="ar-SA"/>
        </w:rPr>
        <w:t>Korn</w:t>
      </w:r>
      <w:r>
        <w:rPr>
          <w:rFonts w:ascii="arial" w:eastAsia="arial" w:hAnsi="arial" w:cs="arial"/>
          <w:color w:val="000000"/>
          <w:sz w:val="20"/>
          <w:lang w:val="en-US" w:eastAsia="en-US" w:bidi="ar-SA"/>
        </w:rPr>
        <w:t xml:space="preserve"> at para. 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generally accepted that when a doctor acts in accordance with a recognized and respectable practice of the profession, he or she will not be found to be negligent. This is because courts do not ordinarily have the expertise to tell professionals that they are not behaving appropriately in their field. In a sense, the medical profession as a whole is assumed to have adopted procedures which are in the best interests of patients and are not inherently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xml:space="preserve">  At the same time, the Court in </w:t>
      </w:r>
      <w:r>
        <w:rPr>
          <w:rFonts w:ascii="arial" w:eastAsia="arial" w:hAnsi="arial" w:cs="arial"/>
          <w:i/>
          <w:color w:val="000000"/>
          <w:sz w:val="20"/>
          <w:lang w:val="en-US" w:eastAsia="en-US" w:bidi="ar-SA"/>
        </w:rPr>
        <w:t>Korn</w:t>
      </w:r>
      <w:r>
        <w:rPr>
          <w:rFonts w:ascii="arial" w:eastAsia="arial" w:hAnsi="arial" w:cs="arial"/>
          <w:color w:val="000000"/>
          <w:sz w:val="20"/>
          <w:lang w:val="en-US" w:eastAsia="en-US" w:bidi="ar-SA"/>
        </w:rPr>
        <w:t xml:space="preserve"> acknowledged at para. 41 the potential that a common practice could be condemned as negligent if it was fraught with obvious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xml:space="preserve">  Application of the principle is nicely illustrated in </w:t>
      </w:r>
      <w:r>
        <w:rPr>
          <w:rFonts w:ascii="arial" w:eastAsia="arial" w:hAnsi="arial" w:cs="arial"/>
          <w:i/>
          <w:color w:val="000000"/>
          <w:sz w:val="20"/>
          <w:lang w:val="en-US" w:eastAsia="en-US" w:bidi="ar-SA"/>
        </w:rPr>
        <w:t>James v. White</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[1999] B.C.J. No. 2058</w:t>
        </w:r>
      </w:hyperlink>
      <w:r>
        <w:rPr>
          <w:rFonts w:ascii="arial" w:eastAsia="arial" w:hAnsi="arial" w:cs="arial"/>
          <w:color w:val="000000"/>
          <w:sz w:val="20"/>
          <w:lang w:val="en-US" w:eastAsia="en-US" w:bidi="ar-SA"/>
        </w:rPr>
        <w:t>, 1999 CarswellBC 2002 (S.C.) in the context of an allegation of the defendant's delay in diagnosing breast cancer. There, the defendant physician detected a lump in the plaintiff's breast and referred her for a mammogram that came back negative. Several months later, however, the plaintiff was diagnosed with breast cancer. She claimed that the defendant physician was negligent in failing to diagnose the cancer earlier and that she should have been referred for a specialist consultation, which would have altered the course of her cancer treatment and ultimately her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There was disagreement among the experts at trial as to the appropriate standard of care in the circumstances. On the one hand, the plaintiff's expert opined that once a lump had been detected, the first indicated diagnostic tool would have been to perform a fine needle aspiration. On the other side were the defendant's experts, whose collective view was that a general practitioner should exercise clinical judgment to determine whether a breast lump requires further investigation and assessment or warrants a referral to a specialist. They further testified that if the characteristics of the lump were not worrisome and mammographic examination was negative, it was acceptable practice to direct the patient to undertake self-examination with instructions to return for reassessment in the event of any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Holding for the defendant, the Court stated at para. 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circumstances where the evidence discloses differing schools of thought as to the appropriate standard of care, it is acceptable that the physician adhered to an accepted school of thought and whether one of the accepted schools of thought is the better is not a legal issue. [See </w:t>
      </w:r>
      <w:r>
        <w:rPr>
          <w:rFonts w:ascii="arial" w:eastAsia="arial" w:hAnsi="arial" w:cs="arial"/>
          <w:i/>
          <w:color w:val="000000"/>
          <w:sz w:val="20"/>
          <w:lang w:val="en-US" w:eastAsia="en-US" w:bidi="ar-SA"/>
        </w:rPr>
        <w:t>Belknap v. Meakes, 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xml:space="preserve">  Evidence of a physician's usual practice in relation to certain conduct may form a sufficient evidentiary base upon which the Court can make a finding of fact: </w:t>
      </w:r>
      <w:r>
        <w:rPr>
          <w:rFonts w:ascii="arial" w:eastAsia="arial" w:hAnsi="arial" w:cs="arial"/>
          <w:i/>
          <w:color w:val="000000"/>
          <w:sz w:val="20"/>
          <w:lang w:val="en-US" w:eastAsia="en-US" w:bidi="ar-SA"/>
        </w:rPr>
        <w:t>Friedsam (Guardian ad litem of) v. Ng</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(1993), 86 B.C.L.R. (2d) 335</w:t>
        </w:r>
      </w:hyperlink>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numPr>
          <w:numId w:val="7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A finding that a defendant's conduct has fallen below the requisite standard of care does not necessarily make that defendant liable for the plaintiff's injury. The plaintiff must also prove that the defendant's substandard conduct caused the injury in respect of which the plaintiff is seeking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xml:space="preserve">  The primary test used in determining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the "but for" test. The plaintiff bears the onus of proving, on a balance of probabilities, that "but for" the defendant's negligent act or omission, the injury would not have occurred: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Ediger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Guardian ad litem of) v. Johnston</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2013 SCC 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Ediger</w:t>
      </w:r>
      <w:r>
        <w:rPr>
          <w:rFonts w:ascii="arial" w:eastAsia="arial" w:hAnsi="arial" w:cs="arial"/>
          <w:color w:val="000000"/>
          <w:sz w:val="20"/>
          <w:lang w:val="en-US" w:eastAsia="en-US" w:bidi="ar-SA"/>
        </w:rPr>
        <w:t xml:space="preserve">]. Inherent in the test is the requirement that the injury would not have happened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 8; </w:t>
      </w:r>
      <w:r>
        <w:rPr>
          <w:rFonts w:ascii="arial" w:eastAsia="arial" w:hAnsi="arial" w:cs="arial"/>
          <w:i/>
          <w:color w:val="000000"/>
          <w:sz w:val="20"/>
          <w:lang w:val="en-US" w:eastAsia="en-US" w:bidi="ar-SA"/>
        </w:rPr>
        <w:t>Ediger</w:t>
      </w:r>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xml:space="preserve">  The plaintiff need not establish that a defendant's wrongful conduct is the sole cause of his injury. So long as a substantial connection between the harm and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beyond the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range is established, the defendant will be fully liable for the harm suffered by a plaintiff, even if other causal factors, which the defendants are not responsible for, were at play in producing that harm: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Resurfice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Applying the "but for" approach to the case at hand requires that Mr. Chen prove that it is more likely than not that without the impugned conduct of one or both of the defendants, his injury would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xml:space="preserve">  The law has long recognized that plaintiffs frequently encounter substantial practical difficulties in proving causation. In the seminal decision of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the Supreme Court of Canada held that the causation test does not demand scientific precision and is not to be applied too rigidly. Causation is a practical question of fact which can best be answered by ordinary common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xml:space="preserve">  The concepts of etiology in the medical sphere and causation at law are not synonymous. This is because the "but for" test need only be proved on a balance of probabilities in contrast to the more rigorous standard that approaches scientific certainty familiar to the medical field. Mindful of that key difference, the Court in </w:t>
      </w:r>
      <w:r>
        <w:rPr>
          <w:rFonts w:ascii="arial" w:eastAsia="arial" w:hAnsi="arial" w:cs="arial"/>
          <w:i/>
          <w:color w:val="000000"/>
          <w:sz w:val="20"/>
          <w:lang w:val="en-US" w:eastAsia="en-US" w:bidi="ar-SA"/>
        </w:rPr>
        <w:t>Tsalamandris v. MacDonald</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2011 BCSC 1138</w:t>
        </w:r>
      </w:hyperlink>
      <w:r>
        <w:rPr>
          <w:rFonts w:ascii="arial" w:eastAsia="arial" w:hAnsi="arial" w:cs="arial"/>
          <w:color w:val="000000"/>
          <w:sz w:val="20"/>
          <w:lang w:val="en-US" w:eastAsia="en-US" w:bidi="ar-SA"/>
        </w:rPr>
        <w:t xml:space="preserve">, at paras. 144-146, var'd on other grounds, </w:t>
      </w:r>
      <w:hyperlink r:id="rId119"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provided these instructive observations in relation to the causation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the "but for" test is to be proved on a balance of probabilities, rather than a standard of scientific certainty, great care must be had in assessing medical evidence. The human condition is incredibly complex. The precise biological, biochemical or molecular mechanisms causing many medical conditions are often not known and may not be known for lifetimes to come, and for the same reason, prognosis and treatment is also often not certain. In cases where medical causation cannot by its very nature be proven with certainty, medical experts may not be comfortable stating a black-and-white opinion as to what "caused" a patient's condition. Often medical evidence refers to known "risk factors" for medical conditions, or a number of causes, precisely because of the expert's discomfort in assigning one "cause" to a complex medical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determining causation in the legal context, courts must be mindful to assess the import and substance of the expert opinion evidence, and to be cautious about the wording used by the experts so as to not unduly discount or over-weigh the expert's choice of language when describing medical causation. Ultimately causation is a question for the court, taking into account the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important for the court to keep in mind that all that is required to determine these complex medical issues in the context of causation is for the plaintiff to prove what is more likely than not. This is what is meant by the "but for" test: it is more likely than not, that without the tort, the injury or medical condition would not have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xml:space="preserve">  The court is called upon to exercise caution in inferring legal causation by exclusive or substantial reference to a temporal sequence of events: </w:t>
      </w:r>
      <w:r>
        <w:rPr>
          <w:rFonts w:ascii="arial" w:eastAsia="arial" w:hAnsi="arial" w:cs="arial"/>
          <w:i/>
          <w:color w:val="000000"/>
          <w:sz w:val="20"/>
          <w:lang w:val="en-US" w:eastAsia="en-US" w:bidi="ar-SA"/>
        </w:rPr>
        <w:t>Madill v. Sithivong</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2012 BCCA 62</w:t>
        </w:r>
      </w:hyperlink>
      <w:r>
        <w:rPr>
          <w:rFonts w:ascii="arial" w:eastAsia="arial" w:hAnsi="arial" w:cs="arial"/>
          <w:color w:val="000000"/>
          <w:sz w:val="20"/>
          <w:lang w:val="en-US" w:eastAsia="en-US" w:bidi="ar-SA"/>
        </w:rPr>
        <w:t xml:space="preserve"> at para. 20; </w:t>
      </w:r>
      <w:r>
        <w:rPr>
          <w:rFonts w:ascii="arial" w:eastAsia="arial" w:hAnsi="arial" w:cs="arial"/>
          <w:i/>
          <w:color w:val="000000"/>
          <w:sz w:val="20"/>
          <w:lang w:val="en-US" w:eastAsia="en-US" w:bidi="ar-SA"/>
        </w:rPr>
        <w:t>White v. Stonestreet</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2006 BCSC 801</w:t>
        </w:r>
      </w:hyperlink>
      <w:r>
        <w:rPr>
          <w:rFonts w:ascii="arial" w:eastAsia="arial" w:hAnsi="arial" w:cs="arial"/>
          <w:color w:val="000000"/>
          <w:sz w:val="20"/>
          <w:lang w:val="en-US" w:eastAsia="en-US" w:bidi="ar-SA"/>
        </w:rPr>
        <w:t xml:space="preserve"> at paras. 74-75. But the judicial insistence of caution does not signify judicial thinking that temporal reasoning is an illegitimate analysis or a branch of logic to be seldom invoked.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xml:space="preserve">  In exceptional circumstances, the "but for" approach may be dispensed with in favour of a material contribution to risk analysis. This exception to the conventional "but for" standard is not really a test by which to prove factual causation. It is a basis for establishing legal causation where "fairness and justice demand deviation from the 'but for' test":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 45. Public policy considerations are at the root of its inception.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xml:space="preserve">  The material contribution to risk approach is invoked in the rare case where "but for" causation cannot be proven against any of the defendants, all of whom are negligent in a way that might have in fact caused the injury, because each defendant can "use a 'point the finger' strategy to preclude a finding of causation on a balance of probabilities":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 43. It, therefore, only applies in cases "where it is impossible to determine which of a number of negligent acts by multiple actors in fact caused the injury, but it is established that one or more of them did in fact cause it.":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McLachlin C.J. summarized the availability of this less onerous, policy-driven material contribution to risk analysis over the traditional "but for" standard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The foregoing discussion leads me to the following conclusions as to the present state of the law in Canada:</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general rule, a plaintiff cannot succeed unless she shows as a matter of fact that she would not have suffered the loss "but for" the negligent act or acts of the defendant. A trial judge is to take a robust and pragmatic approach to determining if a plaintiff has established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her loss. Scientific proof of causation is not required.</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Exceptionally, a plaintiff may succeed by showing that the defendant's conduct materially contributed to risk of the plaintiff's injury, where (a) the plaintiff has established that her loss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two or more tortfeasors, each possibly in fact responsible for the loss; and (b) the plaintiff, through no fault of her own, is unable to show that any one of the possible tortfeasors in fact was the necessary or "but for" cause of her injury, because each can point to one another as the possible "but for" cause of the injury, defeating a finding of causation on a balance of probabilities against anyone.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Mr. Chen articulated his principal arguments on causation by reference to the "but for" test. However, he also posited that it was appropriate for the Court to resort to the material contribution to risk approach as a basis for imposing liability. As best I can discern, his rationale for the application of the material contribution to risk approach was that the expert medical evidence was inconclusive as to the precise medical cause of Mr. Chen's acute vision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xml:space="preserve">  The material contribution test is not a default position to be invoked where causation is difficult to prove using the traditional standard. Were that the criterion, the "but for" test of causation would be consigned to a dusty back shelf in the majority of claims involving complex medical issues. To avail himself of the exceptional material contribution to risk approach, Mr. Chen must establish that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his injury would not have occurred and through no fault of his own he is unable to show that one of them was the necessary or "but for" cause, because each of the defendants is able to cast a finger of blame at the other and, in doing so, defeat a probable finding of causation against both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xml:space="preserve">  The present case is clearly not of the exceptional kind contemplated by </w:t>
      </w:r>
      <w:r>
        <w:rPr>
          <w:rFonts w:ascii="arial" w:eastAsia="arial" w:hAnsi="arial" w:cs="arial"/>
          <w:i/>
          <w:color w:val="000000"/>
          <w:sz w:val="20"/>
          <w:lang w:val="en-US" w:eastAsia="en-US" w:bidi="ar-SA"/>
        </w:rPr>
        <w:t>Resurfice</w:t>
      </w:r>
      <w:r>
        <w:rPr>
          <w:rFonts w:ascii="arial" w:eastAsia="arial" w:hAnsi="arial" w:cs="arial"/>
          <w:color w:val="000000"/>
          <w:sz w:val="20"/>
          <w:lang w:val="en-US" w:eastAsia="en-US" w:bidi="ar-SA"/>
        </w:rPr>
        <w:t xml:space="preserve"> and its judicial lineage.</w:t>
      </w:r>
      <w:r>
        <w:rPr>
          <w:rFonts w:ascii="arial" w:eastAsia="arial" w:hAnsi="arial" w:cs="arial"/>
          <w:sz w:val="20"/>
          <w:lang w:val="en-US" w:eastAsia="en-US" w:bidi="ar-SA"/>
        </w:rPr>
        <w:cr/>
      </w:r>
    </w:p>
    <w:p>
      <w:pPr>
        <w:numPr>
          <w:numId w:val="7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Informed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xml:space="preserve">  Since the landmark decisions of the Supreme Court of Canada in </w:t>
      </w:r>
      <w:r>
        <w:rPr>
          <w:rFonts w:ascii="arial" w:eastAsia="arial" w:hAnsi="arial" w:cs="arial"/>
          <w:i/>
          <w:color w:val="000000"/>
          <w:sz w:val="20"/>
          <w:lang w:val="en-US" w:eastAsia="en-US" w:bidi="ar-SA"/>
        </w:rPr>
        <w:t>Hopp v. Lepp</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[1980] 2 S.C.R. 192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Reibl v. Hughes</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[1980] 2 S.C.R. 880</w:t>
        </w:r>
      </w:hyperlink>
      <w:r>
        <w:rPr>
          <w:rFonts w:ascii="arial" w:eastAsia="arial" w:hAnsi="arial" w:cs="arial"/>
          <w:color w:val="000000"/>
          <w:sz w:val="20"/>
          <w:lang w:val="en-US" w:eastAsia="en-US" w:bidi="ar-SA"/>
        </w:rPr>
        <w:t>, it has been firmly entrenched in the jurisprudence that a physician may be found negligent even where the medical treatment complies with the expected standard of care, if he or she has failed to obtain the patient's informed consent to the treatment that has caused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xml:space="preserve">  Before obtaining a patient's consent and implementing a course of treatment, the doctor must disclose to the patient the nature of the proposed treatment, its gravity, and any associated material, special and unusual risks that a reasonable person in the patient's shoes would want to know: </w:t>
      </w:r>
      <w:r>
        <w:rPr>
          <w:rFonts w:ascii="arial" w:eastAsia="arial" w:hAnsi="arial" w:cs="arial"/>
          <w:i/>
          <w:color w:val="000000"/>
          <w:sz w:val="20"/>
          <w:lang w:val="en-US" w:eastAsia="en-US" w:bidi="ar-SA"/>
        </w:rPr>
        <w:t>Reibl</w:t>
      </w:r>
      <w:r>
        <w:rPr>
          <w:rFonts w:ascii="arial" w:eastAsia="arial" w:hAnsi="arial" w:cs="arial"/>
          <w:color w:val="000000"/>
          <w:sz w:val="20"/>
          <w:lang w:val="en-US" w:eastAsia="en-US" w:bidi="ar-SA"/>
        </w:rPr>
        <w:t xml:space="preserve">. In addition to informing the patient about the frequency or statistical chance of a material or special risk arising, the physician must also explain the nature and severity of the injury that could ensue: </w:t>
      </w:r>
      <w:r>
        <w:rPr>
          <w:rFonts w:ascii="arial" w:eastAsia="arial" w:hAnsi="arial" w:cs="arial"/>
          <w:i/>
          <w:color w:val="000000"/>
          <w:sz w:val="20"/>
          <w:lang w:val="en-US" w:eastAsia="en-US" w:bidi="ar-SA"/>
        </w:rPr>
        <w:t>Brock v. Anderson</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2003 BCSC 1359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Brock</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xml:space="preserve">  In the aftermath of </w:t>
      </w:r>
      <w:r>
        <w:rPr>
          <w:rFonts w:ascii="arial" w:eastAsia="arial" w:hAnsi="arial" w:cs="arial"/>
          <w:i/>
          <w:color w:val="000000"/>
          <w:sz w:val="20"/>
          <w:lang w:val="en-US" w:eastAsia="en-US" w:bidi="ar-SA"/>
        </w:rPr>
        <w:t>Reibl</w:t>
      </w:r>
      <w:r>
        <w:rPr>
          <w:rFonts w:ascii="arial" w:eastAsia="arial" w:hAnsi="arial" w:cs="arial"/>
          <w:color w:val="000000"/>
          <w:sz w:val="20"/>
          <w:lang w:val="en-US" w:eastAsia="en-US" w:bidi="ar-SA"/>
        </w:rPr>
        <w:t xml:space="preserve">, the courts have taken an expansive approach in characterizing risks that carry serious consequences as constituting material risks. In the result, the duty to disclose necessitates informing a patient of even a statistically remote risk where the potential consequences of it are sufficiently serious that a reasonable patient would likely consider it to be significant: </w:t>
      </w:r>
      <w:r>
        <w:rPr>
          <w:rFonts w:ascii="arial" w:eastAsia="arial" w:hAnsi="arial" w:cs="arial"/>
          <w:i/>
          <w:color w:val="000000"/>
          <w:sz w:val="20"/>
          <w:lang w:val="en-US" w:eastAsia="en-US" w:bidi="ar-SA"/>
        </w:rPr>
        <w:t>Brito (Guardian ad litem of) v. Woolley</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2003 BCCA 397</w:t>
        </w:r>
      </w:hyperlink>
      <w:r>
        <w:rPr>
          <w:rFonts w:ascii="arial" w:eastAsia="arial" w:hAnsi="arial" w:cs="arial"/>
          <w:color w:val="000000"/>
          <w:sz w:val="20"/>
          <w:lang w:val="en-US" w:eastAsia="en-US" w:bidi="ar-SA"/>
        </w:rPr>
        <w:t xml:space="preserve">, leave to appeal to S.C.C. refused, </w:t>
      </w:r>
      <w:hyperlink r:id="rId125" w:history="1">
        <w:r>
          <w:rPr>
            <w:rFonts w:ascii="arial" w:eastAsia="arial" w:hAnsi="arial" w:cs="arial"/>
            <w:i/>
            <w:color w:val="0077CC"/>
            <w:sz w:val="20"/>
            <w:u w:val="single"/>
            <w:shd w:val="clear" w:color="auto" w:fill="FFFFFF"/>
            <w:lang w:val="en-US" w:eastAsia="en-US" w:bidi="ar-SA"/>
          </w:rPr>
          <w:t>[2003] S.C.C.A. No. 418</w:t>
        </w:r>
      </w:hyperlink>
      <w:r>
        <w:rPr>
          <w:rFonts w:ascii="arial" w:eastAsia="arial" w:hAnsi="arial" w:cs="arial"/>
          <w:color w:val="000000"/>
          <w:sz w:val="20"/>
          <w:lang w:val="en-US" w:eastAsia="en-US" w:bidi="ar-SA"/>
        </w:rPr>
        <w:t>, 2004 CarswellBC 880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xml:space="preserve">  As mentioned, material information beyond the associated risks that a reasonable person in the patient's position would want to know must also be disclosed. This would encompass, for example, the existence of available alternatives to the course of treatment being proposed and their respective attendant material risks: </w:t>
      </w:r>
      <w:r>
        <w:rPr>
          <w:rFonts w:ascii="arial" w:eastAsia="arial" w:hAnsi="arial" w:cs="arial"/>
          <w:i/>
          <w:color w:val="000000"/>
          <w:sz w:val="20"/>
          <w:lang w:val="en-US" w:eastAsia="en-US" w:bidi="ar-SA"/>
        </w:rPr>
        <w:t>Brock</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Brito</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Mr. Chen must do more than merely establish that he was not fully informed of the material, special, and unusual risks and information. If he establishes a lack of full disclosure, he must still go on to prove a causal link between the failure to obtain his informed consent and the injury he sustained. A perusal of the case law shows that this causation hurdle is often extremely difficult for a plaintiff to overcome.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xml:space="preserve">  The causation test in this context is a modified objective one comprised of a combination of subjective and objective elements. The question is not whether Mr. Chen would have elected to proceed had he been sufficiently informed of the material risks and information relative to the Membrane Surgery. Rather, the test asks whether the reasonable person in Mr. Chen's shoes, being the average prudent person who possesses Mr. Chen's reasonable beliefs, fears, desires, and expectations, would have declined the Membrane Surgery at the particular time had the risk that ultimately came about (i.e. becoming legally blind in his left eye) been fully disclosed: </w:t>
      </w:r>
      <w:r>
        <w:rPr>
          <w:rFonts w:ascii="arial" w:eastAsia="arial" w:hAnsi="arial" w:cs="arial"/>
          <w:i/>
          <w:color w:val="000000"/>
          <w:sz w:val="20"/>
          <w:lang w:val="en-US" w:eastAsia="en-US" w:bidi="ar-SA"/>
        </w:rPr>
        <w:t>Arndt v. Smith</w:t>
      </w:r>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[1997] 2 S.C.R. 539</w:t>
        </w:r>
      </w:hyperlink>
      <w:r>
        <w:rPr>
          <w:rFonts w:ascii="arial" w:eastAsia="arial" w:hAnsi="arial" w:cs="arial"/>
          <w:color w:val="000000"/>
          <w:sz w:val="20"/>
          <w:lang w:val="en-US" w:eastAsia="en-US" w:bidi="ar-SA"/>
        </w:rPr>
        <w:t xml:space="preserve">. If the properly informed, reasonable person in Mr. Chen's position would have consented to the Membrane Surgery in any event, Dr. Ross's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cannot be said to have been the cause of his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To summarize, for Mr. Chen to succeed in a claim for lack of informed consent for the Membrane Surgery, he must prove that:</w:t>
      </w:r>
      <w:r>
        <w:rPr>
          <w:rFonts w:ascii="arial" w:eastAsia="arial" w:hAnsi="arial" w:cs="arial"/>
          <w:sz w:val="20"/>
          <w:lang w:val="en-US" w:eastAsia="en-US" w:bidi="ar-SA"/>
        </w:rPr>
        <w:cr/>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material, special, or unusual risk was not disclosed to him in advance of the Membrane Surgery;</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reasonable person in Mr. Chen's position would not have agreed to the Membrane Surgery if he had been sufficiently advised of such risks; and</w:t>
      </w:r>
    </w:p>
    <w:p>
      <w:pPr>
        <w:numPr>
          <w:numId w:val="8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risk associated with the Membrane Surgery that was not disclosed materialized and caused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r>
        <w:rPr>
          <w:rFonts w:ascii="arial" w:eastAsia="arial" w:hAnsi="arial" w:cs="arial"/>
          <w:sz w:val="20"/>
          <w:lang w:val="en-US" w:eastAsia="en-US" w:bidi="ar-SA"/>
        </w:rPr>
        <w:cr/>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Breach of the Standard of Care and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I make the preliminary observation that because of the factual and analytical overlap, it is inevitable that a number of findings relative to Dr. Lee's standard of care have relevance in the assessment of Dr. Ross's standard of care. The discussion is not readily amenable to a compartmentalized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In closing submissions, Ms. Sood contended that when Mr. Chen experienced his acute vision loss on February 5, 2000, it was undisputed that he had advanced chronic open angle glaucoma that had taken years to develop. Her companion assertion was that it was undisputed that his loss of vision was caused by the atrophied state of his optic nerve, a condition that should have been detected much earlier. These matters asserted to be of common ground were very much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That a visual field test is an effective diagnostic tool for glaucoma, including the primary open angle and low/normal tension varieties, and was readily available in the relevant period, was not disputed. The pivotal issue on this front is whether the applicable standard of care required Dr. Lee to test Mr. Chen's visual fields.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One branch of Mr. Chen's argument is that the prevailing standard of care required that a general ophthalmologist test a patient's visual fields in order to screen for glaucoma as a regular component of the patient's annual eye check-up.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Guidelines used by professional bodies are often tendered as evidence of the standard of care and of approved practice. In this case, excerpts from an article published in the Canadian Journal of Ophthalmology titled "</w:t>
      </w:r>
      <w:r>
        <w:rPr>
          <w:rFonts w:ascii="arial" w:eastAsia="arial" w:hAnsi="arial" w:cs="arial"/>
          <w:i/>
          <w:color w:val="000000"/>
          <w:sz w:val="20"/>
          <w:lang w:val="en-US" w:eastAsia="en-US" w:bidi="ar-SA"/>
        </w:rPr>
        <w:t>Canadian Ophthalmological Society evidence-based clinical practice guidelines for the periodic eye examination in adults in Canada</w:t>
      </w:r>
      <w:r>
        <w:rPr>
          <w:rFonts w:ascii="arial" w:eastAsia="arial" w:hAnsi="arial" w:cs="arial"/>
          <w:color w:val="000000"/>
          <w:sz w:val="20"/>
          <w:lang w:val="en-US" w:eastAsia="en-US" w:bidi="ar-SA"/>
        </w:rPr>
        <w:t>" were put to Dr. Lee in cross-examination. He agreed that the article set out the Society's vision screening guidelines which, for the sake of brevity, I will refer to as the "COS Guidelines".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As a general qualification, Dr. Lee emphasized that the COS Guidelines were in reference to primary open angle glaucoma, which neither he nor the glaucoma expert, Dr. Mikelberg, believed was the type of glaucoma afflicting Mr. Chen. Having highlighted that distinction, Dr. Lee agreed with a number of the general statements contained in the article about the COS Guidelines and with several of the COS Guidelines themselves, and confirmed that he followed many of them. In particular, he acknowledged the accuracy of the stated observations to the effect that primary open angle glaucoma causes insidious damage to the optic nerve and vision, and that few people have an early awareness they have the condition. He further agreed with the statement that primary open angle glaucoma is an ideal disorder for screening because it is asymptomatic, typically progresses slowly and can be effectively treated. Dr. Lee approved the propositions put to him from the COS Guidelines about screening for glaucoma, including that high-risk patients age 60 years or older should receive comprehensive eye examinations annually.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In cross-examination, Ms. Sood recited to Dr. Lee some elements of the annual eye examination enumerated in the COS Guidelines (i.e. review of the patient's history, visual acuity status with correction at a distance, best visual acuity without correction, muscle balance and pupillary reaction). Dr. Lee confirmed that he carried out those tests, as well as others, on Mr. Chen and followed most of the recommended components of an annual eye examination more frequently than annually. His charts tended to support 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Mr. Chen's counsel directed Dr. Lee to the test of "gross visual fields to confrontation" listed in the COS Guidelines under the heading of a comprehensive eye examination. Dr. Lee would not agree that such a test was an essential component of that examination. He testified that he does not perform a confrontation visual field test or order that a patient have an automated visual field test as a matter of routine in every annual eye examination. This was especially the case with respect to patients who, like Mr. Chen, displayed a normal IOP, had a normal dilated fundoscopic examination, and exhibited no indicia suggestive of peripheral vision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Dr. Lee considered the COS Guidelines to be informative and of assistance to practitioners, but said they did not constitute compulsory, professional, or clinical rules, or purport to be a substitute for the clinical assessment of the individual patient. He forcefully testified that it was appropriate for a clinician to consider whether there was an index of suspicion for the risk of glaucoma as a pre-requisite to determining whether a confrontation field test or other visual field assessment was warranted. Dr. Lee included among the suspicious factors an abnormally high IOP, abnormal appearance of the optic cup and optic disc, signs of peripheral vision impairment, a family or medical history of glaucoma, an unexplained loss in visual acuity, trauma, retinal detachment, and brain tumor.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In the context of this line of cross-examination, I understood Mr. Chen's counsel and Dr. Lee to be referring to an automated visual field test rather than a clinical confrontation visual field test. In fact, that assumption underlined much of the trial evidence elicited on the matter of the visual field testing of Mr. Chen at large. However, and this point is of significance, at no time during cross-examination was it directly put to Dr. Lee that the COS Guidelines recommended an automated visual field test as a constituent element of an annual eye examination for patients classified as high-risk or otherwise. The only type of visual field test that Ms. Sood drew to Dr. Lee's attention as being mentioned in the COS Guidelines was the visual field test to confrontation, which is conducted by an ophthalmologist in the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Dr. Finlay was aware of the COS Guidelines. He stressed that they were designed for general ophthalmologists. Consequently, as a retinal subspecialist he does not follow them and instead customizes his examination to fit the patient's specific retinal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Dr. Lee noted, and I accept, that the guidelines endorsed by the Society with regard to the detection of glaucoma have changed over time. The publication date of the article containing the COS Guidelines was noted to be 2007. More crucially, the date of the inception of the COS Guidelines themselves and, in particular, whether they were in existence in the relevant timeline, was not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I have no confidence that the COS Guidelines are authoritative or reflect or inform the standard of care applicable to a general ophthalmologist on the question of whether a confrontation and/or automated visual field test were essential elements of an annual eye examination to be conducted on high-risk patients or across a broader base of patients, within the material period, or ever. They were not entered as evidence at trial, and through Dr. Lee's cross-examination, offered negligible assistance in determining whether the prudent general ophthalmologist, exercising reasonable skill, knowledge and judgment in the particular circumstances, would have ordered an automated type of visual field test or administered a confrontation visual field test on Mr. Chen before the Membrane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Dr. Goldberg's evidence persuasively bolstered Dr. Lee's testimony. He opined that the chief objective of an annual eye examination is to test the patient's central vision and does not ordinarily encompass a confrontation or other visual field test. Neither of the medical experts called by Mr. Chen challenged his evidence. I accept Dr. Goldberg's opinion and conclude that in the relevant period, a comprehensive annual eye examination did not mandate peripheral vision testing by way of clinical confrontation or automated visual field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I move now to the question of whether the duty of care required that Dr. Lee carry out or order visual fields in any event, that is to say, based on Mr. Chen's complaints and/or Dr. Lee's clinical observations of him, or on some other ground. I will launch this part of the discussion by reminding that Dr. Mikelberg supported Dr. Lee's evidence that Mr. Chen's advanced age and diabetes were not factors considered to be suspicious for glaucoma. Drs. Mikelberg and Goldberg also opined that Mr. Chen's complaints of blurred vision indicated a central vision problem and not a difficulty with peripheral vision and, therefore, that symptom was not suspicious for glaucoma either. Something else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Dr. Mikelberg did not subscribe to the index of suspicion approach that Dr. Lee adhered to in determining whether a patient's visual field should be tested. He opined that the standard of care for a general ophthalmologist would be to order visual field testing on a patient with a large C/D ratio, which he quantified as 0.7 and even smaller, despite the fact that such measurement came within the normal range and a large C/D ratio is not conclusive of glaucoma.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Aware that in February 1998, Drs. Thomas and Chang had assessed Mr. Chen's C/D ratio respectively as "cupped" (only at trial did Dr. Thomas elaborate that his chart diagram reflected a C/D ratio of 0.7) and "large", Dr. Mikelberg opined that Dr. Lee should probably have ordered visual fields then. Although he had reviewed Dr. Lee's medical records, it was not clear from his evidence whether he appreciated that approximately four months earlier, in October 1997, Dr. Lee had conducted a confrontation visual field test on Mr. Chen that detected no peripheral vision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In Dr. Mikelberg's view, the decision to order visual fields turned exclusively on the optic nerve findings. Given his area of subspecialty, it is not surprising that he leaned heavily toward testing for glaucoma based on the single criterion of a large C/D ratio.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In light of the fact that there is a subjective element to assessing a patient's C/D ratio and because Dr. Lee did not record his measurement of Mr. Chen's C/D ratio, the size of Mr. Chen's C/D ratio as observed by Dr. Lee at any given time cannot be known. Based on the totality of the evidence, I think it reasonable to infer that from February 1998 onward, Dr. Lee would have likely observed Mr. Chen's C/D ratio as being within the normal range of between 0.6 and 0.7, or thereabouts. From Dr. Mikelberg's standpoint, C/D ratios of such magnitude would have called for Dr. Lee to order visual fields on Mr. Chen.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As a general ophthalmologist, however, Dr. Lee followed a different approach. he required, as a pre-requisite to administering a clinical or automated visual field test, an index of suspicion for glaucoma based on recognized criteria beyond simply the size of the C/D ratio. His evidence was that, aside from Mr. Chen's elderly years, he exhibited none of the risk factors that would trigger a clinical suspicion of glaucoma.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The practice of formulating an index of suspicion for glaucoma as a precondition to testing a patient's visual fields was credibly endorsed by Dr. Goldberg, who was the only practicing general ophthalmologist to testify as an expert. Support for adherence to that practice was also found in the expert testimony of Dr. Maberley and Dr. Finlay. Implicit in this school of thought is the notion that a large C/D ratio that fell within the normal range, by itself, would not warrant visual field investigation, particularly if, on examination, the optic disc, optic cup and surrounding tissue appeared to be healthy.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The experts did not discredit the index of suspicion model followed by Dr. Lee as being an outmoded or otherwise unacceptable professional practice at the material time. Quite the converse, the defendants have satisfied me that the index of suspicion approach conformed to an approved practice followed by general ophthalmologists at the relevant time . I conclude that Dr. Lee adhered to that recognized school of thought and acted reasonably in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Evaluating the quality of Dr. Lee's conduct within this school of thought paradigm raises the question of whether there were risk factors known to him or that ought reasonably to have been known to him, sufficient to establish an index of suspicion for glaucoma and thereby warrant testing of Mr. Chen's visual fields.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Alluded to in the cross-examination of a number of the defence witnesses, and integral to Ms. Sood's closing submissions, was the notion that Mr. Chen and/or Ms. Chen had complained to Dr. Lee that Mr. Chen had experienced problems with his peripheral vision or exhibited symptoms suggestive of such problems and, hence, possibly glaucoma. The development of Mr. Chen's case pre-supposed that his complaints of difficulty reading the newspaper and using the computer and of tripping and falling reflected a peripheral vision deficit. However, that supposition was discredited by 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Most, if not all, of the reported instances of Mr. Chen tripping and falling occurred before he underwent cataract surgery and the probabilities of the evidence establish that his cataracts were the likely culprit. Also notable was that after two of the reported falls, Dr. Lee administered a clinical confrontation field test on Mr. Chen and found no evidence of peripheral vision impairment. Moreover, and in any event, the medical experts who spoke to the issue, including Dr. Mikelberg, agreed that tripping and falling were non-specific complaints that did not necessarily point to peripheral vision problems, and, in all probability, would not have triggered further investigation, such as the testing of visual fields, by a general ophthalmologist. The weight of the expert evidence is that the complaints made by Mr. Chen and/or Ms. Chen to Dr. Lee about Mr. Chen's vision and his falling and tripping were signs associated with a central vision compromise, and not with the peripheral vision deficit that would typically accompany glaucoma.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Ms. Sood was critical of Dr. Goldberg's opinion as a whole. She urged the Court to attribute little weight to it on the ground that he had not paid appropriate heed to the portion of Mr. Chen's discovery evidence where he claimed to have informed Dr. Lee about falling and of peripheral vision loss. Upon being asked to identify the pertinent passages in the transcript of Mr. Chen's discovery evidence, Ms. Sood clarified that Mr. Chen had not explicitly said that he informed Dr. Lee he was experiencing peripheral vision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In closing argument, Ms. Sood also remarked that Ms. Chen had testified that she had accompanied her father to an appointment with Dr. Lee and expressed concerns that her father may have glaucoma. At no point in the trial did Ms. Chen testify to that effect. Nor did she say that she told Dr. Lee her father was exhibiting peripheral vision impairment or told him about things that were happening which, based on the medical evidence, would be considered suspicious of peripheral vision limitation, such as missing seeing things off to the side or bumping into things that were to the side. At its core, Ms. Chen's evidence that she had informed Dr. Lee that her father had problems with his peripheral vision, referred to her complaints that her father was tripping and falling and experiencing difficulty reading. Those complaints are not suspicious for glaucoma.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There was nothing convincing in Mr. Chen's own evidence to show that at any point before the Membrane Surgery he asked Dr. Lee about glaucoma or advised him (or, for that matter, Dr. Ross) that he was experiencing symptoms or signs associated with the impairment of his peripheral vision or which qualified as a risk factor for glaucoma.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Dr. Lee's practice of not recording the measurement of Mr. Chen's C/D ratio because it was normal was not in violation of the standard of care at that time. I also find that, in the relevant period, the standard of care did not require a general ophthalmologist to chart a baseline of a patient's C/D ratio to facilitate the detection of potential changes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Although the purpose of a fluorescein angiogram is to facilitate examination of the retina, and it is recognized that the photographs are not conclusive as to the condition of the optic nerve, it does not follow that the angiographic studies taken of Mr. Chen's eyes have no evidentiary value in deciding the issues in the case at hand. Indeed, Mr. Chen's counsel relied on Dr. Mikelberg's interpretations of certain of the angiographic photographs as support for her contention that Mr. Chen's optic discs did not appear to be healthy before the Membrane Surgery. The defendants relied on them as showing the converse.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Based on Dr. Mikelberg's evidence and the results of Dr. Lee's confrontation visual field test, I am satisfied that in early October 1997, Mr. Chen had no detectable abnormalities in his peripheral vision. After doing that visual field test, Dr. Lee saw Mr. Chen four times in 1998. At the March 5 appointment, Mr. Chen's IOPs in both eyes were normal. On August 25 and October 22, Dr. Lee assessed Mr. Chen's optic nerve and disc as healthy. The October 1998 Angiogram report did not raise any concerns about the state of Mr. Chen's optic disc, describing it as normal appearing.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At the October 22 visit, Dr. Lee charted evidence of a hemorrhage in Mr. Chen's left macula, which is at the center of the retina, and noted his impression that it may be connected to age-related macular degeneration. It was established through Dr. Goldberg that evidence of a hemorrhage in the optic disc could be associated with glaucoma. Ms. Sood asserted that Dr. Lee's detection of its presence in Mr. Chen's macula should have established an index of suspicion for glaucoma.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Dr. Lee was not cross-examined about whether the evidence of the hemorrhage he noted in Mr. Chen's macula in October 1998 was the kind of hemorrhage that would be suspicious for glaucoma. As well, the October 1998 Angiogram done just a week or so later came back normal and reported no evidence of a hemorrhage.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Dr. Ross was adamant that neither he nor Dr. Stockl saw any sign of hemorrhage in Mr. Chen's eye prior to the Membrane Surgery. He credibly explained that he did not consider it appropriate to ask Dr. Lee about whether or not Dr. Lee may have ever seen evidence of hemorrhaging because it was within Dr. Ross's expertise and purview as a retinal subspecialist to detect and diagnose those issues. For that reason, he would not rely on general ophthalmologist's observations on the question of whether there was evidence of a hemorrhage in the patient's eye. Dr. Ross added that to the extent Dr. Lee had diagnosed age-related macular degeneration in Mr. Chen, he disagreed with such diagnosis, stating there was no sign of such condition before or at the time he removed Mr. Chen's membrane.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The evidence relating to Dr. Lee's notation in October 1998 of a hemorrhage in Mr. Chen's macula was poorly developed and inconclusive. It did not advance Mr. Chen's case against either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Obviously, the issue of whether Dr. Lee should have arranged visual field testing of Mr. Chen does not apply during the extended period that Mr. Chen was out of the country. Was Dr. Lee required to take those steps when he resumed Mr. Chen's ophthalmological care on December 3,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Dr. Goldberg testified that Dr. Lee would have been expected to perform a full eye examination when Mr. Chen returned as his patient after such a prolonged hiatus. I have concluded, however, that a confrontation or automated visual field test would not have been an essential feature of such an examination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When Dr. Lee recommenced Mr. Chen's care in December 1999, Mr. Chen complained of deteriorating acuity in his left eye and continued to report blurred vision. The 1999 Angiogram requisitioned by Dr. Lee noted a C/D ratio of 0.7, confirmed the presence of his epiretinal membrane, and endorsed consideration of Mr. Chen undergoing membrane surgery. The report did not comment on the appearance of his optic nerve or discs one way or the other. I find that Dr. Lee was not concerned about the C/D ratio of 0.7 noted in the 1999 Angiogram report, because his clinical assessment confirmed his interpretation of the 1999 Angiogram photographs to the effect that Mr. Chen's optic disc and optic cup looked good and appeared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Dr. Goldberg's impression was that Mr. Chen's optic nerves had a good neuroretinal rim and a normal appearing optic disc in the sets of photographs related to the October 1998 and 1999 Angiograms. Dr. Finlay shared that view. Dr. Ross found that to be the case with respect to the 2000 Angiogram photographs, which the evidence established revealed nothing materially different in Mr. Chen's optic nerve or disc than what was shown in the 1999 Angiogram photographs. Dr. Maberley conceded that what he thought might have been some paleness of Mr. Chen's optic nerve in the angiographic photographs may well have been due to the exposure of the film itself. Only Dr. Mikelberg thought that Mr. Chen's optic nerve and neuroretinal rim did not appear healthy in the 2000 Angiogram photographs.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As Dr. Maberley testified, and his fellow experts agreed, a definitive assessment of the health of the patient's optic nerve and disc cannot be made based solely on the results of a fluorescein angiogram. The physician who performs the clinical examination is in the best position to make that assessment. In this case, that was Dr. Lee in December 1999, and Dr. Ross and Dr. Stockl in January 2000. Dr. Mikelberg did not have the benefit of having conducted a pre-operative clinical examination of Mr. Chen. The source of his assessment of the state of Mr. Chen's optic nerve and disc before the Membrane Surgery were the angiographic photographs that told only a partial picture. That limitation is of significance and must not be overlooked.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Dr. Goldberg testified that because an individual's IOPs fluctuate throughout the day, a general ophthalmologist is expected to chart the time of day they are measured. With perhaps one exception, Dr. Lee did not do so. In cross-examination, he gave implausible testimony to the effect that his receptionist would have scheduled Mr. Chen's appointments around the same time and that, therefore, he would have assessed the IOPs at the same time of day from appointment to appointment. This was the only instance where I considered Dr. Lee's credibility to be in question. For the balance of his testimony, I found him to be forthright and credible. All things considered, I have concluded that this single occasion was not sufficient to taint Dr. Lee's credibility generally, or require corroboration of his evidence on points of controversy.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There can be no doubt that elevated IOPs constitute a risk factor for primary open angle glaucoma; however, the preponderance of the expert evidence established that, to the extent Mr. Chen was suffering from glaucoma at the time of the Membrane Surgery, it was the low/normal tension variety. That type of glaucoma is not related to elevated IOPs. None of the ophthalmologists involved in Mr. Chen's care before the Membrane Surgery recorded high IOPs, except for Dr. Chang, whose elevated measurements were not known to Dr. Lee. The evidence does not support the probability that, had Dr. Lee measured Mr. Chen's IOPs at the same time of day on each visit, he would have obtained one or more elevated readings sufficient to inform an index of suspicion for glaucoma to justify visual field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Based on the contents of the October 1998 and 1999 Angiograms, his interpretation of the accompanying photographs, and his clinical examinations of Mr. Chen, Dr. Lee did not consider there to be sufficient risk factors to form a suspicion for glaucoma, or any basis to warrant undertaking investigations for that disease, such as the testing of Mr. Chen's visual fields. In my assessment, the weight of the evidence establishes that Dr. Lee's clinical judgment as a general ophthalmologist was reasonably held and his approach was supportable as an approved mode of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For the foregoing reasons, I conclude that Dr. Lee did not act in breach of his expected standard of care in the prevailing circumstances by not administering a confrontation visual field test on Mr. Chen after October 1997, by not arranging for automated visual field testing at any point in time, or, more generally, by failing to diagnose Mr. Chen with glaucoma prior to the Membrane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Relying mainly on Dr. Finlay's testimony that membrane removal is medically indicated only where a patient's visual acuity had deteriorated, Ms. Sood contended that there was no need for the Membrane Surgery at all because Mr. Chen's vision had remained fairly constant at 20/70 for four years, for "a couple" of years, or for "at least" one year. Building on that premise, she hypothesized that starting from at least 1998, Mr. Chen's central vision constriction may have actually been the manifestation of end-stage glaucoma and not due to his epiretinal membrane. This assertion was tied to the allegations of Dr. Lee's substandard conduct to the effect that his referral of Mr. Chen to Dr. Ross was unnecessary and the mode of referral, being by telephone, was inappropriate and inadequate because it did not relay Mr. Chen's medical history documenting his visual acuity measurements over time and other relevant information. The corresponding allegations against Dr. Ross are that he failed to obtain a thorough medical history from Dr. Lee or from Mr. Chen, and failed to accurately assess whether Mr. Chen was a proper candidate for the Membrane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There are several reasons to reject this stream of argument. In the first place, Ms. Sood's assertion that Dr. Lee did not meet his duty of care when he used the telephone rather than written communication to refer Mr. Chen to Dr. Ross was not remotely supported by the evidence. The weight of the evidence moved in the opposite direction. It established that medical referrals, including those that are not urgent, from one ophthalmologist to a subspecialist over the telephone are an entirely acceptable practice. This is especially the case where, as here, the physicians involved have an ongoing referral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More importantly, a fulsome look at the evidence shows that Mr. Chen's visual acuity had not been static, as was urged by Ms. Sood. In 1998, the acuity in his left eye was charted as 20/50 minus by Dr. Thomas and was recorded as slightly worse at 20/60 by Dr. Chang. Mr. Chen's own evidence was that his vision had deteriorated while he was away in 1999, which was confirmed on Dr. Lee's examination of him on December 3 of that year. In January 2000, Dr. Ross and Dr. Stockl both graded his visual acuity as 20/70. The acuity in Mr. Chen's left eye had lost a full line on the eye chart over the span of less than two years. That drop in acuity was profound and prevented Mr. Chen from engaging in the lifestyle that he once enjoyed.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Another weakness in Ms. Sood's argument is that it was built on an overly narrow interpretation of Dr. Finlay's evidence as to when the surgical removal of a membrane is indicated. His explanation was more nuanced. It was uncontroverted that by the time of Mr. Chen's initial appointment with Dr. Ross, his membrane was thicker, had expanded, and was causing cystoid macular edema. Dr. Finlay corroborated Dr. Ross's testimony that the operation is indicated where the membrane has triggered cystoid macular edema that has decreased the patient's vision. Dr. Finlay confirmed Dr. Ross's testimony that there was no other treatment available to address Mr. Chen's membrane pathology and, if left untreated, it could worsen Mr. Chen's vision and lead to blindness. He made the point that such edema was responsible for decreasing Mr. Chen's central vision. The significance of the presence of the cystoid macular edema in Mr. Chen's eye was emphasized by Dr. Ross, acknowledged by Dr. Finlay, and underscored in the addendum of Dr. Chang's consult letter to Dr. Thomas, and in Dr. Thomas's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More crucially, Ms. Sood's theory was not put to the defendants or to the medical experts. I consider it especially noteworthy that the glaucoma expert, Dr. Mikelberg, was not asked whether the end-stage of Mr. Chen's advanced glaucoma could account for his deteriorating central vision prior to the Membrane Surgery. In fact, Dr. Mikelberg's opinions and those held by the other medical experts did not align well with Ms. Sood's hypothesis. To the contrary, it was Dr. Mikelberg's view that the purpose of the Membrane Surgery was to improve Mr. Chen's central vision, and offered that as the rationale for his opinion that the presence of glaucoma would not have affected the decision to proceed with the Membrane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The medical experts were of one mind that Mr. Chen was an appropriate candidate for the surgical removal of his membrane to improve his central vision. They also agreed that the presence of glaucoma, even severe glaucoma, would not have negated the need for him to undergo the Membrane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A balanced weighting of the evidence compels the conclusion that Dr. Lee's referral of Mr. Chen to Dr. Ross in respect of his epiretinal membrane, and Dr. Ross's determination that Mr. Chen was an appropriate candidate for the Membrane Surgery, were each a prudent and reasonable decision, whether or not Mr. Chen suffered from any type of glaucoma.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Another prong of Mr. Chen's argument that Dr. Ross ought to have reviewed Mr. Chen's medical chart in advance of the Membrane Surgery, is that he would have seen that Mr. Chen's left fundus was described as unusual in the October 1998 Angiogram. Yet, in closing argument, Ms. Sood conceded that she did not know what difference it would have made had Dr. Ross been in possession of that information. This argument went nowhere.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Along similar lines, Ms. Sood asserted that by reviewing Mr. Chen's past medical records, Dr. Ross would have also become aware that Dr. Lee had charted evidence of a hemorrhage in October 1998. That notation, she argues, ought to have prompted Dr. Ross to investigate glaucoma or some other pathology prior to the Membrane Surgery. This contention is also plainly without merit. I accept Dr. Ross's testimony that as a retinal subspecialist he relied exclusively on his own findings about whether there was evidence of hemorrhage in Mr. Chen's eyes, and that there was no such evidence when he examined Mr. Chen.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Dr. Finlay's evidence, which I accept, was that retinal subspecialists do not routinely request the patient's medical records from the referring ophthalmologist. They prefer to requisition whatever test they consider appropriate and design their treatment plan based on the results. Referring ophthalmologists are aware that retinal subspecialists work that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I find there was no basis for Dr. Ross to have obtained Mr. Chen's medical records from Dr. Lee, and no duty on Dr. Lee to have provided them. The contention that the defendants breached their respective standards of care by failing to supply (Dr. Lee) or obtain (Dr. Ross) the records prior to the Membrane Surgery is flawed. Moreover, and in any event, it was not established that their doing so would have made a difference.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No reasonable interpretation of the expert evidence, including the evidence of the retinal subspecialist called by Mr. Chen, would support a finding that before carrying out the Membrane Surgery Dr. Ross had a duty to order visual field tests or take any other investigatory step to determine if Mr. Chen had glaucoma, whether based on Mr. Chen's C/D ratios, the appearance of his optic disc and neuroretinal rim in the 2000 Angiogram photographs, or because he did not have Mr. Chen's full medical records, or on any other ground. I am persuaded by Dr. Finlay's evidence that Dr. Ross was under no duty to obtain any test other than the 2000 Angiogram before proceeding with the operation. Even if the 2000 Angiogram raised questions about the presence of glaucoma, Dr. Maberley opined that it was not the retinal subspecialist's responsibility to orchestrate any further investigations.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Another of Mr. Chen's claims against Dr. Ross is that he should have observed or somehow determined, through means that were not identified by the evidence, that Mr. Chen's optic nerve was more susceptible to vascular damage. The contention seemed to be based on the evidence of Dr. Mikelberg and Dr. Finlay to the effect that the optic nerve of a glaucomatous patient may be more susceptible to vascular damage during a membrane removal operation, in conjunction with Dr. Maberley's view that vascular changes may have been going on in Mr. Chen's eyes for some period of time. However, none of the medical experts purported to suggest that Dr. Ross was under any such duty. There was also a paucity of evidence that such vascular damage was even capable of being detected; the weight of the evidence, including the credible testimony of Dr. Ross, was to the opposite effect. This branch of argument was uniquely the product of counsel's submissions and not grounded in the trial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In closing argument, Ms. Sood submitted that Dr. Ross's duty of care required him to provide Mr. Chen with a letter, presumably translated into Chinese, setting out the material risks and the benefits of the Membrane Surgery. Her reasoning was that because Mr. Chen did not speak English, relying on Mr. Shen, who is a non-medical professional, to interpret was simply not adequate. That struck me as a rather strange submission given Mr. Chen's reliance on the accuracy of Mr. Shen's evidence about what Dr. Ross did and did not disclose concerning the risks and benefits of the Membrane Surgery. That aside, Ms. Sood further asserted that Dr. Ross should have repeated the risks and benefits just before the surgery using a translator at the hospital. Neither Dr. Ross nor any expert was asked whether Dr. Ross had a duty of care along these lines. The only evidence elicited about the quality of Mr. Shen's interpretation came from Mr. Chen and from Mr. Shen himself, both of whom supported the adequacy of it. Mr. Chen was satisfied that his son-in-law informed him of all of important matters and Mr. Shen said that he had performed a literal translation. I reject the submission that Dr. Ross had a duty to provide Mr. Chen with a letter or a translator at the hospital to reiterate his advice about the risks and benefits of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I conclude that Dr. Ross acted with the reasonable skill, knowledge, judgment, and degree of care reasonably expected of a normal, prudent retinal subspecialist of his experience and standing, in the particular circumstances and at the material time period. He did not breach his duty of care to Mr. Chen on any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I further conclude that, with one exception, Dr. Lee acted with the reasonable skill, knowledge, judgment, and degree of care reasonably expected of a normal, prudent general ophthalmologist of his experience and standing, in the particular circumstances and at the material period. The exception I speak of is that Dr. Lee ought to have recorded the time of day that he measured Mr. Chen's IOPs. Although Dr. Lee did not meet that expected standard, there was no cogent evidence establishing a probable causal connection linking Dr. Lee's breach to the loss of Mr. Chen's 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Although it is unnecessary to analyze causation in greater depth given my findings, I wish to address it in the context of Mr. Chen's chief allegation because it occupied so much time and emphasis at trial. That is, that the delayed diagnosis of glaucoma, whether by Dr. Lee or by Dr. Ross, and thus the delayed treatment of that disease, exacerbated the weakness and extra susceptibility of Mr. Chen's optic nerve brought about by his glaucoma to the point where it was no longer robust enough to withstand the Membrane Surgery, causing his left eye blindness to occur earlier than it would have had his glaucoma simply run its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On Dr. Mikelberg's evidence, Mr. Chen had likely suffered from low/normal tension glaucoma since at least 1998. For the purposes of the following commentary, I have assumed that the earliest opportunity Dr. Lee could have detected Mr. Chen's glaucomatous condition would have been March 5, 1998, being their first appointment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The evidence does not establish whether there was any treatment available at that time, or at any time, to manage or curtail the effects of low/normal tension glaucoma or to otherwise preserve the fitness of Mr. Chen's optic nerve, whether it had become tenuous as a result of glaucoma or his retinal vascular disease. Dr. Mikelberg's evidence concerning treatment for glaucoma was directed to the management of the early stages of primary open angle glaucoma through medication designed to reduce a patient's IOP. There was no cogent evidence that such treatment, or any other treatment, would have any therapeutic effect for low/normal tension glaucoma in the advanced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The expert evidence on the matter - minimal as it was - does not support a probable finding that had Mr. Chen been treated for low/normal tension glaucoma or for vascular disease, his optic nerve would have remained sufficiently robust to withstand the Membrane Surgery, or that such treatment would have made a difference of any kind. I note that in asserting the contrary position, Ms. Sood conceded that it was unknown what would have happened in terms of the strength of Mr. Chen's optic nerve had he started treatment for glaucoma before the Membrane Surgery. Similarly, there was a lack of cogent evidence that Mr. Chen's vascular condition could have been diagnosed at an earlier time or that his possibly weakened optic nerve could have been detected, curtailed or halted by any kind of medical intervention prior to the Membrane Surgery, whether in the form of treatment for low/normal tension glaucoma or vascular inefficiency.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xml:space="preserve">  Even if Mr. Chen had succeeded in proving his primary allegation of breach against Dr. Lee (or corresponding allegation against Dr. Ross) his claim was doomed to fail on the causation ingredient of the test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In the final analysis, the weight of the evidence establishes that the acute vision loss Mr. Chen suffered on February 5, 2000, was not causally connected to any act or omission on the part of either of the defendant physicians. That the timing of its occurrence was in close temporal proximity to the Membrane Surgery was purely coincidental.</w:t>
      </w:r>
      <w:r>
        <w:rPr>
          <w:rFonts w:ascii="arial" w:eastAsia="arial" w:hAnsi="arial" w:cs="arial"/>
          <w:sz w:val="20"/>
          <w:lang w:val="en-US" w:eastAsia="en-US" w:bidi="ar-SA"/>
        </w:rPr>
        <w:cr/>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Informed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In his written opinion, Dr. Finlay stated that the Membrane Surgery had an 80 percent chance of producing significant visual improvement, and a 10 to 15 percent chance of yielding a moderate improvement only. He also opined that the chance of risks occurring were less than between five to ten percent. In the course of cross-examination, Dr. Finlay agreed that the success rate of membrane removal surgery was 80 percent. Mr. Chen's counsel seized on that part of Dr. Finlay's testimony to springboard an argument that the success rate of the Membrane Surgery was no better than 80 percent and thus Dr. Ross had grossly overstated the estimated success rate and, correspondingly, had grossly underestimated the risks, to Mr. Chen. In her closing brief, Ms. Sood wrote that Dr. Finlay had testified that the chance the procedure would improve a patient's vision was 80 percent and that the risk of complications, including blindness, was 15 to 20 percent. In oral submissions, she acknowledged that the risk of complications she attributed to Dr. Finlay was inaccurate.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In my view, Ms. Sood's interpretation of Dr. Finlay's testimony that the success rate of the surgery was only 80 percent was derived from an artificially narrow reading of his overall opinion that disregarded essential features of it. Careful consideration of Dr. Finlay's evidence as a whole satisfies me that, in agreeing to the 80 percent success figure during cross-examination, he was not disavowing his opinion that the global success rate, by which he combined significant and moderate improvement expectations, was 80 percent plus another ten to 15 percent, for a total of between 90 and 95 percent. Nor did he attempt to distance himself or modify his opinion that the potential risks and complications of the Membrane Surgery had been appropriately disclosed to Mr. Chen by Dr. Ross. Dr. Finlay's aggregate success figure of 90 to 95 percent readily aligned with Dr. Ross's evidence of what he advised Mr. Chen about the prospects of surgical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Central to the inquiry as to whether Dr. Ross obtained Mr. Chen's informed consent to the Membrane Surgery, is the determination of what was disclosed to Mr. Chen about the nature and chances of the benefits of the surgery and the attendant material, special and unusual risks, including their severity.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It is common ground that although the risk of loss of vision resulting from the surgical removal of Mr. Chen's epiretinal membrane was statistically small, the enormity of that potential consequence made it significant. It was clearly a material risk that compelled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Mr. Shen's silence about Dr. Stockl's significant role in informing Mr. Chen of the risks and benefits of the Membrane Surgery was troubling. As well, aspects of his testimony that touched on the vital disclosure issue did not entirely harmonize with Mr. Chen's evidence-in-chief or his Discovery Testimony. In assessing the reliability of Mr. Shen's evidence, I am influenced by the testimony of Mr. Chen's wife to the effect that, in the relevant time, Mr. Shen was "running around in two directions", distracted both by Ms. Chen's pregnancy and his father-in-law's eye surgery. In the circumstances, I conclude that Mr. Shen's testimony concerning the disclosure made to Mr. Chen on January 26, 2000 by Dr. Ross and Dr. Stockl of the risks and benefits attendant on the Membrane Surgery is unreliable. I prefer Dr. Ross's testimony on every point of disagreement.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I am satisfied that on January 26, 2000, Drs. Stockl and Ross apprised Mr. Chen of the risks and benefits of the Membrane Surgery, and did not express them in the form of global percentage numbers of generalized outcomes. Dr. Stockl led the discussion under Dr. Ross's close supervision. The benefits and material risks associated with the procedure were well-known to him, and under Dr. Ross's tutelage in the preceding seven months or so, he had routinely advised many patients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The particulars of Dr. Stockl's disclosure to Mr. Chen were charted somewhat differently by Drs. Ross and Stockl. Both of them recorded that Dr. Stockl had advised of a 60 percent chance of two lines of improvement. Dr. Ross then charted a 30 percent chance of less distorted central visual acuity; Dr. Stockl parsed out that 30 percent in greater detail, recording that there was a 20 percent chance of regaining one line of improvement, and a ten percent chance of no improvement. In terms of the chances of complications, Dr. Ross recorded that Dr. Stockl had advised of a ten percent risk of significant complications, whereas Dr. Stockl charted a two to three percent risk factor. Both Drs. Ross and Stockl charted that the risk of the "loss of eye", meaning Mr. Chen's left eye, had been disclosed, and Dr. Ross confirmed that Mr. Chen had been advised of that risk, among others, during the appointment on January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I have no doubt that Dr. Ross made his chart entries the same day that he and Dr. Stockl had provided the advice to Mr. Chen. The earliest point in time that Dr. Stockl would have added his entry to his chart was February 28, 2000, and possibly much later in the year. Dr. Stockl and Dr. Ross would have advised numerous patients of the entailing risks and benefits in the intervening period. The gap of time between when Dr. Stockl and Dr. Ross disclosed the information to Mr. Chen on January 26, and the reconstruction of Dr. Stockl's disclosure for the purposes of his chart persuades me that his post-event notations are likely less reliable than those recorded by Dr. Ross in his own chart that very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Although Dr. Ross candidly admitted that his notations were not a verbatim transcription of what was said, I conclude that they more reliably capture the information disclosed to Mr. Chen on January 26, 2000 about the risks and benefits of the Membrane Surgery than do Dr. Stockl's entries which were made a longer time - possibly much longer - after the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Mr. Chen's meeting with Dr. Stockl and Dr. Ross on January 26 was not hurried. The probabilities of the situation satisfy me that the articulation by Dr. Ross and his Fellow of the risks and benefits associated with the surgery would have had a degree of fluidity, and that Dr. Ross's disclosure was intended to and did supplement what had been already conveyed in his presence by Dr. Stockl. I find that at one or more points during the discussion, Dr. Ross advised Mr. Chen that the overall success rate for this routine surgery was between 90 to 95 percent, and that at another point or points he presented the success rate as simply 95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I do not accept that Mr. Chen (or, for that matter, Mr. Shen or Ms. Chen) understood the outcome of the proposed surgery in terms of "success" and "failure", in the sense of failure being a neutral event, bringing about no change of any kind, neither good nor bad. Nor do I accept that Mr. Chen had not been advised during the January 26 session that the loss of sight - that is to say, blindness - in his left eye was one of the risks of the procedure. In his Discovery Testimony, Mr. Chen variously admitted that he understood there was a small chance of going blind and a risk of failure of the surgery. The degree of concern he displayed by composing additional questions for Dr. Ross and calling a family meeting to discuss the pros and cons of the operation demonstrates that Mr. Chen was thinking deeply about the risk and benefit analysis explained to him by Drs. Ross and Stockl. It also reasonably supports the inference that he appreciated that the risk side of the equation carried the potential of a serious and, even catastrophic, outcome, such as becoming blind in his left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Ms. Chen's vocal opposition to her father undergoing the surgery and her warning to him that it was "too dangerous" also reveals that she knew there was a prospect of adverse complications arising in relation to the Membrane Surgery. The probabilities of the situation are that she understood from her father that one of those potential risks was the loss of vision. I find that Mr. Chen understood from the information supplied to him by Dr. Ross and Dr. Stockl that one of the attendant risks of the Membrane Surgery was the loss of sight in the surgical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Dr. Ross's evidence concerning the disclosure to Mr. Chen was credible and was supported by his medical chart made in advance of Mr. Chen's injury, the entries in Dr. Stockl's chart made before and after the Membrane Surgery and Dr. Finlay's evidence about the standard risks and benefits associated with the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A balanced consideration of the evidence as a whole supports the conclusion that the nature of the potential benefits and risks that could be expected, including the risk of Mr. Chen going blind in his left eye, and the relative chances of them occurring were accurately and sufficiently disclosed to Mr. Chen by Dr. Ross on January 26, 2000, and that Mr. Chen provided his informed consent to Dr. Ross to perform the Membrane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The fact that Dr. Ross did not advise Mr. Chen of the small increase to the risk of a catastrophic outcome, i.e. blindness, applicable to patients who have glaucoma, was not the product of any failing on the part of Dr. Ross or Dr.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Given my conclusion, it is unnecessary to go on and explore the issue of whether Mr. Chen's loss of sight was caused by Dr. Ross's failure to advise him of that risk. For completeness, however, I wish to make these comments in relation to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Mr. Chen was retired. He spent his days reading, working on his computer, watching television, and taking walks. It was extremely important to him that he be able to do these things and, therefore, important that he have reasonably good central vision. He had experienced problems with his vision for years, including visual difficulties brought on by his epiretinal membrane since at least early 1998. Mr. Chen had been reluctant to undergo the operation with Dr. Chang. Although he continued to harbour reservations about having the surgery with Dr. Ross, by that stage, his vision had deteriorated one full line on the eye chart and his impairment was negatively impacting his daily life in a profound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Even after he met with Drs. Stockl and Ross on January 26, 2000, Mr. Chen continued to mull over the prospect of having surgery. He was eventually dissuaded from raising further questions with Dr. Ross, not by Dr. Ross, but by Mr. Shen, his son-in-law. He understood that Dr. Ross had a superb reputation as a retinal surgeon and was a professor, and he trusted him. After thinking "deeply hard" about whether to proceed, Mr. Chen decided to follow Dr. Ross's advice because he could see there was no other reasonable option to regain his vision to a level that could improve his lifestyle, and that leaving his membrane untreated could lead to blindness in his left eye and pose a threat to the vision in his right eye. It was explained to Mr. Chen, and he understood, that the upside of the procedure was substantial.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Even if Mr. Chen had been diagnosed with glaucoma prior to the Membrane Surgery, the recommendation that he undergo the surgery would have remained the same. There was no medical alternative to address his membrane. Ms. Sood submits that had Mr. Chen known about his glaucoma and, thus, the increased risk it posed in undergoing the Membrane Surgery, he would have declined the operation, electing instead to allow the glaucoma to run its course and lose his sight gradually from that disease. The preponderance of the evidence does not support that assertion. In any event, the test is not a purely subjective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Dr. Finlay had treated 50 to 100 patients who had glaucoma and an epiretinal membrane. None of them refused the surgery upon being advised of the risks and benefits, including the increased risk presented by their glaucomatous condition. Dr. Ross's years of experience were entirely consistent with Dr. Finlay's. There was no evidence that any reasonable person, in the face of an expanding membrane that was causing cystoid macular edema and deteriorating central vision in a way that depreciated the quality of life and, if left untreated, could lead to blindness in the surgical eye and visual compromise of the other, would refuse the surgery where the prospects for a successful outcome were substantial.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I conclude that a reasonable person in Mr. Chen's position, being the average prudent person possessing Mr. Chen's reasonable beliefs, fears, desires, and expectations, would not have declined the Membrane Surgery had the attendant benefits and risks, including the additional warning of up to a one percent increase to the risk of a catastrophic vision loss on account of having glaucoma, been fully disclosed to him. A properly informed, reasonable person in Mr. Chen's shoes would have consented to the Membrane Surgery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Mr. Chen has no claim against Dr. Ross based on his allegation of lack of informed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Mr. Chen's claims against the defendants are dismissed in their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The defendants are entitled to their costs at Scale B, unless there are any pertinent circumstances that should be brought to the Court's attention. If a hearing is required, counsel are to reserve a date through Supreme Court Scheduling.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S.K. BALLANCE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3" style="position:absolute;z-index:2518169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33" w:history="1">
        <w:r>
          <w:rPr>
            <w:rFonts w:ascii="arial" w:eastAsia="arial" w:hAnsi="arial" w:cs="arial"/>
            <w:b/>
            <w:bCs/>
            <w:i/>
            <w:color w:val="0077CC"/>
            <w:kern w:val="32"/>
            <w:sz w:val="28"/>
            <w:szCs w:val="32"/>
            <w:u w:val="single"/>
            <w:shd w:val="clear" w:color="auto" w:fill="FFFFFF"/>
            <w:lang w:val="en-US" w:eastAsia="en-US" w:bidi="ar-SA"/>
          </w:rPr>
          <w:t>Furlan v. Strata Plan BCS3202, [2016] B.C.J. No. 240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L.A. Loo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28-30, October 1-2, 5-7 and 9,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12,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S122634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2016 BCSC 213</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Franck Furlan, Plaintiff, and The Owners, Strata Plan BCS3202, The Owners, Strata Plan BCS3127, Rancho Management Services (B.C.) Ltd., Concord Pacific Developments Inc., Centreville Construction Ltd. and City of Vancouver, Defendants, and The Owners, Strata Plan BCS3202, The Owners, Strata Plan BCS3127, Rancho Management Services (B.C.) Ltd., Concord Pacific Developments Inc., Centreville Construction Ltd.,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4"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9" w:name="Keywords_5"/>
      <w:bookmarkEnd w:id="39"/>
      <w:r>
        <w:rPr>
          <w:rFonts w:ascii="arial" w:eastAsia="arial" w:hAnsi="arial" w:cs="arial"/>
          <w:b/>
          <w:color w:val="000000"/>
          <w:sz w:val="20"/>
          <w:lang w:val="en-US" w:eastAsia="en-US" w:bidi="ar-SA"/>
        </w:rPr>
        <w:t xml:space="preserve">Tort law — Occupiers' liability — Definitions — Occupier — Statutory — Duty of occupier — Knowledge of danger — Duty to warn — Action by Furlan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Occupiers Liability Act ("OLA") allowed — Furlan was injured when he was thrown off his bicycle while riding along pathway — Defendants were wholly liable for accident — Defendants owed Furlan duty of care under s. 3 of OLA — Defendants did not take reasonable care to protect people using pathway from unreasonable risks — Given location of rollover curb, to leave it unmarked was unsafe and breach of defendants' duty of care — This failure to meet their duty directly resulted in Furlan's injury — Occupiers Liability Act, ss. 1, 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Damages — Types of damages — General damages — For personal injuries — Considerations — Extent of incapacity — Cost of future care — Loss of earning capacity — Special damages — Past loss of income — Employment income —  — Action by Furlan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Occupiers liability Act ("OLA") allowed — Furlan was injured when he was thrown off his bicycle while riding along pathway — Surgery was performed on Furlan's shoulder to repair anterior and posterior labral tear — Furlan was awarded $80,000 for non-pecuniary damages, $51,758.76 for lost wages and benefits, $15,000 for past loss of earning capacity, $15,000 for future loss of earning capacity, and $3,000 for future care costs, for total of $178,325.50 — Furlan experienced daily pain as result of the injuries — Furlan lost opportunities to work overtime.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0" w:name="Case Summary_4"/>
            <w:bookmarkEnd w:id="4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Furlan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the Occupiers liability Act ("OLA"). Furlan was injured when he was thrown off his bicycle while riding along a pathway. The cause of the accident was a rollover curb. The action was commenced against the owners Strata Plan BCS3202 ("BCS3202"), and Rancho Management Services (B.C.) Ltd. ("Rancho Management") (collectively, the "defendants"). The accident occurred on the pathway, which was the outdoor common property of BCS3202. Rancho Management provided property management services to both BCS3202. The curb was 2.23 inches above the gutter, which complied with the applicable municipal standard. Following the accident, an orthopedic surgeon, performed surgery on Furlan's shoulder to repair an anterior and posterior labral tear. The defendants submitted that they were not liable for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1" w:name="Holdings of Court_4"/>
            <w:bookmarkEnd w:id="41"/>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Furlan was awarded $80,000 for non-pecuniary damages, $51,758.76 for lost wages and benefits, $15,000 for past loss of earning capacity, $15,000 for future loss of earning capacity, and $3,000 for future care costs, for a total of $178,325.50. The defendants were wholly liable for the accident. The defendants owed Furlan a duty of care under s. 3 of the OLA. Both BCS3202 and Rancho Management Services met the definition of "occupier" set out in s. 1 of the OLA. The strata corporation was in physical possession of the premises, while Rancho Management had care and control of the premises. The defendants did not take reasonable care to protect people using the pathway from unreasonable risks. Given the location of the rollover curb, to leave it unmarked was unsafe and a breach of the defendants' duty of care. This failure to meet their duty directly resulted in Furlan's injury. Furlan experienced daily pain as a result of the injuries he sustained in the accident, which affected his moods and personality. Furlan lost opportunities to work overtime. Furlan failed to establish he would have been awarded a promotion, had he applied for the position, but for the accident. Furlan failed to establish that there was a real and substantial possibility that he would experience any loss of earnings from his work as a deputy sheriff as a result of the accident. There was no suggestion of inability to carry out duties. However, Furlan did establish a real and substantial possibility that he was unable to return to his part-time work because of his injuries and pain.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2" w:name="Legislation Cited_4"/>
      <w:bookmarkEnd w:id="4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5"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Health Care Costs Recovery Act, </w:t>
      </w:r>
      <w:r>
        <w:rPr>
          <w:rFonts w:ascii="arial" w:eastAsia="arial" w:hAnsi="arial" w:cs="arial"/>
          <w:i/>
          <w:color w:val="000000"/>
          <w:sz w:val="20"/>
          <w:lang w:val="en-US" w:eastAsia="en-US" w:bidi="ar-SA"/>
        </w:rPr>
        <w:t>S.B.C. 2008, c. 27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hyperlink r:id="rId135" w:history="1">
        <w:r>
          <w:rPr>
            <w:rFonts w:ascii="arial" w:eastAsia="arial" w:hAnsi="arial" w:cs="arial"/>
            <w:i/>
            <w:color w:val="0077CC"/>
            <w:sz w:val="20"/>
            <w:u w:val="single"/>
            <w:shd w:val="clear" w:color="auto" w:fill="FFFFFF"/>
            <w:lang w:val="en-US" w:eastAsia="en-US" w:bidi="ar-SA"/>
          </w:rPr>
          <w:t>R.S.B.C.1996, c. 337, s. 1</w:t>
        </w:r>
      </w:hyperlink>
      <w:r>
        <w:rPr>
          <w:rFonts w:ascii="arial" w:eastAsia="arial" w:hAnsi="arial" w:cs="arial"/>
          <w:color w:val="000000"/>
          <w:sz w:val="20"/>
          <w:lang w:val="en-US" w:eastAsia="en-US" w:bidi="ar-SA"/>
        </w:rPr>
        <w:t xml:space="preserve"> s. 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3" w:name="Counsel_5"/>
      <w:bookmarkEnd w:id="4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6" style="position:absolute;z-index:2517667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M.G. Siren.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Owners, Strata Plan BCS3202 and Rancho Management Services (B.C.) Ltd.: C.N. Mangan.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4" w:name="Judgment_5"/>
      <w:bookmarkEnd w:id="44"/>
      <w:r>
        <w:pict>
          <v:line id="_x0000_s1057" style="position:absolute;z-index:2518179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THE PARTIES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 THE ACCIDENT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 LIABILITY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 DAMAGES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 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5" w:name="L.A. LOO J."/>
            <w:bookmarkEnd w:id="45"/>
            <w:r>
              <w:rPr>
                <w:rFonts w:ascii="arial" w:eastAsia="arial" w:hAnsi="arial" w:cs="arial"/>
                <w:b/>
                <w:color w:val="000000"/>
                <w:sz w:val="30"/>
                <w:lang w:val="en-US" w:eastAsia="en-US" w:bidi="ar-SA"/>
              </w:rPr>
              <w:t>L.A. LOO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A.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was injured on April 15, 2010, when he was thrown off of his bicycle while riding along a pathway in Vancouver's Yaletown between Smithe Mews and the seawall. The cause of the accident was a rollover curb.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has discontinued his action against all of the defendants except for the defendants, The Owners, Strata Plan BCS3202 ("BCS3202") and Rancho Management Services (B.C.) Ltd. ("Rancho Management"). The plaintiff claims that they were negligent and in breach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R.S.B.C.1996, c. 337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Both liability and damages are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parties agree that:</w:t>
      </w:r>
      <w:r>
        <w:rPr>
          <w:rFonts w:ascii="arial" w:eastAsia="arial" w:hAnsi="arial" w:cs="arial"/>
          <w:sz w:val="20"/>
          <w:lang w:val="en-US" w:eastAsia="en-US" w:bidi="ar-SA"/>
        </w:rPr>
        <w:cr/>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 occurred on the pathway, which is the outdoor common property of BCS3202 and subject to a registered statutory right of way agreement in favour of the City of Vancouver;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BCS3202 was developed by Concord Pacific Developments Inc. and construction was managed by Centreville Construction Ltd.,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occupancy dates for BCS3202 varied for portions of the building but occupancy permits were granted between October 2008 and April 2009;</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seven pages of photographs represent the incident scene near the date of the accident;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date of the accident, the curb was approximately 57 mm (2.23 inches) above the gutter, which complied with the applicable municipal standard(City of Vancouver Street Restoration Manual MF137-A-3 dated August 2008);</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July 25, 2011, Dr. Pike, an orthopedic surgeon, performed surgery on the plaintiff's shoulder to repair an anterior and posterior labral tear;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Minister of Heath asserts a claim pursuant to the </w:t>
      </w:r>
      <w:r>
        <w:rPr>
          <w:rFonts w:ascii="arial" w:eastAsia="arial" w:hAnsi="arial" w:cs="arial"/>
          <w:i/>
          <w:color w:val="000000"/>
          <w:sz w:val="20"/>
          <w:lang w:val="en-US" w:eastAsia="en-US" w:bidi="ar-SA"/>
        </w:rPr>
        <w:t>Health Care Costs Recovery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2008, c. 27</w:t>
      </w:r>
      <w:r>
        <w:rPr>
          <w:rFonts w:ascii="arial" w:eastAsia="arial" w:hAnsi="arial" w:cs="arial"/>
          <w:color w:val="000000"/>
          <w:sz w:val="20"/>
          <w:lang w:val="en-US" w:eastAsia="en-US" w:bidi="ar-SA"/>
        </w:rPr>
        <w:t>, in the amount of $12,708.39.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registered statutory right of way agreement, in general terms: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grants to the City of Vancouver and the general public, the right to use the Smithe Mews area, including the pathway by foot, bicycles, rollerskates, skateboards and other modes of conveyance, but specifically excluding any motor vehicles (Article 2.1(a));</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grants to the City of Vancouver, its contractors, and its workmen, the right to use the pathways with or without vehicles, for purposes relating to the maintenance and repair of Smithe Mews and the seawall (Article 2.1(b));</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requires the Strata Corporation to keep the area "...in good repair and free of defects and in a safe, neat, clean and tidy condition as would a prudent owner..." (Article 3.1(a)).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B. </w:t>
      </w:r>
      <w:r>
        <w:rPr>
          <w:rFonts w:ascii="arial" w:eastAsia="arial" w:hAnsi="arial" w:cs="arial"/>
          <w:b/>
          <w:color w:val="000000"/>
          <w:sz w:val="20"/>
          <w:u w:val="single"/>
          <w:lang w:val="en-US" w:eastAsia="en-US" w:bidi="ar-SA"/>
        </w:rPr>
        <w:t>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Franck Furlan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Franck Furlan was 45 years old at the time of the accident. He is now 50 years old. Since 1989, he has been employed as a deputy sheriff. He has worked as a deputy sheriff at the criminal courthouse at 222 Main Street, in Vancouver's downtown east side, since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Furlan and his wife have been together for more than 32 years. They have a 17 year old daughter. At the material time, the Furlan family lived on West 12th Avenue, near Vancouver City Hall.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Before the accident, Mr. Furlan was physically active, worked out five days a week, bicycled to work, and often "looped around Stanley Park" twice before arriving at 222 Main Street. He was fit and strong, and known at work as Franck The Tank. After the accident, Mr. Furlan is no longer as fit or as strong as he once was. Despite surgery, he continues to experience right shoulder weakness, ongoing lower back pain, and knee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Owners, Strata Plan BCS3202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BCS3202 comprises two high rise residential towers, known as Flagship at 8 Smithe Mews, and Mariner at 918 Cooperage Way, with a total of approximately 245 units. Strata Plan BCS3217, known as Coopers Lookout, comprises a residential tower, townhouses and villas, with a total of 221 units at 33, 29, and 9 Smithe Mews. As the addresses suggest, Flagship and Coopers Lookout are across the street from each other.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Rancho Management Services (B.C.)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the material times, Rancho Management provided property management services to both BCS3202 and BCS3217. Rancho Management continues to manage BCS3217, and provided property management services to BCS3202 until February 2014. Christopher Sargent is vice-president and general manager of Rancho Management. Mr. Sargent was also the property manager and strata agent for BCS3202. Francis Yeung is employed by Rancho Management as property manager, and is the property manager and strata agent for BCS3217.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Allbright Services, a company wholly owned by Rancho Management, employs building managers, who are in turn hired by strata corporations. Peter Duchesne and Lucas Weeks are employed by Allbright Services. Mr. Duchesne was the building manager for Flagship. Lucas Weeks was the building manager for Coopers Lookout.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 </w:t>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April 15, 2010, Mr. Furlan was scheduled to work the afternoon shift. He left his house around 11:15 a.m., and rode his bike along bikeway routes that took him over the Burrard Street bridge and onto Pacific Boulevard. He was riding his Brodie Tesla hybrid, which was about one year old. The bicycle had road bike components, thin tires, 21 speeds, and straight handlebars. Mr. Furlan wore cycling pants, jacket and gloves, and helmet. It was a beautiful sunny day, so he also wore his sun glasses.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road along Pacific Boulevard at Nelson Street was blocked because of construction. A flag person redirected Mr. Furlan to Cooperage Way. Mr. Furlan followed Cooperage Way to a T-intersection at Smithe Street, turned right onto Smithe Mews and towards the seawall bike path. On "normal days" he measures his speed with his phone app, and knows that he averages about 20 kilometers an hour on flat surfaces.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Mr. Furlan had never been on Smithe Mews before. As he cycled along the roadway it became a </w:t>
      </w:r>
      <w:r>
        <w:rPr>
          <w:rFonts w:ascii="arial" w:eastAsia="arial" w:hAnsi="arial" w:cs="arial"/>
          <w:i/>
          <w:color w:val="000000"/>
          <w:sz w:val="20"/>
          <w:lang w:val="en-US" w:eastAsia="en-US" w:bidi="ar-SA"/>
        </w:rPr>
        <w:t>cul de sac</w:t>
      </w:r>
      <w:r>
        <w:rPr>
          <w:rFonts w:ascii="arial" w:eastAsia="arial" w:hAnsi="arial" w:cs="arial"/>
          <w:color w:val="000000"/>
          <w:sz w:val="20"/>
          <w:lang w:val="en-US" w:eastAsia="en-US" w:bidi="ar-SA"/>
        </w:rPr>
        <w:t xml:space="preserve"> with a "kind of stamped brick pattern". At the end of the </w:t>
      </w:r>
      <w:r>
        <w:rPr>
          <w:rFonts w:ascii="arial" w:eastAsia="arial" w:hAnsi="arial" w:cs="arial"/>
          <w:i/>
          <w:color w:val="000000"/>
          <w:sz w:val="20"/>
          <w:lang w:val="en-US" w:eastAsia="en-US" w:bidi="ar-SA"/>
        </w:rPr>
        <w:t>cul de sac</w:t>
      </w:r>
      <w:r>
        <w:rPr>
          <w:rFonts w:ascii="arial" w:eastAsia="arial" w:hAnsi="arial" w:cs="arial"/>
          <w:color w:val="000000"/>
          <w:sz w:val="20"/>
          <w:lang w:val="en-US" w:eastAsia="en-US" w:bidi="ar-SA"/>
        </w:rPr>
        <w:t xml:space="preserve"> he slowed down and turned onto a pathway leading directly to the seawall. The angle of the sun on the residential towers and on the trees in the planters, cast shadows in the area, but the pathway looked smooth and he was not going very fast because he had to turn onto the seawall. Suddenly, the "next thing I know, I'm kind of going through the air". Something stopped his front tire which bounced up and became airborne. When he landed back on the front tire, his back tire rose up to a 45 degree angle. He could not get his feet out of the pedals because he was clipped in and was "almost upside down" on his bicycle as it rolled forward. He "couldn't balance anymore", was flung forward, "whipped over", and the right side of his body slammed to the ground. Mr. Furlan was in so much pain, he was unable to get up off the ground until another cyclist came to his aid. She asked him if he wanted an ambulance, but Mr. Furlan declined because an ambulance would not take his bicycle.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After the accident, Mr. Furlan saw that his bicycle had hit a curb. He never saw the curb before the accident. When he was riding along, the curb "looked like it was flush" with the surrounding area. Hitting the curb was like hitting a rock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 </w:t>
      </w:r>
      <w:r>
        <w:rPr>
          <w:rFonts w:ascii="arial" w:eastAsia="arial" w:hAnsi="arial" w:cs="arial"/>
          <w:b/>
          <w:color w:val="000000"/>
          <w:sz w:val="20"/>
          <w:u w:val="single"/>
          <w:lang w:val="en-US" w:eastAsia="en-US" w:bidi="ar-SA"/>
        </w:rPr>
        <w:t>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Area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T-intersection at Cooperage Way leads onto Smithe Street or onto Smithe Mews, which nominally runs north-south. Smithe Mews ends in a </w:t>
      </w:r>
      <w:r>
        <w:rPr>
          <w:rFonts w:ascii="arial" w:eastAsia="arial" w:hAnsi="arial" w:cs="arial"/>
          <w:i/>
          <w:color w:val="000000"/>
          <w:sz w:val="20"/>
          <w:lang w:val="en-US" w:eastAsia="en-US" w:bidi="ar-SA"/>
        </w:rPr>
        <w:t>cul de sac</w:t>
      </w:r>
      <w:r>
        <w:rPr>
          <w:rFonts w:ascii="arial" w:eastAsia="arial" w:hAnsi="arial" w:cs="arial"/>
          <w:color w:val="000000"/>
          <w:sz w:val="20"/>
          <w:lang w:val="en-US" w:eastAsia="en-US" w:bidi="ar-SA"/>
        </w:rPr>
        <w:t xml:space="preserve"> or what some have referred to as a driveway roundabout. The </w:t>
      </w:r>
      <w:r>
        <w:rPr>
          <w:rFonts w:ascii="arial" w:eastAsia="arial" w:hAnsi="arial" w:cs="arial"/>
          <w:i/>
          <w:color w:val="000000"/>
          <w:sz w:val="20"/>
          <w:lang w:val="en-US" w:eastAsia="en-US" w:bidi="ar-SA"/>
        </w:rPr>
        <w:t>cul de sac</w:t>
      </w:r>
      <w:r>
        <w:rPr>
          <w:rFonts w:ascii="arial" w:eastAsia="arial" w:hAnsi="arial" w:cs="arial"/>
          <w:color w:val="000000"/>
          <w:sz w:val="20"/>
          <w:lang w:val="en-US" w:eastAsia="en-US" w:bidi="ar-SA"/>
        </w:rPr>
        <w:t xml:space="preserve"> is covered with reddish coloured stamped concrete bricks and wide grey concrete strips. Flagship is on the west side of Smithe Mews, and Coopers Lookout on the east side. At the end of the </w:t>
      </w:r>
      <w:r>
        <w:rPr>
          <w:rFonts w:ascii="arial" w:eastAsia="arial" w:hAnsi="arial" w:cs="arial"/>
          <w:i/>
          <w:color w:val="000000"/>
          <w:sz w:val="20"/>
          <w:lang w:val="en-US" w:eastAsia="en-US" w:bidi="ar-SA"/>
        </w:rPr>
        <w:t>cul de sac</w:t>
      </w:r>
      <w:r>
        <w:rPr>
          <w:rFonts w:ascii="arial" w:eastAsia="arial" w:hAnsi="arial" w:cs="arial"/>
          <w:color w:val="000000"/>
          <w:sz w:val="20"/>
          <w:lang w:val="en-US" w:eastAsia="en-US" w:bidi="ar-SA"/>
        </w:rPr>
        <w:t xml:space="preserve"> are two pathways leading to the seawall. The pathway to the west is owned by BCS3202 and the pathway to the east is owned by BCS3217. There are also sidewalks on either side of Smithe Mews. A series of three rows of raised planters with trees and shrubs are in between and on either side of the pathways, so that middle of the three sets of planters runs between the two pathways. The pathways are grey concrete pavers.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pathways and the </w:t>
      </w:r>
      <w:r>
        <w:rPr>
          <w:rFonts w:ascii="arial" w:eastAsia="arial" w:hAnsi="arial" w:cs="arial"/>
          <w:i/>
          <w:color w:val="000000"/>
          <w:sz w:val="20"/>
          <w:lang w:val="en-US" w:eastAsia="en-US" w:bidi="ar-SA"/>
        </w:rPr>
        <w:t>cul de sac</w:t>
      </w:r>
      <w:r>
        <w:rPr>
          <w:rFonts w:ascii="arial" w:eastAsia="arial" w:hAnsi="arial" w:cs="arial"/>
          <w:color w:val="000000"/>
          <w:sz w:val="20"/>
          <w:lang w:val="en-US" w:eastAsia="en-US" w:bidi="ar-SA"/>
        </w:rPr>
        <w:t xml:space="preserve"> are separated by a cast-in-place concrete rollover curb and gutter pan that runs continuously east-west between the </w:t>
      </w:r>
      <w:r>
        <w:rPr>
          <w:rFonts w:ascii="arial" w:eastAsia="arial" w:hAnsi="arial" w:cs="arial"/>
          <w:i/>
          <w:color w:val="000000"/>
          <w:sz w:val="20"/>
          <w:lang w:val="en-US" w:eastAsia="en-US" w:bidi="ar-SA"/>
        </w:rPr>
        <w:t>cul de sac</w:t>
      </w:r>
      <w:r>
        <w:rPr>
          <w:rFonts w:ascii="arial" w:eastAsia="arial" w:hAnsi="arial" w:cs="arial"/>
          <w:color w:val="000000"/>
          <w:sz w:val="20"/>
          <w:lang w:val="en-US" w:eastAsia="en-US" w:bidi="ar-SA"/>
        </w:rPr>
        <w:t xml:space="preserve"> and the pathways, and abuts the north edge of the raised planter between the two pathways. The curbs have a vertical rise of 6.3 centimeters or 2.5 inches over a horizontal distance of 12 centimeters or 4.72 inches. There are benches at the end of the first set of planters. The distance between the curb and the bench is 7.2 meters or 23.6 feet. The distance between the bench and the seawall appear from the photographs to be roughly the same.</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style="width:432.06pt;height:291.04pt">
            <v:imagedata r:id="rId136"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Until at least May 7, 2010, the rollover curb was unpainted concrete. At some point after that, Mr. Duchesne painted the portion of the curb owned by BCS3202 -yellow. A few months after that, Mr. Weeks also painted the portion of the curb owned by BCS3217 yellow.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Several witnesses testified at trial. Their evidence conflicted on many things, including the reporting system for accidents, the reports of any bicycle accidents, the extent to which cyclists use the pathways, and why the curb was painted yellow.</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Lay witnesses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Susan Ferguson (concierge)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Susan Ferguson is a concierge employed by Genetec, a security company. She was a concierge at Flagship from 2009 to July 2012. She currently works as a concierge for Coopers Lookout at 33 Smithe Mews. At Flagship, the concierge's desk is just inside the front entrance, and has a view of the </w:t>
      </w:r>
      <w:r>
        <w:rPr>
          <w:rFonts w:ascii="arial" w:eastAsia="arial" w:hAnsi="arial" w:cs="arial"/>
          <w:i/>
          <w:color w:val="000000"/>
          <w:sz w:val="20"/>
          <w:lang w:val="en-US" w:eastAsia="en-US" w:bidi="ar-SA"/>
        </w:rPr>
        <w:t>cul de sac</w:t>
      </w:r>
      <w:r>
        <w:rPr>
          <w:rFonts w:ascii="arial" w:eastAsia="arial" w:hAnsi="arial" w:cs="arial"/>
          <w:color w:val="000000"/>
          <w:sz w:val="20"/>
          <w:lang w:val="en-US" w:eastAsia="en-US" w:bidi="ar-SA"/>
        </w:rPr>
        <w:t>. During her time at Flagship, she became aware of three bicycle accidents on the pathways near the curb.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first accident was in the autumn of 2009, around dusk. Ms. Ferguson had stepped outside to patrol the building perimeter when she saw a male cyclist in his late 20s or early 30s who had just wiped out on his bicycle. He sat on the ground about 10 feet from the curb. His bicycle was lying on the ground. It looked like the curb was the cause of his fall. Before she had a chance to speak to the cyclist, he got back on his bike and rode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Ferguson does not recall whether she made a written incident report but testified that she expressed her concern about the curb to Pete Duchesne, the building manager. She was worried that people riding bicycles would injure themselves because of the curb.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second bicycle accident occurred in the spring of 2010. Ms. Ferguson was sitting at the concierge desk when she saw a man riding along Smithe Mews, towards the curb on his way to the seawall. The rollover curb had not been painted yellow. She did not see the accident, but heard the bicycle crash. She went outside and saw the cyclist and his bicycle on the ground. The cyclist, in his early to mid-20's, appeared stunned by the accident. She asked him if he needed assistance, but he wanted no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third incident occurred in front of 9 Smithe Mews before the concrete rollover curb was painted yellow. A man came to the front entrance of Flagship and asked her to call an ambulance because a woman had been in a bicycle accident. Ms. Ferguson could see the woman and her bicycle on the ground. She went outside and saw a man near the woman. She could tell from the conversation the man was having on his cell phone that he was calling an ambulance.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Ferguson is not aware of further accidents involving the curb and bicycles along the pathways after the curb was painted yellow.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Kan Lee (concierge)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Kan Lee is the head concierge at Flagship. Part of his duties as concierge include to "act as security", patrol areas, including the pathway in front of 8 Smithe Mews, and to see that "no mischief or anything" occurs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Lee testified that about two to three times a day, he sees cyclists using the pathway. No bicycle accident has ever been reported to him. He learned of Mr. Furlan's accident as a result of his "boss talking to one of the lawyers" who wanted to see if there was a report of the incident. He went to "check the file in our cabinet", and found no report of the incident. Other than Mr. Furlan's accident, he is not aware of any other bicycle incident relating to the curb. If there was any accident, he would have typed a report in his computer. He said that he has no personal knowledge of any bicycle accidents on the pathway in 2010 because he did not work there until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Lee is mistaken about when he started working at Flagship. He is the author of an incident report relating to a bicycle accident that occurred along the pathway in front of 8 Smithe Mews on May 7, 2010. However, for reasons that will be later explained, the document was not produced or disclosed until after Mr. Lee testified. I do not in any way fault Mr. Lee for not recalling the accident, because it happened some time ago. A concierge sees and talks to many people, and Mr. Lee did not have the benefit of the incident report to refresh his memory.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Peter Duchesne (building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Peter Duchesne has been employed by Allbright Services for over 26 years. He was "start up manager" for Flagship. A start up manager works at "brand new buildings", deals with deficiencies, sets up contracts and staff, and ensures that the "transformation from developer to strata goes smooth". He was Flagship's building manager before and after the 2010 winter Olympics, for approximately three years between 2009 and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Duchesne testified that Ms. Ferguson may have said something to him about cyclists and accidents but he does not recall what she told him. However, if she was aware of an incident, she had to fill out a report, and he never saw a report from her about any bicycle incident. It is not "proper reporting" for her to just verbally report an incident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only conversations he recalls having with Ms. Ferguson about the pathway related to vehicles driving up and down the pathway when they were not allowed to. When the 2010 winter Olympics began, people started driving down the pathway in an effort to get to the casino on the other side of the building. He saw it happen at least half a dozen times, and knew it happened other times. People drove their vehicles down the pathway, ended up at the seawall, and were forced to back out. To deal with the problem a chain was installed across the pathway. However, within a couple of days someone drove through and broke the chain which was never replaced. They also put up signs on either side of the pathway indicating that there was no vehicle access, but that too did not always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Every day Mr. Duchesne saw "lots and lots" of cyclists travelling to and from the seawall over the pathways. In direct examination, he testified that the only bicycle accident he ever heard about was based on what he was told by Lucas Weeks. Mr. Weeks mentioned something about some kind of bicycle accident along the pathway, but he recalls nothing more. During cross-examination, Mr. Duchesne also recalled parts of a conversation about another bike accident. He heard that somebody had wiped out, but recalls nothing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Duchesne said that he was "instructed by the strata" to paint the curb yellow because they were concerned about pedestrians being hit by vehicles, and they wanted to make the curb visible.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Christopher Sargent (property manager and strata agent for BCS3202)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Christopher Sargent was examined for discovery on behalf of Rancho Management. He was not called as a witness, but portions of his examination for discovery were read in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Sargent visited the property of BCS3202 weekly prior to Mr. Furlan's bicycle accident, but said that he had never seen a cyclist use the pathway. They had lots of problems during the Olympics with vehicles driving along the pathway, and tried a number of things to deter the vehicles. Despite the terms of the statutory right of way in favour of the City of Vancouver, Mr. Sargent complained that "we also had problems with city vehicles going down that same area to get to the seawall. And that's why the signage was installed."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With respect to painting the curb yellow, Mr. Sargent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With respect to the changes after the fact, we know it's been painted and maybe a few other things have been done. Is that something that Rancho did or is it something the strata did themselves without Rancho's involvement?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 done by -- the building supervisors, I believe, did it. Lucas and Pete. And I think they did mention it to me that it would be a good idea to do it when they heard somebody had wiped out.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Sargent said that he was not aware of any cyclists falling at the rollover curb since Mr. Furlan's accident in April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With respect to incidents or falls at the roll-over curb involving pedestrians or cyclists have there been any since this alleged accident in April 2010 to your knowledge?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 that I'm aware of.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Sargent mentioned nothing about a bicycle accident in May 2010 at the same location where Mr. Furlan had his accident. When he testified the May 2010 incident report had not yet been produced by the defendants, so Mr. Sargent did not have the document to refresh his memory.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Lucas Weeks (building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Lucas Weeks was the building manager for Coopers Lookout from December 2008 until March 2015. Francis Yeung, the property manager and strata agent, was his "boss".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Weeks saw "hundreds" of bicycles using the pathways every day. He witnessed only one bicycle accident. It was around 11:00 a.m. on a sunny spring day in 2010. He was outside speaking to the electrician when he had a loud bang behind him. He turned around to see a cyclist on the ground near the bench closest to the rollover curb in front of 8 Smithe Mews. The cyclist appeared to have a scrape on his elbow and leg. Mr. Weeks asked him if he was okay, but he replied that he was fine, picked up his bicycle, and walked away. Mr. Duchesne was away that day, but it was "protocol" for him to bring it to his attention in case anything became of it, and so he verbally informed Mr. Duchesne of the incident. He never filled out an incident report because no ambulance or emergency personnel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Weeks testified that in 2010, Rancho Management was using an online reporting program for building managers, property managers, and concierges to input incident reports and common area damage reports. The sender could specify whether the report was being sent to the building manager or the property manager, but everyone had access to the report regardless of the intended recipient.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Weeks said that he was verbally instructed by the property manager, Mr. Yeung, to paint the Coopers Lookout's side of the rollover curb yellow because there was a complaint from Flagship that their curbs did not match. He painted their side of the curb yellow about three months after the Flagship's side of the curb had been painted yellow.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Jack Wong (strata council member BCS3202)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Jack Wong owned a condominium unit at 8 Smithe Mews from early summer 2009 to December 2013. He was elected to strata council at the first annual general meeting after he purchased his unit and became co-chair. He remained on council for approximately three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Wong said that he learned about the April 2010 bicycle incident when Mr. Sargent mentioned to council that there was an accident involving a cyclist falling off a bicycle in front of the building. He said nothing about the cause of the accident and did not make any recommendations. The council members discussed the matter briefly but assumed there was not much they could do about someone falling off a bicycle.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Wong said that a concierge was required to comply with the guidelines set out in the company's concierge policy manual. He had seen the guidelines, but cannot recall what incidents must be reported by a concierge. However, if there were "verbal complaints" from the concierge to Mr. Duchesne, that was not the proper reporting system. There was no guideline for the building manager, on what he was required to report to the strata agent, or on what the strata agent was required to report to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Wong said that he only learned about the curbs being painted yellow about a week before he testified. With the exception one meeting, he attended all of the strata council meetings when he was a member and co-chair. Council would receive an agenda, a summary of letters or correspondence, the financial statements, a log of the incidents reported, and resolutions to any outstanding issues from the property management company. Other than two stolen bicycles, strata council received nothing relating to problems with the curbs or cyclists.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cross-examination, when he was shown the photographs of the incident scene, Mr. Wong said that he could see the rollover curb "because of its colouration". When asked if he could distinguish between the gutter pan and the curb, Mr. Wong testified that he could distinguish that something is there, but could not distinguish between the gutter pan and the rollover curb.</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Luke Cheng (strata council member BCS3127)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Luke Cheng is the owner of a townhouse at 27 Smithe Mews and has lived there since January 2009. He has been a member of the strata council since March 2009. He sees cyclists using both pathways "all the time, especially in the summer time". He is not aware of any bicycle accidents on the pathways, except for the subject accident. He became aware of this proceeding when Mr. Yeung "just quickly mentioned that someone fell and there was litigation against the strata as a council meeting was finishing." Mr. Cheng said that after the meeting he was returning to his townhouse and Mr. Yeung was returning to his vehicle when Mr. Yeung "just quickly pointed out where the incident occurred", by pointing to the pathway in front of Flagship.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Cheng does not know when or why the curb was painted yellow.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Francis Yeung (property manager and strata agent BCS3127)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Francis Yeung is a property manager who has been employed by Rancho Management for approximately 11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Mangan, counsel for the defendants, explained to the Court before Mr. Yeung testified that when she met Mr. Yeung on October 6, 2015, during the mid-morning break, he informed her that there was an online record relating to a subsequent bicycle accident. She asked him to e-mail it to her, and she informed Mr. Siren, counsel for the plaintiff, that there was a document being sent to her. When Ms. Mangan received the May 7, 2010, incident report on her BlackBerry, she forwarded the document to Mr. Siren's e-mail, so that he could review the document. The trial was stood down, and Mr. Yeung did not begin his testimony until Mr. Siren had an opportunity to review the document. The document disclosed that a Steve Flach had been injured in a bicycle accident on May 7, 2010, near the bench on the pathway in front of Flagship.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Siren informed the court that after reviewing the incident report, he used LinkedIn to locate Mr. Flach and arranged for him to attend court on October 7,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Yeung became the property manager and strata agent for BCS3127 in October 2008. He said that the building manager is responsible for inspecting and maintaining outdoor common property. The concierge is responsible for security patrol during his or her shift. In 2010, there were always three concierges assigned to BCS3202, and they operated 16 hours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Rancho Management, as the property manager, was required to maintain the pathways (the common property) to ensure that the bricks were safe and level, and there was no organic growth, like grass, growing through the bricks. The actual work was carried out by the building managers as part of their daily maintenance duties. Their job is to see that the pathways are safe, and if they are not, to report the matter to the property manager, who would then report to the strata council and seek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his weekly visit to BCS3217, Mr. Yeung walked alongside Mr. Weeks inspecting the pathways. He said that he was not involved in the decision to paint the curb yellow. He learned that the curbs had been painted yellow during one of his weekly visits to Coopers Lookout after both curbs were painted. He understood from his discussion with Mr. Weeks that the curbs were painted yellow to visually deter vehicles from using the pathways.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Yeung saw cyclists use the pathways, but was unaware of any bicycle incidents along the pathways until BCS3127 was served with the notice of civil claim in this proceeding. He only because aware of another accident on October 2, 2015, when he conducted a review of the incident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Friday, October 2, 2015, Mr. Yeung reviewed the incident reports in the CARE system. He found no incident report relating to Mr. Furlan's accident, but he found an incident report issue no. 327 (each incident is given an issue number), relating to a bicycle accident that occurred on May 7, 2010. This accident occurred at or near the location of Mr. Furlan's accident on April 10, 2010. The incident report was prepared by "Concierge Kan", submitted on May 7, 2010, at 3:56 p.m., addressed to Chris Sargent, property manager, and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Details: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05/07/2010: On May 7, 2010 @ 14:25 hour, ambulance came to Flagship building, but the paramedics did not come inside. Concierge Kan went outside to check. Kan found that there was a biker lying on the ground on Smithe Mews between the Lookout and the Flagship buildings, near TH101 Flagship's balcony next to the outside bench. The biker, Steve Flach, had a broken arm and had wound on his right side of the head. A bystander, Denise Leung, 307 loft of 29 Smithe Mews called for the ambulance. She also kept Steve's bike for him. At 15:00 hour, the ambulance took Steve to Saint Paul hospital.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Action taken by Concierge: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05/07/2010: Reported to property manager, Chris Sargent.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Action taken by On-Site Supervisor: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05/13/2010: Acknowledged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Action taken by Senior Property Manager: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05/25/2010: Noted - cs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05/25/2010: Noted - cs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Approval by Senior Property Manager: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Date Approved: 05/25/2010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CARE system does not allow incident reports to be sent electronically. They are stored in the CARE data base, and Mr. Sargent had to log into the system in order to view the report. The notes on the report indicate that Mr. Sargent read the incident report on May 25, 2010, decided that no further action was required, and closed the file on May 25,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Yeung testified that there are no written guidelines or instructions for a building manager or concierge to report any personal injury accidents on the property, but "that was the expectation".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Stephen Flach (cyclist injured on pathway May 7,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Stephen Flach is 43 years old. He has a bachelor of communications degree, and is employed as an administrative assistant in the department of physics at Simon Fraser University.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May 7, 2010, Mr. Flach was working at the Vancouver Public Library on Georgia Street in downtown Vancouver. It was a sunny spring day. After having lunch, he began riding his bicycle to a scheduled meeting he had near Kingsway and Main Street. He left early for the meeting, and the route he took was influenced by the fact that he was early. He decided to take a slow, leisurely but longer route to get to the meeting because it was such a nice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Flach was riding a 1980 Bianchi road bike that he modified for stability. The rear wheel is a hybrid wheel, and the handlebars are straight, rather than curved racing handlebars. He was dressed in business casual clothing, and wearing shoes that were not dress shoes or runners, but "something in between". The bike has toe clips but Mr. Flach had removed the straps so they were "a very loose kind of clip that weren't really holding me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From the library, Mr. Flach cycled to Pacific Boulevard, along Pacific Boulevard, and onto Smithe Mews. He had never been there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Mr. Flach turned onto Smithe Mews because he was looking for a route to the seawall, and saw a clear pathway to the seawall. As he rode along Smithe Mews he noticed that instead of asphalt pavement, the roadway was brick with cement or concrete inlays. It was brand new and "quite smooth". When he came to where the </w:t>
      </w:r>
      <w:r>
        <w:rPr>
          <w:rFonts w:ascii="arial" w:eastAsia="arial" w:hAnsi="arial" w:cs="arial"/>
          <w:i/>
          <w:color w:val="000000"/>
          <w:sz w:val="20"/>
          <w:lang w:val="en-US" w:eastAsia="en-US" w:bidi="ar-SA"/>
        </w:rPr>
        <w:t>cul de sac</w:t>
      </w:r>
      <w:r>
        <w:rPr>
          <w:rFonts w:ascii="arial" w:eastAsia="arial" w:hAnsi="arial" w:cs="arial"/>
          <w:color w:val="000000"/>
          <w:sz w:val="20"/>
          <w:lang w:val="en-US" w:eastAsia="en-US" w:bidi="ar-SA"/>
        </w:rPr>
        <w:t xml:space="preserve"> meets the pathway, he saw what appeared to be another flat strip of cement or concrete inlay between the brick. What happened next "came out of nowhere", and "was completely unexpected". The back wheel of his bike came up and he flipped over the handlebars and landed on the ground. The last thing he remembers is seeing his hands reach toward the ground through the handlebars. He landed on his right elbow, struck his head, and broke his glasses. He knew he had been badly injured and lay still. A male voice came up and asked him if he was okay. He heard a female voice say, "He's not okay. Look at his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Flach believed the male voice belonged to a concierge for one of the buildings because he asked him "some questions for an incident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An ambulance took Mr. Flach to the hospital. He underwent surgery that day for compound fractures of his right elbow joint and upper arm. He is left with two plates and 21 screws in his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 few weeks after the accident, Mr. Flach returned to the scene of the accident to see if he could determine what happened because "it happened so quickly". He saw the rollover curb, which was still unpainted concrete. Mr. Flach never saw the rollover curb before the accident because it was "invisible".</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Expert witnesses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Granville W. Airton (forensic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Airton was called as an expert by the plaintiff, although much of his evidence was not expert evidence. Mr. Airton inspected all of the curbs in Yaletown and found only four small areas where there were rollover curbs, but none of them were like the one at the end of Smithe Mews where the rollover curb is installed across a pathway. The rollover curb is about an inch or about 25 millimeters higher above the gutter than the standard curb crossing.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Bradley Heinrichs (professional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Bradley Heinrichs is a professional engineer and expert in vehicle accident or collision reconstruction. Mr. Heinrichs used Searle's formula to calculate Mr. Furlan's minimum and maximum possible speeds when he hit the curb. He based his calculations on Mr. Furlan's starting height and the distance he travelled between contacting the curb and coming to a stop. He calculated Mr. Furlan's speed when he contacted the curb at 27 to 38 km/h. He agreed that if Mr. Furlan's front tire continued to roll after it came down and hit the ground, his estimated speeds would be too high.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Craig Luker (professional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Craig Luker is an expert in accident reconstructions. He is also considers himself an "expert" cyclist. Mr. Luker reviewed the accident scene and Mr. Heinrichs's report. He opined that Searle's formula was inapplicable because after Mr. Furlan's bicycle became airborne, the bicycle supported him again before he landed. In other words, his bicycle went up into the air, and </w:t>
      </w:r>
      <w:r>
        <w:rPr>
          <w:rFonts w:ascii="arial" w:eastAsia="arial" w:hAnsi="arial" w:cs="arial"/>
          <w:i/>
          <w:color w:val="000000"/>
          <w:sz w:val="20"/>
          <w:lang w:val="en-US" w:eastAsia="en-US" w:bidi="ar-SA"/>
        </w:rPr>
        <w:t>before</w:t>
      </w:r>
      <w:r>
        <w:rPr>
          <w:rFonts w:ascii="arial" w:eastAsia="arial" w:hAnsi="arial" w:cs="arial"/>
          <w:color w:val="000000"/>
          <w:sz w:val="20"/>
          <w:lang w:val="en-US" w:eastAsia="en-US" w:bidi="ar-SA"/>
        </w:rPr>
        <w:t xml:space="preserve"> he came to a stop, he landed on his front wheels and continued to roll.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Luker tried many times with a similar bicycle but was unable to achieve the speeds that Mr. Heinrichs opined Mr. Furlan was travelling at the time of impact. He cited studies reporting average riding speed of adults at between 16./8km/h to 20.9 km/h, and that amateur men in the Ironman competition race their bicycles at average speeds of 29 to 34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Luker also found that the curb rose more abruptly than what appeared in the photographs. He measured a vertical rise of 6.3 cm over a horizontal distance of 12 centimeters. The curb is made of pre-formed concrete section complete with a gutter pan at its base. The road surface adjoins the edge of the gutter pan which then transitions into the rise of the curb face. The gutter pan slopes downhill towards the base of the curb face forming a shallow pocket between the edge of the road and the base of the curb.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At one point in his evidence about the curb, Mr. Luker stated: "I was aware it was a hazard because it was painted yellow".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defendants argue that they are not liable for the accident for a number of reasons, including:</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BCS3202 complied with its maintenance obligations under the registered statutory right of way;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rollover curb was visible and ought to have been seen by the plaintiff;</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rollover curb was not in a state of disrepair;</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ought to have anticipated a "transition" between the roadway and the pathway;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speed was a contributing factor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With respect to the last point, I do not accept Mr. Heinrichs's opinion. Searle's formula is inapplicable. Mr. Furlan was not a projectile from the time he hit the curb until the point he landed. I accept Mr. Furlan's evidence that he slowed down when he was cycling along the </w:t>
      </w:r>
      <w:r>
        <w:rPr>
          <w:rFonts w:ascii="arial" w:eastAsia="arial" w:hAnsi="arial" w:cs="arial"/>
          <w:i/>
          <w:color w:val="000000"/>
          <w:sz w:val="20"/>
          <w:lang w:val="en-US" w:eastAsia="en-US" w:bidi="ar-SA"/>
        </w:rPr>
        <w:t>cul de sac</w:t>
      </w:r>
      <w:r>
        <w:rPr>
          <w:rFonts w:ascii="arial" w:eastAsia="arial" w:hAnsi="arial" w:cs="arial"/>
          <w:color w:val="000000"/>
          <w:sz w:val="20"/>
          <w:lang w:val="en-US" w:eastAsia="en-US" w:bidi="ar-SA"/>
        </w:rPr>
        <w:t xml:space="preserve"> and onto the pathway because he had to make a left hand turn onto the seawall.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Section 3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(1) 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"Occupier" is defined in section 1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"occupier"</w:t>
      </w:r>
      <w:r>
        <w:rPr>
          <w:rFonts w:ascii="arial" w:eastAsia="arial" w:hAnsi="arial" w:cs="arial"/>
          <w:color w:val="000000"/>
          <w:sz w:val="20"/>
          <w:lang w:val="en-US" w:eastAsia="en-US" w:bidi="ar-SA"/>
        </w:rPr>
        <w:t xml:space="preserve"> means a person who</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in physical possession of premises, or</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responsibility for, and control over, the condition of premises, the activities conducted on those premises and the persons allowed to enter those premises,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for this Act, there may be more than one occupier of the same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parties agree that the leading case on occupier's liability is </w:t>
      </w:r>
      <w:r>
        <w:rPr>
          <w:rFonts w:ascii="arial" w:eastAsia="arial" w:hAnsi="arial" w:cs="arial"/>
          <w:i/>
          <w:color w:val="000000"/>
          <w:sz w:val="20"/>
          <w:lang w:val="en-US" w:eastAsia="en-US" w:bidi="ar-SA"/>
        </w:rPr>
        <w:t>Agar v. Weber</w:t>
      </w:r>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2014 BCCA 297</w:t>
        </w:r>
      </w:hyperlink>
      <w:r>
        <w:rPr>
          <w:rFonts w:ascii="arial" w:eastAsia="arial" w:hAnsi="arial" w:cs="arial"/>
          <w:color w:val="000000"/>
          <w:sz w:val="20"/>
          <w:lang w:val="en-US" w:eastAsia="en-US" w:bidi="ar-SA"/>
        </w:rPr>
        <w:t xml:space="preserve"> at paras. 27 to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The definition of "occupier" under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includes a person who "is in physical possession of premises"; the definition of "premises" includes "land and structures or either of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In short, Mr. Weber's duty of care under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was to take care that in all of the circumstances of the case Dr. Agar would be </w:t>
      </w:r>
      <w:r>
        <w:rPr>
          <w:rFonts w:ascii="arial" w:eastAsia="arial" w:hAnsi="arial" w:cs="arial"/>
          <w:color w:val="000000"/>
          <w:sz w:val="20"/>
          <w:u w:val="single"/>
          <w:lang w:val="en-US" w:eastAsia="en-US" w:bidi="ar-SA"/>
        </w:rPr>
        <w:t>reasonably safe</w:t>
      </w:r>
      <w:r>
        <w:rPr>
          <w:rFonts w:ascii="arial" w:eastAsia="arial" w:hAnsi="arial" w:cs="arial"/>
          <w:color w:val="000000"/>
          <w:sz w:val="20"/>
          <w:lang w:val="en-US" w:eastAsia="en-US" w:bidi="ar-SA"/>
        </w:rPr>
        <w:t xml:space="preserve"> when he used the device.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common law requires a plaintiff to establish:</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duty of care to conform to a certain standard of care for the </w:t>
      </w:r>
      <w:r>
        <w:rPr>
          <w:rFonts w:ascii="arial" w:eastAsia="arial" w:hAnsi="arial" w:cs="arial"/>
          <w:color w:val="000000"/>
          <w:sz w:val="20"/>
          <w:u w:val="single"/>
          <w:lang w:val="en-US" w:eastAsia="en-US" w:bidi="ar-SA"/>
        </w:rPr>
        <w:t>protection of others against unreasonable risks.</w:t>
      </w:r>
      <w:r>
        <w:rPr>
          <w:rFonts w:ascii="arial" w:eastAsia="arial" w:hAnsi="arial" w:cs="arial"/>
          <w:color w:val="000000"/>
          <w:sz w:val="20"/>
          <w:lang w:val="en-US" w:eastAsia="en-US" w:bidi="ar-SA"/>
        </w:rPr>
        <w:t xml:space="preserve"> The duty does not extend to the removal of every possible danger, rather the test is one of reasonableness: </w:t>
      </w: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xml:space="preserve"> at para. 28;</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breach of that duty by some act or omission by the defendant; and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breach of duty is the proximate cause of a plaintiff's injury, meaning there must be a nexus between the injury sustained by the plaintiff and the defendant's negligent act or omission: [citations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The standard of care under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and at common law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the same: it is to protect others from an objectively unreasonable risk of harm. Whether a risk is reasonable or unreasonable is a question of fact.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Under the statutory test for occupiers liability, the Court in </w:t>
      </w:r>
      <w:r>
        <w:rPr>
          <w:rFonts w:ascii="arial" w:eastAsia="arial" w:hAnsi="arial" w:cs="arial"/>
          <w:i/>
          <w:color w:val="000000"/>
          <w:sz w:val="20"/>
          <w:lang w:val="en-US" w:eastAsia="en-US" w:bidi="ar-SA"/>
        </w:rPr>
        <w:t>Waldick v. Malcolm,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[1991] 2 S.C.R. 456</w:t>
      </w:r>
      <w:r>
        <w:rPr>
          <w:rFonts w:ascii="arial" w:eastAsia="arial" w:hAnsi="arial" w:cs="arial"/>
          <w:color w:val="000000"/>
          <w:sz w:val="20"/>
          <w:lang w:val="en-US" w:eastAsia="en-US" w:bidi="ar-SA"/>
        </w:rPr>
        <w:t xml:space="preserve"> described the standard of care at 472: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statutory duty on occupiers is framed quite generally, as indeed it must be. </w:t>
      </w:r>
      <w:r>
        <w:rPr>
          <w:rFonts w:ascii="arial" w:eastAsia="arial" w:hAnsi="arial" w:cs="arial"/>
          <w:color w:val="000000"/>
          <w:sz w:val="20"/>
          <w:u w:val="single"/>
          <w:lang w:val="en-US" w:eastAsia="en-US" w:bidi="ar-SA"/>
        </w:rPr>
        <w:t>That duty is to take reasonable care in the circumstances to make the premises safe.</w:t>
      </w:r>
      <w:r>
        <w:rPr>
          <w:rFonts w:ascii="arial" w:eastAsia="arial" w:hAnsi="arial" w:cs="arial"/>
          <w:color w:val="000000"/>
          <w:sz w:val="20"/>
          <w:lang w:val="en-US" w:eastAsia="en-US" w:bidi="ar-SA"/>
        </w:rPr>
        <w:t xml:space="preserve"> That duty does not change but the factors which are relevant to an assessment of what constitutes reasonable care will necessarily be very specific to each fact situation -- thus the proviso "such care as in all the circumstances of the case is reasonable".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Similarly, in </w:t>
      </w: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 xml:space="preserve">, the Court described the standard of care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[28] Conduct is negligent if it creates an objectively unreasonable risk of harm. To avoid liability, a person must exercise the standard of care that would be expected of an ordinary, reasonable and prudent person in the same circumstances. The measure of what is reasonable depends on the facts of each case, including the likelihood of a known or foreseeable harm, the gravity of the harm, and the burden or cost which would be incurred to prevent the injury. In addition, one may look to external indicators of reasonable conduct, such as custom, industry practice, and statutory or regulatory standards.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[Underline emphasis added in </w:t>
      </w:r>
      <w:r>
        <w:rPr>
          <w:rFonts w:ascii="arial" w:eastAsia="arial" w:hAnsi="arial" w:cs="arial"/>
          <w:i/>
          <w:color w:val="000000"/>
          <w:sz w:val="20"/>
          <w:lang w:val="en-US" w:eastAsia="en-US" w:bidi="ar-SA"/>
        </w:rPr>
        <w:t>Agar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plaintiff also relies on the following case authorities: </w:t>
      </w:r>
      <w:r>
        <w:rPr>
          <w:rFonts w:ascii="arial" w:eastAsia="arial" w:hAnsi="arial" w:cs="arial"/>
          <w:i/>
          <w:color w:val="000000"/>
          <w:sz w:val="20"/>
          <w:lang w:val="en-US" w:eastAsia="en-US" w:bidi="ar-SA"/>
        </w:rPr>
        <w:t>Fingerhut v. Longwood</w:t>
      </w:r>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2009 BCSC 1839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Coleman v. Yen Hoy Enterprises Ltd.</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2000 BCSC 276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Stynes v. Victoria (City of)</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(1990), 66 D.L.R. (4th) 588</w:t>
        </w:r>
      </w:hyperlink>
      <w:r>
        <w:rPr>
          <w:rFonts w:ascii="arial" w:eastAsia="arial" w:hAnsi="arial" w:cs="arial"/>
          <w:color w:val="000000"/>
          <w:sz w:val="20"/>
          <w:lang w:val="en-US" w:eastAsia="en-US" w:bidi="ar-SA"/>
        </w:rPr>
        <w:t xml:space="preserve"> (B.C.C.A.). The defendants rely on the following authorities: </w:t>
      </w:r>
      <w:r>
        <w:rPr>
          <w:rFonts w:ascii="arial" w:eastAsia="arial" w:hAnsi="arial" w:cs="arial"/>
          <w:i/>
          <w:color w:val="000000"/>
          <w:sz w:val="20"/>
          <w:lang w:val="en-US" w:eastAsia="en-US" w:bidi="ar-SA"/>
        </w:rPr>
        <w:t>Gervais v. Do</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2000 BCSC 1271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Robson v. Trail Bay Developments Ltd.</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2009 BCSC 806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Cahoon v. Wendy's Restaurant of Canada Inc.</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2000 BCSC 629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Gervai</w:t>
      </w:r>
      <w:r>
        <w:rPr>
          <w:rFonts w:ascii="arial" w:eastAsia="arial" w:hAnsi="arial" w:cs="arial"/>
          <w:color w:val="000000"/>
          <w:sz w:val="20"/>
          <w:lang w:val="en-US" w:eastAsia="en-US" w:bidi="ar-SA"/>
        </w:rPr>
        <w:t>s, the plaintiff tripped and broke a bone in his left foot after he left a Mac's convenience store and was returning to his parked car. He alleged that "he tripped because of an unusual and unmarked hazard in front of the store constituted by the elevation between the edge of a concrete sidewalk and the adjacent asphalt surface of the parking area." In dismissing the plaintiff's claim, Justice Holmes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The surfaces on the parking lot and sidewalk were in good condition. There was no lack of repair. The area was in compliance with building, by-law, and safety codes. There were no obstructions to vision apart from the natural effects of shade and sunlight.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The evidence does not indicate the degree that shade obscured an ability to see the de-embarkation line between sidewalk and asphalt. The sidewalk appears a light to medium grey concrete and the asphalt was black.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Counsel for the plaintiff suggests the edge of the sidewalk should have been painted. There is no evidence that was required by any applicable authority, or even an industry or common practice in use at other locations. I also do not find that painting the curb would assist in indicating a height differential.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The areas in front of the store have been used daily by customers for years in all weather and lighting conditions and no problems have been indicated.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One cannot expect complete matching of surfaces when walking in outdoor areas like parking lots, and transition areas from parking surfaces to walkways to building entries.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Robson v. Trail Bay Developments Ltd.</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2009 BCSC 806</w:t>
        </w:r>
      </w:hyperlink>
      <w:r>
        <w:rPr>
          <w:rFonts w:ascii="arial" w:eastAsia="arial" w:hAnsi="arial" w:cs="arial"/>
          <w:color w:val="000000"/>
          <w:sz w:val="20"/>
          <w:lang w:val="en-US" w:eastAsia="en-US" w:bidi="ar-SA"/>
        </w:rPr>
        <w:t>, the plaintiff was injured at a mall that was clearly undergoing construction. A ramp was constructed near the entrance of the mall by pouring a concrete slab approximately 30 feet wide and 18 feet long. The ramp sloped from being flush with the adjacent parking lot adjacent to the height of the sidewalk surrounding the mall. The sidewalk was approximately four inches above the adjacent parking lot surface. The concrete ramp was light grey in colour and the asphalt of the parking lot was black.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 was returning to her vehicle and looking into her purse for her keys as she was about half way down a concrete ramp when she approached the edge of a ramp and fell. There was a difference of approximately two inches between the ramp and the asphalt of the parking lot. The plaintiff alleged that the ramp was an unusual danger and the sides of the ramp should have been tapered down to the pavement or marked to advise users of the precipice. She also alleged that the sidewalk or ramp ought to have been painted. In dismissing her claim, Justice Burnyeat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I find that Ms. Robson has failed to demonstrate on a balance of probabilities that the ramp was unsafe or that it constituted an unusual danger. The edge of the ramp was there to be seen. It was not seen because Ms. Robson was paying attention to extracting her keys from her purse, rather than watching where she was stepping. While perfection might have seen the Defendants placing some sort of barricade at that side of the ramp, the steps taken by the Defendants to assure patrons that the premises were reasonably safe were more than sufficient in the circumstances. There was no unusual danger. At the same time, Ms. Robson has not proven on a balance of probabilities that the Defendants were negligent. The dismissal of the Action of Ms. Robson is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Cahoon v. Wendy's Restaurant of Canada Inc.</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2000 BCSC 629</w:t>
        </w:r>
      </w:hyperlink>
      <w:r>
        <w:rPr>
          <w:rFonts w:ascii="arial" w:eastAsia="arial" w:hAnsi="arial" w:cs="arial"/>
          <w:color w:val="000000"/>
          <w:sz w:val="20"/>
          <w:lang w:val="en-US" w:eastAsia="en-US" w:bidi="ar-SA"/>
        </w:rPr>
        <w:t>, the plaintiff was leaving a restaurant leading back to the parking lot, when "he stepped off the sidewalk onto what he says appeared to be the wheelchair ramp leading up to the sidewalk, but instead, stepped onto the part of the surface of the parking lot which was adjacent to but lower than the wheelchair ramp". His claim was dismissed. The defendants rely on the following statements of Burnyeat J.:</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Any "remedial" steps taken by the defendants are not to be considered as proof that such steps were required to make the premises "reasonably safe." The defendants only have to make the premises "reasonably safe." The defendants do not have to provide an environment which guarantees against all possible accidents. Steps taken after an accident may well only change an already reasonably safe area to an area which is more than reasonably safe. On the other hand, steps taken after an accident may well convert an unsafe area to an area which is then reasonably safe. What is done after the fact is merely a factor to be considered in answering the question of whether the area at the time of the accident was reasonably safe for occupants of the premises.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The curb, the ramp and the actual edge of the ramp should have been seen by Mr. Cahoon when he exited the premises. I find that the premises were reasonably safe even for occupants who were exiting quickly as might be expected of some customers who are not using the "drive-thru" feature available at the restaurant but who nevertheless wished not to eat any food purchased at the restaurant. This activity was reasonably foreseeable and the premises were reasonably safe for that type of customer as well.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There is nothing which would allow me to conclude that the premises were not reasonably safe for occupants and, accordingly, I conclude that the accident was caused solely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 and conclusion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Both BCS3202 and Rancho Management Services meet the definition of "occupier" set out in s. 1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The definition provides that there can be more than one occupier of the same premises. In this case, the strata corporation was in physical possession of the premises, while Rancho Management had care and control of the premises. Therefore, the defendants owed Mr. Furlan a duty of care under s. 3 of the OLA. They owed Mr. Furlan the duty to take reasonable care to ensure that he would be reasonably safe when using the pathway. They owed Mr. Furlan a duty of care to ensure the pathway was reasonably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important issue in this case is whether the defendants breached the standard of care because the rollover curb posed an objectively unreasonable risk of harm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During the course of Mr. Furlan's cross-examination, there was a suggestion by the defendants that he ought to have been aware from the signs that the pathway was only for pedestrians. However, the statutory right of way agreement expressly provides that the strata corporation permitted the Smithe Mews </w:t>
      </w:r>
      <w:r>
        <w:rPr>
          <w:rFonts w:ascii="arial" w:eastAsia="arial" w:hAnsi="arial" w:cs="arial"/>
          <w:i/>
          <w:color w:val="000000"/>
          <w:sz w:val="20"/>
          <w:lang w:val="en-US" w:eastAsia="en-US" w:bidi="ar-SA"/>
        </w:rPr>
        <w:t>cul de sac</w:t>
      </w:r>
      <w:r>
        <w:rPr>
          <w:rFonts w:ascii="arial" w:eastAsia="arial" w:hAnsi="arial" w:cs="arial"/>
          <w:color w:val="000000"/>
          <w:sz w:val="20"/>
          <w:lang w:val="en-US" w:eastAsia="en-US" w:bidi="ar-SA"/>
        </w:rPr>
        <w:t xml:space="preserve"> and pathway to be used by cyclists to and from the seawall.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defendants argue that the rollover curb was not unsafe, and that variations in surface height are something the law expects a person to anticipate in outdoor areas. There was no legal requirement that the curb had to be painted. Mr. Airton's photographs of other rollover curbs in the area demonstrate that none of them are painted yellow.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However, other than the subject rollover curb, there were no rollover curbs between a roadway and a pathway. Further, from Mr. Airton's photographs, the other rollover curbs are clearly visible. Some of the photographs of the rollover curb where Mr. Furlan fell show that the rollover curb and gutter pan are not clearly visible. This is because parts of the curb are totally shaded by the trees and shrubbery in the planters. The photographs where the curb is clearly visible were taken from a vantage point that is obviously much lower than what Mr. Furlan's vantage point would have been on a bicycle. They were taken from a vantage point where the camera was pointed towards the level of the no vehicle access sign, which appears to be about two feet or less above the pathway. What can be seen from the photographs is that the rollover curb and gutter pan appears to be the same colour and composition and about the same width of the flat concrete strips on the </w:t>
      </w:r>
      <w:r>
        <w:rPr>
          <w:rFonts w:ascii="arial" w:eastAsia="arial" w:hAnsi="arial" w:cs="arial"/>
          <w:i/>
          <w:color w:val="000000"/>
          <w:sz w:val="20"/>
          <w:lang w:val="en-US" w:eastAsia="en-US" w:bidi="ar-SA"/>
        </w:rPr>
        <w:t>cul de sac</w:t>
      </w:r>
      <w:r>
        <w:rPr>
          <w:rFonts w:ascii="arial" w:eastAsia="arial" w:hAnsi="arial" w:cs="arial"/>
          <w:color w:val="000000"/>
          <w:sz w:val="20"/>
          <w:lang w:val="en-US" w:eastAsia="en-US" w:bidi="ar-SA"/>
        </w:rPr>
        <w:t xml:space="preserve"> and the pathway. From the photographs, the curb is clearly visible after it was painted yellow and looks like a small speed bump.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defendants argue that the plaintiff ought to have expected a transition between the end of the </w:t>
      </w:r>
      <w:r>
        <w:rPr>
          <w:rFonts w:ascii="arial" w:eastAsia="arial" w:hAnsi="arial" w:cs="arial"/>
          <w:i/>
          <w:color w:val="000000"/>
          <w:sz w:val="20"/>
          <w:lang w:val="en-US" w:eastAsia="en-US" w:bidi="ar-SA"/>
        </w:rPr>
        <w:t>cul de sac</w:t>
      </w:r>
      <w:r>
        <w:rPr>
          <w:rFonts w:ascii="arial" w:eastAsia="arial" w:hAnsi="arial" w:cs="arial"/>
          <w:color w:val="000000"/>
          <w:sz w:val="20"/>
          <w:lang w:val="en-US" w:eastAsia="en-US" w:bidi="ar-SA"/>
        </w:rPr>
        <w:t xml:space="preserve"> and the pathway. He may have expected a transition, but he reasonably cannot have expected a curb that was not clearly 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find that there were bicycle accidents on account of the rollover curb, prior to Mr. Furlan's accident. The evidence relating to the system of reporting the accidents was totally inconsistent. However, I accept Mr. Yeung's evidence that there were no written guidelines or instructions for a concierge or building manager to report about bicycle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However, whether or not there were earlier bicycle accidents, or whether the accidents were reported to strata council, is not decisive of the issue. The important factors in this case are that the rollover curb was in a place where a curb is not reasonably anticipated. The curb was also the same colour and about the same width as the concrete strips. It was not clearly visible. The defendants knew that the rollover curb is along a bicycle route to and from the seawall, and they knew or ought to have known the curb needed to be visible to cyclists. I accept Mr. Duchesne's evidence that he painted the curb yellow so that it would be visible. Before he painted the curb yellow it was not clearly visible, and at times shaded by shrubbery, trees, and the residential towers.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find that the defendants did not take reasonable care to protect people using the pathway from unreasonable risks. Given the location of the rollover curb, to leave it unmarked was unsafe and a breach of the defendants' duty of care. This failure to meet their duty directly resulted in Mr. Furlan's injury. I find that the defendants are wholly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E. </w:t>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After the accident, Mr. Furlan made his way to work and was taken to the hospital, where he had x-rays and a prescription for painkillers. He remained in bed for the first seven days, and his wife had to bathe and feed him. For the first couple of weeks, he had headaches at the back and through the top of his head. The swelling, bruising and constant throbbing sensation at the top of his head lasted about a week. The stiffness in the upper part of his neck to his shoulders lasted around five weeks. The pain from the scrapes and bruises to his right hip and elbow went away after a few weeks. His right pinky finger was in pain and sensitive for three or four months. The bruising to his right foot lasted about eight months and made it very painful for him to put on a shoe. The pain in his right shoulder, right knee -- and now left knee -- and lower back remain.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pain in his right shoulder blade was "really bad" and increased despite various recommended treatments, including cortisone and physiotherapy, which made it worse. Mr. Furlan complains that as his right shoulder pain worsened, he could feel the muscles and ligaments ripping off of his shoulder. On July 25, 2011, Mr. Furlan underwent surgery and Dr. Pike, an orthopaedic surgeon, performed a labral repair of his right shoulder. He remained off work for 10 months because of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Between September 2011 and June 2012, Mr. Furlan attended physiotherapy two to three times a week for his right shoulder and right knee. He described the pain in his right shoulder before the surgery as 10 out of 10, but after the surgery, at sometimes 7 out of 10, but usually 3 out of 10. He remains unable to sleep on his right shoulder. He has regained range of motion in his right shoulder but considers his right shoulder strength to be 33 percent of what it was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Following the accident, Mr. Furlan developed a ganglion on his right wrist. The ganglion is thought to have been caused by the way he fell on his right arm and wrist. Ganglions are generally thought to be caused by trauma. The ganglion was surgically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November 2011, Mr. Furlan's wife sustained a serious brain injury. Following a hospital procedure, she collapsed outside on the sidewalk and struck her head. She lost her ability to speak for many months and is no longer able to drive or to work. Her memory has also been severely compromised, and she has no memory or only sporadic memory of events before or after her husband's accident. Her recollection of his surgery in July 2011 and after the surgery is non-existent.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For several months, while his right arm was a sling from his surgery, Mr. Furlan had to bathe and dress his wife using only one of his arms.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About a year after the accident, Mr. Furlan began experiencing pain in his left knee because he had been compensating for the difficulties he has with his right knee. Since the accident, his right knee bows inward. When he has knee pain, he also suffers from low back pain. In April 2012, he was seen by a surgeon, Dr. K.F. Hughes, who felt that Mr. Furlan may have a possible tear of both the right and left medial menisci. Dr. Hughes recommended a conservative approach initially, rather than immediate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Before the accident, Mr. Furlan regularly enjoyed cycling, weight training, running, martial arts (he also taught martial arts), boxing, kick-boxing, basketball, football, volley ball and soccer. He has done everything that has been recommended to him for strengthening and reconditioning, including running and doing arm exercises in the pool. He was unable to return to weight training until 2013 when he started with 1.5 pound weights. He is now using up to 40 pound weights, although before the accident, he could lift 110 pound weights. He returned to cycling in 2013, and in January 2014 returned to cycling to and from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Before the accident Mr. Furlan ran long distances with his daughter, who he considers an elite athlete, but he can now only run very short distances because of the pain in his knees and legs. He returned to training in martial arts in early 2014 but feels like his flexibility and lateral movements have been affected. He has lost his 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As deputy sheriff, Mr. Furlan works in the cells at 222 Main Street, where he escorts prisoners. The work is physically demanding. He carries about 23 pounds of equipment, including a bullet proof vest, duty belt, firearm, pepper spray, a heavy seat of keys, and handcuffs. The prisoners include gang members, violent prisoners, and the mentally ill. At times Mr. Furlan is required to engage in a high risk take down and use force. He used to do that "automatically", but now he has to plan his attack, and finds that he is constantly "second guessing" himself. However, he does not complain and has worked despite his constant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Furlan's knees are stiff when he starts his work day. The pain will be a 2/10 but increase to 5/10. He has low back pain when he starts his day, but the pain begins at 3/10 and increases to 5/10 as the day progresses. If his knees flare up, the pain in his low back can shoot up to a 9/10. The pain interrupts Mr. Furlan's sleep, and makes him more irritable and short tempered.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C. Hershler, a specialist in physical medicine and rehabilitation, examined Mr. Furlan on June 17, 2015. In his report dated June 18, 2015, he notes that Mr. Furlan has a significant medical history before the accident, including:</w:t>
      </w:r>
      <w:r>
        <w:rPr>
          <w:rFonts w:ascii="arial" w:eastAsia="arial" w:hAnsi="arial" w:cs="arial"/>
          <w:sz w:val="20"/>
          <w:lang w:val="en-US" w:eastAsia="en-US" w:bidi="ar-SA"/>
        </w:rPr>
        <w:cr/>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Peripheral polyneuropathy (intermittent numbness in the distal legs) - This primarily affects his feet and has caused occasional problems with balance and incoordination. He began to notice these symptoms in 1997. He is able to control these symptoms with exercise.</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2007, he was diagnosed with a mediastinal cavernous hemangioma - He has had surgical removal of this tumor. At that time, he was also diagnosed with restless leg syndrome and sleep apnea, both of which improved after removal of the tumor.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Hershler opines that as a result of the accident, Mr. Furlan sustained the following injuries:</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his right shoulder -- the labral tear was surgically repaired but he is left with constant pain within the glenohumeral joint and right acromioclavicular joint;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Ganglion to his right wrist which was surgically removed;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Muscular pain affecting the right paraspinal mass in his low back;</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Medial joint space pain in the right knee and the development of pain in his left knee, due to alterations in his gait;</w:t>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injury to his right ankle which has healed.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his prognosis, Dr. Hershler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 five years have now elapsed since the accident. Mr. Furlan remains with daily levels of pain, but has a high pain tolerance and an extremely motivated attitude with respect to exercise and work 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it is unlikely that Mr. Furlan's situation will change spontaneously in the foreseeable future. It is more likely than not that he will have to deal with his current symptoms and loss of strength and flexibility on a permanent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 effort to assist with further pain management and strength, I recommend that he work one-on-one with a physical trainer who has both physiotherapy and physical training expertise. Mr. Furlan should have weekly sessions with such a trainer for six months, and then on a monthly basis for a further six months. At the end of such a program, he should have acquired more insight into his injury patterns and have fine-tuned his exercise regimen. I have no doubt that he will follow those exercises on his own (daily).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stage and for the foreseeable future, Mr. Furlan will remain symptomatic in his current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Mr. Furlan seeks an award of $125,000 for non-pecuniary damages. He relies on </w:t>
      </w:r>
      <w:r>
        <w:rPr>
          <w:rFonts w:ascii="arial" w:eastAsia="arial" w:hAnsi="arial" w:cs="arial"/>
          <w:i/>
          <w:color w:val="000000"/>
          <w:sz w:val="20"/>
          <w:lang w:val="en-US" w:eastAsia="en-US" w:bidi="ar-SA"/>
        </w:rPr>
        <w:t>Burtwell v. McCaffrey</w:t>
      </w:r>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2013 BCSC 886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Chabot v. Chaube</w:t>
      </w:r>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2014 BCSC 300</w:t>
        </w:r>
      </w:hyperlink>
      <w:r>
        <w:rPr>
          <w:rFonts w:ascii="arial" w:eastAsia="arial" w:hAnsi="arial" w:cs="arial"/>
          <w:color w:val="000000"/>
          <w:sz w:val="20"/>
          <w:lang w:val="en-US" w:eastAsia="en-US" w:bidi="ar-SA"/>
        </w:rPr>
        <w:t xml:space="preserve">, where the plaintiffs were awarded $80,000 for non-pecuniary damages. He also relies on </w:t>
      </w:r>
      <w:r>
        <w:rPr>
          <w:rFonts w:ascii="arial" w:eastAsia="arial" w:hAnsi="arial" w:cs="arial"/>
          <w:i/>
          <w:color w:val="000000"/>
          <w:sz w:val="20"/>
          <w:lang w:val="en-US" w:eastAsia="en-US" w:bidi="ar-SA"/>
        </w:rPr>
        <w:t>Power v. White</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2010 BCSC 1084</w:t>
        </w:r>
      </w:hyperlink>
      <w:r>
        <w:rPr>
          <w:rFonts w:ascii="arial" w:eastAsia="arial" w:hAnsi="arial" w:cs="arial"/>
          <w:color w:val="000000"/>
          <w:sz w:val="20"/>
          <w:lang w:val="en-US" w:eastAsia="en-US" w:bidi="ar-SA"/>
        </w:rPr>
        <w:t>, where the plaintiff was awarded $135,000 for similar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defendants argue that Mr. Furlan's complaints are affected by his previously diagnosed neuropathy. However, I find Mr. Furlan to be a credible witness, and that all of his complaints relating to his shoulder, lower back, and knees were caused by the accident and not by any pre-existing conditions. I also find that Mr. Furlan is not a quitter or a malingerer. At one point in his evidence he explained that before his shoulder surgery, he was in excruciating pain, and returned home from work "spent" because of his "inner battle dealing with my emotions...because we're in the public eye". Mr. Furlan is stoic. He works despite his pain, does his best not to disclose that he is in pain, and continues working at a job that requires physical stamina.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defendants refer to handwritten notes in the October 26, 2009, clinical records of Dr. C. Ryan, Mr. Furlan's family physician. The handwritten notes read:</w:t>
      </w:r>
      <w:r>
        <w:rPr>
          <w:rFonts w:ascii="arial" w:eastAsia="arial" w:hAnsi="arial" w:cs="arial"/>
          <w:sz w:val="20"/>
          <w:lang w:val="en-US" w:eastAsia="en-US" w:bidi="ar-SA"/>
        </w:rPr>
        <w:cr/>
      </w:r>
    </w:p>
    <w:p>
      <w:pPr>
        <w:numPr>
          <w:numId w:val="3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angry</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irritable</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short fuse</w:t>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worries in mom-in-law</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frustrated (everything)</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illness</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home - he downstairs</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both restless legs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legs vibrate a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On the basis of the notes the defendants argue that Mr. Furlan was already angry and irritable before the accident. Dr. Ryan was not called to testify about his notes. However, Mr. Furlan testified that in the fall of 2009 his wife was complaining that his legs vibrated at night and he was worried he might have another tumour. As noted in Dr. Hershler's report above, Mr. Furlan had a tumor near his heart removed in 2007. Mr. Furlan stated that he "almost died" when he had the tumor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More to the point: it would be the rare person that did not experience irritability and a short fuse from time to time. Mr. Furlan experiences daily pain as a result of the injuries he sustained in the accident. Common sense tells me that constant and chronic pain affects a person's moods and personality. Mr. Furlan had health issues before the accident, but none of those issues are the cause of his present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The defendants argue that the award for non-pecuniary damages should be $60,000 and rely on </w:t>
      </w:r>
      <w:r>
        <w:rPr>
          <w:rFonts w:ascii="arial" w:eastAsia="arial" w:hAnsi="arial" w:cs="arial"/>
          <w:i/>
          <w:color w:val="000000"/>
          <w:sz w:val="20"/>
          <w:lang w:val="en-US" w:eastAsia="en-US" w:bidi="ar-SA"/>
        </w:rPr>
        <w:t>Filsinger v. ICBC</w:t>
      </w:r>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2009 BCSC 232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2010 BCSC 352</w:t>
        </w:r>
      </w:hyperlink>
      <w:r>
        <w:rPr>
          <w:rFonts w:ascii="arial" w:eastAsia="arial" w:hAnsi="arial" w:cs="arial"/>
          <w:color w:val="000000"/>
          <w:sz w:val="20"/>
          <w:lang w:val="en-US" w:eastAsia="en-US" w:bidi="ar-SA"/>
        </w:rPr>
        <w:t xml:space="preserve">. However, the injuries and the consequences of those injuries on the plaintiffs in those cases were not as great as the injuries and the impact of those injuries suffered by Mr. Furlan. In </w:t>
      </w:r>
      <w:r>
        <w:rPr>
          <w:rFonts w:ascii="arial" w:eastAsia="arial" w:hAnsi="arial" w:cs="arial"/>
          <w:i/>
          <w:color w:val="000000"/>
          <w:sz w:val="20"/>
          <w:lang w:val="en-US" w:eastAsia="en-US" w:bidi="ar-SA"/>
        </w:rPr>
        <w:t>Filsinger</w:t>
      </w:r>
      <w:r>
        <w:rPr>
          <w:rFonts w:ascii="arial" w:eastAsia="arial" w:hAnsi="arial" w:cs="arial"/>
          <w:color w:val="000000"/>
          <w:sz w:val="20"/>
          <w:lang w:val="en-US" w:eastAsia="en-US" w:bidi="ar-SA"/>
        </w:rPr>
        <w:t xml:space="preserve"> the plaintiff had a shoulder injury which resolved after surgery, and a pre-existing low back condition. In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the plaintiff sustained a permanent mild impairment to her left shoulder, for which she was awarded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Each case turns on its facts. Taking into account the factors to be considered in assessing non-pecuniary damages, as outlined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paras. 45 to 47, I consider an award of $80,000 for non-pecuniary damages to be 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Through Great-West Life, Mr. Furlan received short-term disability or 65 percent of his wages, and then long-term disability or 55 percent of his wages. It is agreed that the total for his lost wages and benefits as a result of the accident is $51,758.76.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Before the accident Mr. Furlan generally worked approximately 100 hours of overtime annually because of what he referred to as his "specialities". He was born in France and is fluent in French. He can work as a sheriff for bilingual trials, and is the French deputy sheriff for the Province. He also "specializes in violent offenders". Because of his pain, lack of energy, and efforts at recovery, he declined opportunities to work overtime from the date of the accident until the end of 2013. There is no evidence whether the overtime he turned down was for more or less than two hours a day. He receives 1.5 times his hourly rate for the first two hours of overtime, and then double time beyond the first two hours. Before the accident he earned from $54,000 to $66,000 annually, depending on the amount of overtime. At the time of the accident he was earning $27 an hour, plus an additional $110 a month because he is a "medic" who responds to medical emergencies. He presently earns $32 an hour. It was not until the end of 2014 that he returned to working approximately 100 hours of overtime as he did before the accident. He worked more than 100 hours of overtime in 2014 and 2015. There is no evidence that he has declined any overtime work since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Furlan also contends that as a result of using the sick time he did following the accident, he was disqualified from applying to become a sergeant and earning approximately $4 more an hour. From 2010 to the present there have been four postings for the position of sergeant. Since the end of 2014, Mr. Furlan has been qualified to apply for the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However, I find that Mr. Furlan has failed to meet the burden of proving that there was a real or substantial possibility that he would have been promoted to sergeant but for the accident. There is no doubt that that Mr. Furlan has hopes of a promotion, even to the position of acting superintendent. He has been in the position of deputy sheriff since 1989. Based on all of the evidence, including his annual performance development reviews, I am not satisfied that Mr. Furlan would have been awarded the position of sergeant, had he applied for the position,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am satisfied, however, that Mr. Furlan lost opportunities to work overtime. The amount of lost overtime is difficult to quantify. It seems that Mr. Furlan began working overtime sometime around the beginning of 2014 and by the end of that year, was up to the 100 or so hours of overtime that he generally performed before the accident. While he claims to have loss 400 hours of overtime from 2010 to 2014, I do not think it is that high. Doing the best I can, I find an award of $15,000 (gross) is 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Furlan seeks an award of $120,000 for future loss of earning capacity. The defendants contend that Mr. Furlan has failed to establish any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Furlan testified that he plans to retire between ages 65 and 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To prove a loss of future earning capacity, a plaintiff must establish a real and substantial possibility that his or her injuries will lead to a loss of income in the future. If the plaintiff meets that burden, then depending upon the circumstances of the case, the plaintiff may quantify that loss of earnings either on an earnings approach or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paras. 30 and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Furlan undergoes an annual firearms requalification test. In 2012, he failed because he experienced a painful burning sensation from his elbow to his upper shoulder when he tried to get his gun out of his holster. He retook the test with modifications -- his holster was lowered two inches -- and passed the test with a high score.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From time to time, when he was working in protective operations and as an instructor at the Justice Institute, Mr. Furlan was required to take SOPAT (sheriff office physical abilities or assessment test). Over the time that he has worked as deputy sheriff he has taken the test about 10 times and never failed. However, in 2014 he failed the obstacle course by 15 seconds. His knees were so inflamed that it affected his back and he had to step over rather than jump over two fences during the quarter mile obstacle course. He has not taken the course since, but intends to. Otherwise, he claims that he won't be able to get any work in "specialty areas". These areas include protective operations, where he is paid a sergeant's rate of pay for protecting certain judges at home and to and from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Furlan says that he has worked in protective operations since he was 16 years old, and has worked as a bodyguard for celebrities, monarchs, and high profile wealthy businessman. He says that when he retires from working as a sheriff, he can continue to work in protective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Furlan is concerned that he might not be able to pass the tests required in order for him to work in protective custody. He argues that his chronic pain is permanent, and there is a real and substantial possibility that over the next 15 to 20 years, his injuries will lead to an income loss if he fails course, or misses opportunities for promotions.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If Mr. Furlan follows Dr. Hershler's recommendation that he work with a physical trainer with expertise in physiotherapy and physical training, he should be able to pass any physical tests required by him in order to work in protective custody. There is no expert evidence to suggest that Mr. Furlan will, at some time in the future, not be able to continue working in his present position because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From 2006 to 2010, Mr. Furlan worked as a first aid instructor at Traumatech. He worked at Traumatech approximately once or twice a month, sometimes three times a month, or sometimes not at all, depending on his schedule at work. He does not recall his rate of pay but believes it was $170 to $190 a day. He claims that he no longer works at Traumatech because of the "issues with his shoulder with doing compressions".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Furlan produced no documents indicating the hours he worked or his rate of pay at Traumatech. He did however produce a letter from Traumatech dated July 31, 2014, indicating that he fully and successfully participated in the 70-hour week long Work Safe BC Occupational First Aid Level III course in May 2014, and is now certified until May 2017. Mr. Furlan describes himself as the "main medic" or "senior head guy" at 222 Main Street. I assume that the proper designation is first aid attendant.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Furlan was asked in cross-examination how he was able to complete his first aid course, yet not be able to teach at Traumatech. He explained that during the week long course, the only time he had to do compressions for CPR (cardiopulmonary resuscitation) was when he took the test. He only had to do it once. When he was doing compressions while teaching first aid at Traumatech, he had to demonstrate the compressions over and over again -- not just do it once.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defendants contend that other than Mr. Furlan's own evidence there is nothing to prove that he ever worked at Traumatech. While it may have been helpful to have other evidence establishing the dates that Mr. Furlan worked at Traumatech and the rate of pay, there is no suggestion that Mr. Furlan is not telling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 am not satisfied that Mr. Furlan has proved that there is a real and substantial possibility that he will suffer any loss of earnings from his work as a deputy sheriff as a result of the accident. There was no suggestion of inability by Staff Sergeant Singh, who testified that Mr. Furlan is able to carry out all of his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find, however, that Mr. Furlan has established a real and substantial possibility that he is unable to return to work at Traumatech because of his injuries and pain. Quantifying the loss is difficult. He worked between once or twice a month, sometimes three times a month, and sometimes not at all during a month, and earned approximately $180 a day. Whether he worked or not also seemed to be dependent on his work schedule as a deputy sheriff. There is no evidence that the job would be available to him until he reaches ages 65 or 70. What is being compensated is not the loss of projected earnings, but the loss or impairment of Mr. Furlan's earning capacity, which is a capital asset. Using the capital asset approach, I find an award of $15,000 for future loss of earning capacity is 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 Furlan is entitled to an award of $3,000 for future care costs as claimed. The amount is for one-on-one training recommended by Dr. Hershler (once a week for six months, and once a month for six months) on the basis that the cost of each session is $100 a session.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Special damages are agreed at $858.35.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 Health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It is agreed that the Minister of Health is asserting a claim, pursuant to the </w:t>
      </w:r>
      <w:r>
        <w:rPr>
          <w:rFonts w:ascii="arial" w:eastAsia="arial" w:hAnsi="arial" w:cs="arial"/>
          <w:i/>
          <w:color w:val="000000"/>
          <w:sz w:val="20"/>
          <w:lang w:val="en-US" w:eastAsia="en-US" w:bidi="ar-SA"/>
        </w:rPr>
        <w:t>Health Care Costs Recovery Act</w:t>
      </w:r>
      <w:r>
        <w:rPr>
          <w:rFonts w:ascii="arial" w:eastAsia="arial" w:hAnsi="arial" w:cs="arial"/>
          <w:color w:val="000000"/>
          <w:sz w:val="20"/>
          <w:lang w:val="en-US" w:eastAsia="en-US" w:bidi="ar-SA"/>
        </w:rPr>
        <w:t>, in the amount of $12,708.39. Pursuant to the provisions of that act, the defendants shall pay to the "the government", or the Province, the amount of its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F. </w:t>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Furlan is entitled to judgment against the defendants in the following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
        <w:gridCol w:w="314"/>
        <w:gridCol w:w="4496"/>
        <w:gridCol w:w="428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wage loss</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$51,758.76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earning capacity</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loss of earning capacity</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care costs</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$858.35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Health care costs</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$12,708.39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$178,325.50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Furlan is also entitled to the costs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 LOO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9"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58" w:history="1">
        <w:r>
          <w:rPr>
            <w:rFonts w:ascii="arial" w:eastAsia="arial" w:hAnsi="arial" w:cs="arial"/>
            <w:b/>
            <w:bCs/>
            <w:i/>
            <w:color w:val="0077CC"/>
            <w:kern w:val="32"/>
            <w:sz w:val="28"/>
            <w:szCs w:val="32"/>
            <w:u w:val="single"/>
            <w:shd w:val="clear" w:color="auto" w:fill="FFFFFF"/>
            <w:lang w:val="en-US" w:eastAsia="en-US" w:bidi="ar-SA"/>
          </w:rPr>
          <w:t>Gidda v. Hirsch, [2014] B.C.J. No. 1454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Penticton,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A.F. Cullen A.C.J.S.C.</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10,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11,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S37538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Penticton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1454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1286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Kaldep Singh: Gidda, and OK Motel &amp; Mobile Home Park Ltd., Plaintiffs, and Robert (Bob) Hirsch and Ulrich Janisch, Defendants, and Kaldep Singh: Gidda, and OK Motel &amp; Mobile Home Park Ltd., Defendants by way of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0"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6" w:name="Keywords_6"/>
      <w:bookmarkEnd w:id="46"/>
      <w:r>
        <w:rPr>
          <w:rFonts w:ascii="arial" w:eastAsia="arial" w:hAnsi="arial" w:cs="arial"/>
          <w:b/>
          <w:color w:val="000000"/>
          <w:sz w:val="20"/>
          <w:lang w:val="en-US" w:eastAsia="en-US" w:bidi="ar-SA"/>
        </w:rPr>
        <w:t>Civil litigation — Civil procedure — Applications and motions — Conduct of hearing — Adjournments — Trials — Summary trials — Availability — Costs — Particular orders — Special orders — For reprehensible or inefficient conduct — Application by defendants for summary trial and action dismissal allowed — Application by plaintiffs for adjournment and ancillary orders dismissed — Plaintiffs operated mobile home park — Defendants provincial safety authorities — Action sought payment of fees from plaintiffs' fee schedule, general damages and damages for various torts related to defendants' safety compliance enforcement actions — Adjournment to prepare response rejected — Plaintiff had sufficient time to obtain evidence and prepare case — No evidence supported any tort claim — Defendants acting within scope of statutory authority — Special costs warranted for fictitious and clearly unmeritorious aspects of claim — Supreme Court Civil Rules, Rule 9-7.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Torts by the Crown — Liability of officials and employees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Application by defendants for summary trial and action dismissal allowed — Application by plaintiffs for adjournment and ancillary orders dismissed — Plaintiffs operated mobile home park — Defendants provincial safety authorities — Action sought payment of fees from plaintiffs' fee schedule, general damages and damages for various torts related to defendants' safety compliance enforcement actions — Adjournment to prepare response rejected — Plaintiff had sufficient time to obtain evidence and prepare case — No evidence supported any tort claim — Defendants acting within scope of statutory authority — Special costs warranted for fictitious and clearly unmeritorious aspects of claim — Supreme Court Civil Rules, Rule 9-7.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Defences — Statutory compliance — Authority — Application by defendants for summary trial and action dismissal allowed — Application by plaintiffs for adjournment and ancillary orders dismissed — Plaintiffs operated mobile home park — Defendants provincial safety authorities — Action sought payment of fees from plaintiffs' fee schedule, general damages and damages for various torts related to defendants' safety compliance enforcement actions — Adjournment to prepare response rejected — Plaintiff had sufficient time to obtain evidence and prepare case — No evidence supported any tort claim — Defendants acting within scope of statutory authority — Special costs warranted for fictitious and clearly unmeritorious aspects of claim — Supreme Court Civil Rules, Rule 9-7.</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7" w:name="Case Summary_5"/>
            <w:bookmarkEnd w:id="4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for the summary trial and dismissal of the action. Application by the plaintiffs for an adjournment of the summary trial and ancillary orders. The plaintiffs operated a mobile home park. The defendants work as provincial safety officers. The plaintiffs sought payment of fees arising from a fee schedule the plaintiff developed, general damages and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harassment, intimidation, trespass and/or nuisance. The various claims arose in the context of the defendants seeking to enforce compliance with safety legislation at the plaintiffs' mobile home park. The defendants argued that there was no basis in law for the plaintiffs' claims, no evidence to support the allegations and they were acting under statutory authority. They sought special costs on the basis of the plaintiffs' reprehensible conduct. The plaintiffs sought an adjournment to have additional time to prepare responding materials.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8" w:name="Holdings of Court_5"/>
            <w:bookmarkEnd w:id="48"/>
            <w:r>
              <w:rPr>
                <w:rFonts w:ascii="arial" w:eastAsia="arial" w:hAnsi="arial" w:cs="arial"/>
                <w:color w:val="000000"/>
                <w:sz w:val="20"/>
                <w:lang w:val="en-US" w:eastAsia="en-US" w:bidi="ar-SA"/>
              </w:rPr>
              <w:t>HELD: The defendants' application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application was dismissed. The plaintiffs had sufficient time to prepare responding materials and took no steps to conduct discoveries, obtain affidavit evidence or otherwise prepare for the hearing. There was no basis for any of the plaintiffs' claims. The fee schedule had no legal effect. The plaintiffs failed to adduce any evidence to support their various tort claims and the defendants were acting within the scope of their jurisdiction and authority. The harm suffered by the plaintiffs resulted from their own inaction as opposed to any conduct of the defendants. Special costs were appropriate respecting the fictitious fee schedule claim and the clearly unmeritorious harassment and intimidation claims which constituted reprehensible conduct. The special costs applied to 50 per cent of the costs order.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9" w:name="Legislation Cited_5"/>
      <w:bookmarkEnd w:id="4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1"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Electrical Safety Regulations, B.C. Reg. 100/2004, s.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Safety Standards Act, </w:t>
      </w:r>
      <w:hyperlink r:id="rId159" w:history="1">
        <w:r>
          <w:rPr>
            <w:rFonts w:ascii="arial" w:eastAsia="arial" w:hAnsi="arial" w:cs="arial"/>
            <w:i/>
            <w:color w:val="0077CC"/>
            <w:sz w:val="20"/>
            <w:u w:val="single"/>
            <w:shd w:val="clear" w:color="auto" w:fill="FFFFFF"/>
            <w:lang w:val="en-US" w:eastAsia="en-US" w:bidi="ar-SA"/>
          </w:rPr>
          <w:t>SBC 2003, CHAPTER 39, s. 1</w:t>
        </w:r>
      </w:hyperlink>
      <w:r>
        <w:rPr>
          <w:rFonts w:ascii="arial" w:eastAsia="arial" w:hAnsi="arial" w:cs="arial"/>
          <w:color w:val="000000"/>
          <w:sz w:val="20"/>
          <w:lang w:val="en-US" w:eastAsia="en-US" w:bidi="ar-SA"/>
        </w:rPr>
        <w:t>, s. 2(1)(b), s. 2(1)(b)(iv), s. 18(1)(c), s. 18(1)(c)(i), s. 38, s. 40(5), s.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9-7, Rule 9-7(2), Rule 9-7(5), Rule 9-7(11), Rule 9-7(11)(b), Rule 9-7(12), Rule 9-7(15)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0" w:name="Counsel_6"/>
      <w:bookmarkEnd w:id="5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2" style="position:absolute;z-index:2517678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Appeared on his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N. Trevethan.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1" w:name="Judgment_6"/>
      <w:bookmarkEnd w:id="51"/>
      <w:r>
        <w:pict>
          <v:line id="_x0000_s1063" style="position:absolute;z-index:2518190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6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2" w:name="A.F. CULLEN A.C.J.S.C."/>
            <w:bookmarkEnd w:id="52"/>
            <w:r>
              <w:rPr>
                <w:rFonts w:ascii="arial" w:eastAsia="arial" w:hAnsi="arial" w:cs="arial"/>
                <w:b/>
                <w:color w:val="000000"/>
                <w:sz w:val="30"/>
                <w:lang w:val="en-US" w:eastAsia="en-US" w:bidi="ar-SA"/>
              </w:rPr>
              <w:t>A.F. CULLEN A.C.J.S.C.</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There are cross-applications arising in this action. The defendants, Robert Hirsch and Uric Janisch seek a summary trial and dismissal of the plaintiffs' claims against them. They also sought dismissal of their counterclaim against the plaintiffs without costs on the basis that the relief sought in the counterclaim had been provided. I granted the defendants' application for dismissal of their counterclaim without costs at the conclusion of the hearing of these applications on April 10,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seek an adjournment of the defendants' application for summary trial and dismissal of their claims, and they also seek certain ancillary orders, including an order issuing subpoenas for certain witnesses, Glen Lambe of Fortis BC and Isis Messer "trailer tenant of the impugned property" and for the defendants "to be cross-examined".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adjournment sought was to accommodate the witnesses and the cross-examination and "to permit [the plaintiffs] to fully research and complete his materials ... to permit this application to be fully heard as well as for the plaintiffs to fully defend against the defendants' application to strike."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To a significant extent, the plaintiffs' application to adjourn and their ancillary applications engage the question whether the defendants' application for summary trial and dismissal of the plaintiffs' claims are suitable for resolution under Rule 9-7, and as well whether it would be unjust to decide the issues on the application, I heard the parties on both the defendants' substantive application and the plaintiffs' application to adjourn and for ancillary relief and reserved on both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 result, I have concluded that the plaintiffs' application for an adjournment and its ancillary applications must be denied and the defendants' application for dismissal of the plaintiffs' claim must be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OK Motel &amp; Mobile Home Park, is an incorporated company of which the plaintiff, Kaldep Gidda, is an officer and director. The company is the registered owner in fee simple of a commercial property located at 31 Highway 3A, Keremeos, British Columbia, on which it operates a mobile home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Robert Hirsch is employed as an acting Senior Safety Officer for Electrical Technology with the British Columbia Safety Authority ("BCSA"). The defendant Ulrich Janisch is the Provincial Safety Manager for Electrical with the BCSA.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BCSA is a non-profit organization established under the </w:t>
      </w:r>
      <w:r>
        <w:rPr>
          <w:rFonts w:ascii="arial" w:eastAsia="arial" w:hAnsi="arial" w:cs="arial"/>
          <w:i/>
          <w:color w:val="000000"/>
          <w:sz w:val="20"/>
          <w:lang w:val="en-US" w:eastAsia="en-US" w:bidi="ar-SA"/>
        </w:rPr>
        <w:t>Safety Standards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39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SSA</w:t>
      </w:r>
      <w:r>
        <w:rPr>
          <w:rFonts w:ascii="arial" w:eastAsia="arial" w:hAnsi="arial" w:cs="arial"/>
          <w:color w:val="000000"/>
          <w:sz w:val="20"/>
          <w:lang w:val="en-US" w:eastAsia="en-US" w:bidi="ar-SA"/>
        </w:rPr>
        <w:t xml:space="preserve">") with authority to administer the </w:t>
      </w:r>
      <w:r>
        <w:rPr>
          <w:rFonts w:ascii="arial" w:eastAsia="arial" w:hAnsi="arial" w:cs="arial"/>
          <w:i/>
          <w:color w:val="000000"/>
          <w:sz w:val="20"/>
          <w:lang w:val="en-US" w:eastAsia="en-US" w:bidi="ar-SA"/>
        </w:rPr>
        <w:t>SSA</w:t>
      </w:r>
      <w:r>
        <w:rPr>
          <w:rFonts w:ascii="arial" w:eastAsia="arial" w:hAnsi="arial" w:cs="arial"/>
          <w:color w:val="000000"/>
          <w:sz w:val="20"/>
          <w:lang w:val="en-US" w:eastAsia="en-US" w:bidi="ar-SA"/>
        </w:rPr>
        <w:t xml:space="preserve">. Both defendants have statutory authority pursuant to the </w:t>
      </w:r>
      <w:r>
        <w:rPr>
          <w:rFonts w:ascii="arial" w:eastAsia="arial" w:hAnsi="arial" w:cs="arial"/>
          <w:i/>
          <w:color w:val="000000"/>
          <w:sz w:val="20"/>
          <w:lang w:val="en-US" w:eastAsia="en-US" w:bidi="ar-SA"/>
        </w:rPr>
        <w:t>SSA</w:t>
      </w:r>
      <w:r>
        <w:rPr>
          <w:rFonts w:ascii="arial" w:eastAsia="arial" w:hAnsi="arial" w:cs="arial"/>
          <w:color w:val="000000"/>
          <w:sz w:val="20"/>
          <w:lang w:val="en-US" w:eastAsia="en-US" w:bidi="ar-SA"/>
        </w:rPr>
        <w:t xml:space="preserve"> to investigate and take enforcement proceedings against those said to be in violation of provisions of the </w:t>
      </w:r>
      <w:r>
        <w:rPr>
          <w:rFonts w:ascii="arial" w:eastAsia="arial" w:hAnsi="arial" w:cs="arial"/>
          <w:i/>
          <w:color w:val="000000"/>
          <w:sz w:val="20"/>
          <w:lang w:val="en-US" w:eastAsia="en-US" w:bidi="ar-SA"/>
        </w:rPr>
        <w:t>SSA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This case involves investigation and enforcement actions taken by the defendants against the plaintiffs in connection with electrical poles and equipment located in the mobile home park which is owned by the plaintiff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involvement of BCSA with the mobile home park began after the condition of a number of wooden poles conveying electrical lines from the utility poles (supplied by Fortis BC) to individual trailers in the trailer park was drawn to the attention of BCSA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initial investigation was carried on by Richard Frick, a BCSA inspector on March 31, 2011. He noted six poles were in a deteriorated state and at risk of failure which could cause live electrical lines to fall on structures or people in the park. Mr. Frick issued a certificate of electrical inspection requiring the plaintiff, Mr. Gidda, to obtain the services of a licensed electrical contractor to inspect and repair the poles by April 30,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Frick made various unsuccessful attempts to contact Mr. Gidda directly as he was not on the property on March 31. Mr. Frick again went to the park on September 21, 2011 and determined nothing had been done to rectify the defective poles. He issued a compliance order on October 11, 2011 requiring the deficiencies to be rectified within 30 days. The compliance order was not served on the plaintiffs until November 16,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response, on November 27, Mr. Frick received a fax from Mr. Gidda which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received your letter. Your information is wrong trailer number 8 is owned by Gavin Langevin [address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responsibility is not my [OK Motel &amp; Mobile Home Park Ltd.]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responsibility is the owner of the trailer owner. [sic]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talked to Fortis BC about the power pole. It cannot be replaced. The trailer has to be hooked up directly. The trailer is not CSA approved so the hook up is the owner of the trailer number 8 responsibility.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for your letter. Hope to hear from you soon.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Nothing occurred after that until January 2012 when Mr. Hirsch took over the file. He met with Mr. Gidda on January 18, together with a representative of Fortis BC at the site. On February 1, he returned to the site to perform a fuller inspection. He issued a detailed certificate of electrical inspection and extended the date for compliance with the compliance order until February 29, 2012. Mr. Gidda continued to take the position that the poles were not his responsibility until March 2, 2012 when he indicated he would hire an electrical contractor. Mr. Hirsch sent some confirmatory communications and on March 6, 2012 Mr. Gidda sent a fax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we talked on Thursday.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received a letter from Glen Lambe from Fortis. He did certified [sic] that the poles (six) at OK Motel &amp; Home Park Ltd. are owned by OK Motel.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we do what to fix the two poles that are a problem. We do what to work with you on this problem.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Like I said the two problems that we are having one is the weather conditions. The other is the other company has its equipment in for repairs. We would like to get to the problem and fix it as fast as possible we do what to work with you [sic].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think we will get to the problem and fix it as fast as possible. We do want to work with you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Gidda ultimately did not follow through on his commitment "to fix the two poles that are a problem" and declined to have a certified contractor, instead opting to brace the pole himself. He was told that was unsatisfactory.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March 19, 2012, Mr. Hirsch amended the compliance order to reflect the contemporaneous state of deficiencies and requiring the plaintiffs to hire a licensed electrical contractor to correct the deficiencies and obtain a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Mr. Gidda acknowledged receipt of the amended compliance order. He did not appeal it as is provided for in s. 49 of the </w:t>
      </w:r>
      <w:r>
        <w:rPr>
          <w:rFonts w:ascii="arial" w:eastAsia="arial" w:hAnsi="arial" w:cs="arial"/>
          <w:i/>
          <w:color w:val="000000"/>
          <w:sz w:val="20"/>
          <w:lang w:val="en-US" w:eastAsia="en-US" w:bidi="ar-SA"/>
        </w:rPr>
        <w:t>SSA</w:t>
      </w:r>
      <w:r>
        <w:rPr>
          <w:rFonts w:ascii="arial" w:eastAsia="arial" w:hAnsi="arial" w:cs="arial"/>
          <w:color w:val="000000"/>
          <w:sz w:val="20"/>
          <w:lang w:val="en-US" w:eastAsia="en-US" w:bidi="ar-SA"/>
        </w:rPr>
        <w:t>, but sought proof from Mr. Hirsch that it was his responsibility to repair the poles.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Gidda apparently attempted to repair one of the poles on April 6, 2012 but instead caused it to collapse. In the result, the tenant had the pole properly repaired to avoid a loss of electricity.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April 11, 2012, Mr. Gidda asserted the amended compliance order was invalid because BCSA had not proved the repairs were his responsibility. He stated his intention to appeal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April 27, a second compliance order was issued enjoining Mr. Gidda from performing regulated electrical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April 26, Mr. Gidda sent some documents by fax to the BCSA claiming the compliance order was invalid because the individual trailers' owners are liable, not the trailer court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documents also made various demands of the BCSA, including a "fee schedule" that purported to set rates payable to the plaintiff for a variety of "services/costs incurred" in their dealings with the BCSA.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Gidda subsequently informed Mr. Hirsch that he did not intend to comply with the amended compliance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Thereafter, on November 2, 2012, with notice to Mr. Gidda, Mr. Hirsch recommended imposition of a monetary penalty pursuant to s. 40(5) of the </w:t>
      </w:r>
      <w:r>
        <w:rPr>
          <w:rFonts w:ascii="arial" w:eastAsia="arial" w:hAnsi="arial" w:cs="arial"/>
          <w:i/>
          <w:color w:val="000000"/>
          <w:sz w:val="20"/>
          <w:lang w:val="en-US" w:eastAsia="en-US" w:bidi="ar-SA"/>
        </w:rPr>
        <w:t>SSA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After confirming that in the interim nothing had been done to rectify the deficiencies, on December 17, 2012 Mr. Janisch issued a monetary penalty of $2,500 for a failure to comply with the compliance order CO20110148-A0. The monetary penalty was not served on the plaintiffs until February 2013, past the payment deadline.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plaintiffs appealed the penalty to the Safety Standard Appeal Board on March 5, 2013. On March 8, 2013, the monetary penalty was amended to substitute a new date for payment. Mr. Gidda was informed of the change in payment date and that he was still required to comply with the amended compliance order by April 22, 2013 or face the possibility of an additional monetary penalty.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Appeal Board convened an Appeal Management Conference on April 11, ruling at that time that Mr. Gidda's appeal of the amended compliance order was out of time and hence not properly before the Appeal Board. At a second management conference held on April 24, 2013, the Board, on that basis, declined to grant an order for a stay of the enforcement of the order. At that conference, the Board informed Mr. Gidda that the order was in effect, and it was incumbent on him to comply with its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appeal of the monetary penalty was pursued with written submissions and evidence and reserved until March 13, 2014 when reasons were completed. The Board dismissed the plaintiffs' appeal of the monetary penalty.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the meantime, on May 3, 2013, the plaintiff, Mr. Gidda, sent a fax to the BCSA demanding $3,980.00 owed pursuant to the fee schedule referred to above. In a letter of the same date, Mark Guiton, legal counsel to the BCSA, informed Mr. Gidda that "...there is no basis for your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June 17, 2013, Mr. Janisch issued a second monetary penalty in the amount of $5,000 for the plaintiffs' continued failure to comply with the amended compliance order. He was informed that if he continued to fail to remedy the defects after August 1, 2013 it would be considered further non-compliance.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then appealed the second monetary penalty. At an Appeal Management Conference held on July 18, 2013, the Appeal Board ordered that the second appeal be adjourned until one week after a decision had been rendered in the first appeal confirming the validity of the amended compliance order and ordering Mr. Gidda to pay the second monetary penalty by August 18,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On August 9, 2013, the plaintiffs launched this action seeking $3,980 in fees arising from fee schedule, $75,000 in general damages and $75,000 in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harassment, intimidation, trespass and/or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defendants filed their Response to Civil Claim and Counterclaim on August 26, 2013. The plaintiff filed a Response to Counterclaim on August 9, 2013 and a Reply to the defendants' Response to Civil Claim on October 10,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the meantime, because the BCSA informed the tenants who would be affected that they were considering ordering the utility to disconnect the electrical service to the trailer park, the four tenants at issue hired an electrical contractor to relocate the electrical service directly to the mobile homes, thus abandoning the poles which were of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It was on that basis that the defendants applied to have the counterclaim dismissed without costs, which application I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Initially, the defendants' summary trial application was set for January 27, 2014. At that time, the plaintiffs asked counsel for the defendants to adjourn the matter to give him more time to prepare responsive material. Mr. Gidda suggested an adjournment to the week of February 24 and the defendants agreed. Accordingly, the matter was adjourned to February 24. On the February 24th date, the plaintiffs filed their application for a further adjournment to enable Mr. Gidda to fully research and complete his materials to defend against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As noted, his application also seeks that subpoenas be issued for Mr. Lambe and Ms. Messer and that the defendants be cross-examined on their affidavits.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There was not time for the matter to be heard on the February 24 assize and accordingly it was adjourned to April 10, 2014 when both applications were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To the date of the hearing on April 10, 2014, neither party had set down examination for discovery and no trial date had been 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Positions of the Defendant/Applicants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applicants submit that in proceedings under Rule 9-7 when determining whether it is appropriate to grant judgment, the court may consider a number of factors including the complexity of the matter, the prejudice in delay, and the costs of proceeding to a conventional trial, in light of the amount involved, citing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[1989] B.C.J. No. 1003</w:t>
        </w:r>
      </w:hyperlink>
      <w:r>
        <w:rPr>
          <w:rFonts w:ascii="arial" w:eastAsia="arial" w:hAnsi="arial" w:cs="arial"/>
          <w:color w:val="000000"/>
          <w:sz w:val="20"/>
          <w:lang w:val="en-US" w:eastAsia="en-US" w:bidi="ar-SA"/>
        </w:rPr>
        <w:t xml:space="preserve"> (C.A.). The applicants note that it is incumbent on the plaintiffs in an application for dismissal under Rule 9-7 to lead some evidence to either meet the evidence of the applicants or show that the applicants' conduct fell below the applicable standard of care (in the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to show a triable issue or that the case should not be disposed of using the summary trial process. Moreover, the applicants submit that as in an ordinary trial, the plaintiffs must prove the elements of the torts pleaded on a balance of probabilities to avoid dismissal of their claim or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applicants say that there is ample evidence to justify disposition of this matter under Rule 9-7 and that there are no issues of conflict in the evidence or credibility. They contend that "There is no basis at law for the relief the plaintiffs seek in their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applicants note that the plaintiffs' claims consist of a debt owed pursuant to the "fee schedule" referred to by the plaintiff, Mr. Gidda, in his correspondence,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harassment, intimidation, trespass and/or nuisance, and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As to the fee schedule, the applicants rely on </w:t>
      </w:r>
      <w:r>
        <w:rPr>
          <w:rFonts w:ascii="arial" w:eastAsia="arial" w:hAnsi="arial" w:cs="arial"/>
          <w:i/>
          <w:color w:val="000000"/>
          <w:sz w:val="20"/>
          <w:lang w:val="en-US" w:eastAsia="en-US" w:bidi="ar-SA"/>
        </w:rPr>
        <w:t>Meads v. Meads</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2012 ABQB 571</w:t>
        </w:r>
      </w:hyperlink>
      <w:r>
        <w:rPr>
          <w:rFonts w:ascii="arial" w:eastAsia="arial" w:hAnsi="arial" w:cs="arial"/>
          <w:color w:val="000000"/>
          <w:sz w:val="20"/>
          <w:lang w:val="en-US" w:eastAsia="en-US" w:bidi="ar-SA"/>
        </w:rPr>
        <w:t xml:space="preserve"> at paras. 511, 521-523 and 525. In that case, Associate Chief Justice Rooke in a broad-ranging judgment, referred to various unsustainable claims made by punitive litigants including the use of a "fee schedule". In paras. 511 and 521-523, Associate Chief Justice Rooke noted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[511] What is the value of this document? Nothing. It is just another foisted unilateral agreement. Courts have uniformly refused to enforce 'agreements' of this kind: </w:t>
      </w:r>
      <w:r>
        <w:rPr>
          <w:rFonts w:ascii="arial" w:eastAsia="arial" w:hAnsi="arial" w:cs="arial"/>
          <w:i/>
          <w:color w:val="000000"/>
          <w:sz w:val="20"/>
          <w:lang w:val="en-US" w:eastAsia="en-US" w:bidi="ar-SA"/>
        </w:rPr>
        <w:t>Szoo v. Canada (Royal Canadian Mounted Police)</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2011 BCSC 696</w:t>
        </w:r>
      </w:hyperlink>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Jabez Financial Services Inc. (Receiver of) v. Sponagle</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2008 NSSC 112</w:t>
        </w:r>
      </w:hyperlink>
      <w:r>
        <w:rPr>
          <w:rFonts w:ascii="arial" w:eastAsia="arial" w:hAnsi="arial" w:cs="arial"/>
          <w:color w:val="000000"/>
          <w:sz w:val="20"/>
          <w:lang w:val="en-US" w:eastAsia="en-US" w:bidi="ar-SA"/>
        </w:rPr>
        <w:t xml:space="preserve"> at paras. 14, 18, </w:t>
      </w:r>
      <w:hyperlink r:id="rId163" w:history="1">
        <w:r>
          <w:rPr>
            <w:rFonts w:ascii="arial" w:eastAsia="arial" w:hAnsi="arial" w:cs="arial"/>
            <w:i/>
            <w:color w:val="0077CC"/>
            <w:sz w:val="20"/>
            <w:u w:val="single"/>
            <w:shd w:val="clear" w:color="auto" w:fill="FFFFFF"/>
            <w:lang w:val="en-US" w:eastAsia="en-US" w:bidi="ar-SA"/>
          </w:rPr>
          <w:t>264 N.S.R. (2d) 224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Sydorenko v. Manitoba</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2012 MBQB 42</w:t>
        </w:r>
      </w:hyperlink>
      <w:r>
        <w:rPr>
          <w:rFonts w:ascii="arial" w:eastAsia="arial" w:hAnsi="arial" w:cs="arial"/>
          <w:color w:val="000000"/>
          <w:sz w:val="20"/>
          <w:lang w:val="en-US" w:eastAsia="en-US" w:bidi="ar-SA"/>
        </w:rPr>
        <w:t xml:space="preserve"> at para. 5; </w:t>
      </w:r>
      <w:r>
        <w:rPr>
          <w:rFonts w:ascii="arial" w:eastAsia="arial" w:hAnsi="arial" w:cs="arial"/>
          <w:i/>
          <w:color w:val="000000"/>
          <w:sz w:val="20"/>
          <w:lang w:val="en-US" w:eastAsia="en-US" w:bidi="ar-SA"/>
        </w:rPr>
        <w:t>Canada v. Rudolf</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2010 BCSC 565</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[521] Obviously, a 'fee schedule' has no legal effect. A person cannot unilaterally foist obligations of this kind on another or on the state. That is particularly obnoxious when coupled with declarations that an OPCA litigant is outside state and court authority, which for example would allegedly make any detention illegal.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[522] The amounts claimed in Mr. Meads' 'fee schedule' are not atypical. 'Fee schedules' uniformly include dramatic, threatening language and instruct the recipient they have been warned and are to watch their step.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[523] Plain and simple, in these contexts 'fee schedules' are tools of intimidation. These documents are intended to deter state and court officials from the proper exercise of their obligations. They are often physically presented to persons who may have less understanding of their legal effect (ie. none). The language used in 'fee schedules' is intended to heighten those intimidation effects, as is the totally unwarranted 'damage' quantums demanded.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defendants say Mr. Gidda's fee schedule has no effect at law and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With respect to intimidation, the defendants rely on </w:t>
      </w:r>
      <w:r>
        <w:rPr>
          <w:rFonts w:ascii="arial" w:eastAsia="arial" w:hAnsi="arial" w:cs="arial"/>
          <w:i/>
          <w:color w:val="000000"/>
          <w:sz w:val="20"/>
          <w:lang w:val="en-US" w:eastAsia="en-US" w:bidi="ar-SA"/>
        </w:rPr>
        <w:t>Central Canada Potash Company v. Saskatchewan</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[1979] 1 S.C.R. 42</w:t>
        </w:r>
      </w:hyperlink>
      <w:r>
        <w:rPr>
          <w:rFonts w:ascii="arial" w:eastAsia="arial" w:hAnsi="arial" w:cs="arial"/>
          <w:color w:val="000000"/>
          <w:sz w:val="20"/>
          <w:lang w:val="en-US" w:eastAsia="en-US" w:bidi="ar-SA"/>
        </w:rPr>
        <w:t xml:space="preserve"> as establishing the elements of intimidation at para. 802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commits a tort if he delivers a threat to B that he will commit an act or use means unlawful as against B, as a result of which B does or refrains from doing some act which he is entitled to do, thereby causing damage either to himself or to C. The tort is one of intention and the plaintiff, whether it be B or C, must be a person whom A intended to injure.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defendants/applicants say the evidence discloses no use of an unlawful act or means by the defendants against Mr. Gidda and no intent to injure him or his lawful interests. They say, on that basis, the action in intimidation must fail. They also rely on </w:t>
      </w:r>
      <w:r>
        <w:rPr>
          <w:rFonts w:ascii="arial" w:eastAsia="arial" w:hAnsi="arial" w:cs="arial"/>
          <w:i/>
          <w:color w:val="000000"/>
          <w:sz w:val="20"/>
          <w:lang w:val="en-US" w:eastAsia="en-US" w:bidi="ar-SA"/>
        </w:rPr>
        <w:t>Canuck Security v. Gill</w:t>
      </w:r>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2013 BCSC 893</w:t>
        </w:r>
      </w:hyperlink>
      <w:r>
        <w:rPr>
          <w:rFonts w:ascii="arial" w:eastAsia="arial" w:hAnsi="arial" w:cs="arial"/>
          <w:color w:val="000000"/>
          <w:sz w:val="20"/>
          <w:lang w:val="en-US" w:eastAsia="en-US" w:bidi="ar-SA"/>
        </w:rPr>
        <w:t xml:space="preserve"> at para. 13 in support of a proposition that for the tort of intimidation to be made out there is a requirement that the party actually submitted to the threat. They say there is no such evidence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defendants also contend, based on </w:t>
      </w:r>
      <w:r>
        <w:rPr>
          <w:rFonts w:ascii="arial" w:eastAsia="arial" w:hAnsi="arial" w:cs="arial"/>
          <w:i/>
          <w:color w:val="000000"/>
          <w:sz w:val="20"/>
          <w:lang w:val="en-US" w:eastAsia="en-US" w:bidi="ar-SA"/>
        </w:rPr>
        <w:t>Sauve v. Canada</w:t>
      </w:r>
      <w:r>
        <w:rPr>
          <w:rFonts w:ascii="arial" w:eastAsia="arial" w:hAnsi="arial" w:cs="arial"/>
          <w:color w:val="000000"/>
          <w:sz w:val="20"/>
          <w:lang w:val="en-US" w:eastAsia="en-US" w:bidi="ar-SA"/>
        </w:rPr>
        <w:t>, 2011 F.C.J. No. 1321 at para. 44, that when an official follows a course which he believes to be lawful, the tort of intimidation does not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As to the tort of harassment, the applicants submit that this Court does not recognize it "as an independent cause of action" citing </w:t>
      </w:r>
      <w:r>
        <w:rPr>
          <w:rFonts w:ascii="arial" w:eastAsia="arial" w:hAnsi="arial" w:cs="arial"/>
          <w:i/>
          <w:color w:val="000000"/>
          <w:sz w:val="20"/>
          <w:lang w:val="en-US" w:eastAsia="en-US" w:bidi="ar-SA"/>
        </w:rPr>
        <w:t>Prince George (City) v. Riemer</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2010 BCSC 118</w:t>
        </w:r>
      </w:hyperlink>
      <w:r>
        <w:rPr>
          <w:rFonts w:ascii="arial" w:eastAsia="arial" w:hAnsi="arial" w:cs="arial"/>
          <w:color w:val="000000"/>
          <w:sz w:val="20"/>
          <w:lang w:val="en-US" w:eastAsia="en-US" w:bidi="ar-SA"/>
        </w:rPr>
        <w:t xml:space="preserve"> at para. 58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Some authorities have questioned whether harassment even exists as a cause of action in British Columbia. In </w:t>
      </w:r>
      <w:r>
        <w:rPr>
          <w:rFonts w:ascii="arial" w:eastAsia="arial" w:hAnsi="arial" w:cs="arial"/>
          <w:i/>
          <w:color w:val="000000"/>
          <w:sz w:val="20"/>
          <w:lang w:val="en-US" w:eastAsia="en-US" w:bidi="ar-SA"/>
        </w:rPr>
        <w:t>Total Credit Recovery (B.C.) Ltd. v. Roach</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2007 BCSC 530</w:t>
        </w:r>
      </w:hyperlink>
      <w:r>
        <w:rPr>
          <w:rFonts w:ascii="arial" w:eastAsia="arial" w:hAnsi="arial" w:cs="arial"/>
          <w:color w:val="000000"/>
          <w:sz w:val="20"/>
          <w:lang w:val="en-US" w:eastAsia="en-US" w:bidi="ar-SA"/>
        </w:rPr>
        <w:t xml:space="preserve"> at para. 45, Koenigsberg J. found that "the weight of authority in this Province is against the development of such a tort". Courts in other provinces agree and find that harassment has been characterized as a possible aspect of other accepted torts, such as intentional infliction of mental suffering (</w:t>
      </w:r>
      <w:r>
        <w:rPr>
          <w:rFonts w:ascii="arial" w:eastAsia="arial" w:hAnsi="arial" w:cs="arial"/>
          <w:i/>
          <w:color w:val="000000"/>
          <w:sz w:val="20"/>
          <w:lang w:val="en-US" w:eastAsia="en-US" w:bidi="ar-SA"/>
        </w:rPr>
        <w:t>Paso Services Ltd. v. Ratz</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2008 SKQB 356</w:t>
        </w:r>
      </w:hyperlink>
      <w:r>
        <w:rPr>
          <w:rFonts w:ascii="arial" w:eastAsia="arial" w:hAnsi="arial" w:cs="arial"/>
          <w:color w:val="000000"/>
          <w:sz w:val="20"/>
          <w:lang w:val="en-US" w:eastAsia="en-US" w:bidi="ar-SA"/>
        </w:rPr>
        <w:t xml:space="preserve"> at para. 50, </w:t>
      </w:r>
      <w:hyperlink r:id="rId170" w:history="1">
        <w:r>
          <w:rPr>
            <w:rFonts w:ascii="arial" w:eastAsia="arial" w:hAnsi="arial" w:cs="arial"/>
            <w:i/>
            <w:color w:val="0077CC"/>
            <w:sz w:val="20"/>
            <w:u w:val="single"/>
            <w:shd w:val="clear" w:color="auto" w:fill="FFFFFF"/>
            <w:lang w:val="en-US" w:eastAsia="en-US" w:bidi="ar-SA"/>
          </w:rPr>
          <w:t>322 Sask. R. 79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Lynch v. Westario Power Inc.</w:t>
      </w:r>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[2009] O.J. No. 2927</w:t>
        </w:r>
      </w:hyperlink>
      <w:r>
        <w:rPr>
          <w:rFonts w:ascii="arial" w:eastAsia="arial" w:hAnsi="arial" w:cs="arial"/>
          <w:color w:val="000000"/>
          <w:sz w:val="20"/>
          <w:lang w:val="en-US" w:eastAsia="en-US" w:bidi="ar-SA"/>
        </w:rPr>
        <w:t xml:space="preserve"> at paras. 66-69 (S.C.J.)).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applicants also rely on </w:t>
      </w:r>
      <w:r>
        <w:rPr>
          <w:rFonts w:ascii="arial" w:eastAsia="arial" w:hAnsi="arial" w:cs="arial"/>
          <w:i/>
          <w:color w:val="000000"/>
          <w:sz w:val="20"/>
          <w:lang w:val="en-US" w:eastAsia="en-US" w:bidi="ar-SA"/>
        </w:rPr>
        <w:t>Total Credit Recovery (B.C.) Ltd. v. Roach</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2007 BCSC 530</w:t>
        </w:r>
      </w:hyperlink>
      <w:r>
        <w:rPr>
          <w:rFonts w:ascii="arial" w:eastAsia="arial" w:hAnsi="arial" w:cs="arial"/>
          <w:color w:val="000000"/>
          <w:sz w:val="20"/>
          <w:lang w:val="en-US" w:eastAsia="en-US" w:bidi="ar-SA"/>
        </w:rPr>
        <w:t xml:space="preserve"> which found that the tort of harassment did not exist independent of statutory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applicants submit that even hypothesizing an independent tort of harassment as the court did in </w:t>
      </w:r>
      <w:r>
        <w:rPr>
          <w:rFonts w:ascii="arial" w:eastAsia="arial" w:hAnsi="arial" w:cs="arial"/>
          <w:i/>
          <w:color w:val="000000"/>
          <w:sz w:val="20"/>
          <w:lang w:val="en-US" w:eastAsia="en-US" w:bidi="ar-SA"/>
        </w:rPr>
        <w:t>Mainland Sawmills Ltd. et al v. IWA - Canada et al</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2006 BCSC 1195</w:t>
        </w:r>
      </w:hyperlink>
      <w:r>
        <w:rPr>
          <w:rFonts w:ascii="arial" w:eastAsia="arial" w:hAnsi="arial" w:cs="arial"/>
          <w:color w:val="000000"/>
          <w:sz w:val="20"/>
          <w:lang w:val="en-US" w:eastAsia="en-US" w:bidi="ar-SA"/>
        </w:rPr>
        <w:t>, the evidence falls short of establishing the elements of the tort consisting of "... outrageous conduct by the defendant, the defendant's intention of causing reckless disregard of causing emotional distress, the plaintiff's suffering of severe or extreme emotional distress, and the actual and proximate causation of the emotional distress by the defendant's outrageous conduct."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applicants further submit that the plaintiff's claim in trespass is defeated by the authority conferred on the defendants under s. 18(1)(c) of the </w:t>
      </w:r>
      <w:r>
        <w:rPr>
          <w:rFonts w:ascii="arial" w:eastAsia="arial" w:hAnsi="arial" w:cs="arial"/>
          <w:i/>
          <w:color w:val="000000"/>
          <w:sz w:val="20"/>
          <w:lang w:val="en-US" w:eastAsia="en-US" w:bidi="ar-SA"/>
        </w:rPr>
        <w:t>SSA</w:t>
      </w:r>
      <w:r>
        <w:rPr>
          <w:rFonts w:ascii="arial" w:eastAsia="arial" w:hAnsi="arial" w:cs="arial"/>
          <w:color w:val="000000"/>
          <w:sz w:val="20"/>
          <w:lang w:val="en-US" w:eastAsia="en-US" w:bidi="ar-SA"/>
        </w:rPr>
        <w:t xml:space="preserve">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(1) For the purposes of this Act and in the course of performing their duties, safety officers may exercise any or all of the following powers and any other powers assigned to them under the regulations: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there are reasonable grounds to do so, enter any premises at any reasonable time for the purpose of</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inspecting regulated work, regulated products and records respecting regulated work or regulated products, or</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investigating any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defendants note that s. 1 of the </w:t>
      </w:r>
      <w:r>
        <w:rPr>
          <w:rFonts w:ascii="arial" w:eastAsia="arial" w:hAnsi="arial" w:cs="arial"/>
          <w:i/>
          <w:color w:val="000000"/>
          <w:sz w:val="20"/>
          <w:lang w:val="en-US" w:eastAsia="en-US" w:bidi="ar-SA"/>
        </w:rPr>
        <w:t>SSA</w:t>
      </w:r>
      <w:r>
        <w:rPr>
          <w:rFonts w:ascii="arial" w:eastAsia="arial" w:hAnsi="arial" w:cs="arial"/>
          <w:color w:val="000000"/>
          <w:sz w:val="20"/>
          <w:lang w:val="en-US" w:eastAsia="en-US" w:bidi="ar-SA"/>
        </w:rPr>
        <w:t xml:space="preserve">, together with s. 2(1)(b) establish that electrical equipment is a regulated product within the meaning of s. 18(1)(c)(i) and under the </w:t>
      </w:r>
      <w:r>
        <w:rPr>
          <w:rFonts w:ascii="arial" w:eastAsia="arial" w:hAnsi="arial" w:cs="arial"/>
          <w:i/>
          <w:color w:val="000000"/>
          <w:sz w:val="20"/>
          <w:lang w:val="en-US" w:eastAsia="en-US" w:bidi="ar-SA"/>
        </w:rPr>
        <w:t>Electrical Safety Regulations</w:t>
      </w:r>
      <w:r>
        <w:rPr>
          <w:rFonts w:ascii="arial" w:eastAsia="arial" w:hAnsi="arial" w:cs="arial"/>
          <w:color w:val="000000"/>
          <w:sz w:val="20"/>
          <w:lang w:val="en-US" w:eastAsia="en-US" w:bidi="ar-SA"/>
        </w:rPr>
        <w:t>, B.C. Reg. 100/2004, electrical equipment includes poles. The defendants submit, accordingly, that the various officials had reasonable grounds and authority to attend at the plaintiffs' premises to investigate or inspect the electrical equipment and were not acting without jurisdiction. The applicants further contend that they have a complete defence to the tort of trespass for those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defendants rely on the same argument with respect to the claim in nuisance which requires the plaintiffs to prove an unreasonable interference with their enjoyment and use of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defendants assert that the plaintiffs have advanced no evidentiary basis of any standard of care or breach of a standard of care amounting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nor have they led any evidence of damage in response to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Finally, the defendants argue that there is no evidentiary basis for the relief the plaintiffs seek, including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defendants seek an order of special costs on the basis of </w:t>
      </w:r>
      <w:r>
        <w:rPr>
          <w:rFonts w:ascii="arial" w:eastAsia="arial" w:hAnsi="arial" w:cs="arial"/>
          <w:i/>
          <w:color w:val="000000"/>
          <w:sz w:val="20"/>
          <w:lang w:val="en-US" w:eastAsia="en-US" w:bidi="ar-SA"/>
        </w:rPr>
        <w:t>Meads v. Meads, supra</w:t>
      </w:r>
      <w:r>
        <w:rPr>
          <w:rFonts w:ascii="arial" w:eastAsia="arial" w:hAnsi="arial" w:cs="arial"/>
          <w:color w:val="000000"/>
          <w:sz w:val="20"/>
          <w:lang w:val="en-US" w:eastAsia="en-US" w:bidi="ar-SA"/>
        </w:rPr>
        <w:t>, at para. 525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Punitive damages are warranted when a person bases a legal action or files a spurious lien or personal property claim on the basis of a foisted unilateral agreement. The courts have authority to indemnify the legal costs of a litigant who is forced to defend against a foisted unilateral agreement scheme: </w:t>
      </w:r>
      <w:r>
        <w:rPr>
          <w:rFonts w:ascii="arial" w:eastAsia="arial" w:hAnsi="arial" w:cs="arial"/>
          <w:i/>
          <w:color w:val="000000"/>
          <w:sz w:val="20"/>
          <w:lang w:val="en-US" w:eastAsia="en-US" w:bidi="ar-SA"/>
        </w:rPr>
        <w:t>Williams v. Johnston</w:t>
      </w:r>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[2008] O.J. No. 4853</w:t>
        </w:r>
      </w:hyperlink>
      <w:r>
        <w:rPr>
          <w:rFonts w:ascii="arial" w:eastAsia="arial" w:hAnsi="arial" w:cs="arial"/>
          <w:color w:val="000000"/>
          <w:sz w:val="20"/>
          <w:lang w:val="en-US" w:eastAsia="en-US" w:bidi="ar-SA"/>
        </w:rPr>
        <w:t xml:space="preserve"> (QL) at para. 15, affirmed, </w:t>
      </w:r>
      <w:hyperlink r:id="rId174" w:history="1">
        <w:r>
          <w:rPr>
            <w:rFonts w:ascii="arial" w:eastAsia="arial" w:hAnsi="arial" w:cs="arial"/>
            <w:i/>
            <w:color w:val="0077CC"/>
            <w:sz w:val="20"/>
            <w:u w:val="single"/>
            <w:shd w:val="clear" w:color="auto" w:fill="FFFFFF"/>
            <w:lang w:val="en-US" w:eastAsia="en-US" w:bidi="ar-SA"/>
          </w:rPr>
          <w:t>2009 ONCA 335</w:t>
        </w:r>
      </w:hyperlink>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176 A.C.W.S. (3d) 609</w:t>
        </w:r>
      </w:hyperlink>
      <w:r>
        <w:rPr>
          <w:rFonts w:ascii="arial" w:eastAsia="arial" w:hAnsi="arial" w:cs="arial"/>
          <w:color w:val="000000"/>
          <w:sz w:val="20"/>
          <w:lang w:val="en-US" w:eastAsia="en-US" w:bidi="ar-SA"/>
        </w:rPr>
        <w:t xml:space="preserve">, leave refused </w:t>
      </w:r>
      <w:hyperlink r:id="rId175" w:history="1">
        <w:r>
          <w:rPr>
            <w:rFonts w:ascii="arial" w:eastAsia="arial" w:hAnsi="arial" w:cs="arial"/>
            <w:i/>
            <w:color w:val="0077CC"/>
            <w:sz w:val="20"/>
            <w:u w:val="single"/>
            <w:shd w:val="clear" w:color="auto" w:fill="FFFFFF"/>
            <w:lang w:val="en-US" w:eastAsia="en-US" w:bidi="ar-SA"/>
          </w:rPr>
          <w:t>[2009] S.C.C.A. No. 266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MBNA Canada Bank v. Luciani</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2011 ONSC 6347</w:t>
        </w:r>
      </w:hyperlink>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their submissions for special costs, the applicants focus their attention on the fee schedule and the fact that Mr. Gidda was informed by counsel for the B.C. Safety Authority on May 3, 2013 that there was no basis for the debt claimed under the fee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plaintiffs filed their Notice of Application dated February 21, 2014 seeking an adjournment and the ancillary orders which I have referred to, on February 24, 2014. Mr. Gidda swore two affidavits, the first dated and filed February 21, 2014 in support of the plaintiffs' application, and the second dated and filed March 31, 2014 in response to the defendants' application for a summary trial and dismissal of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his first affidavit, Mr. Gidda deposed that he was "still preparing [his] evidence and argument in response to [the defendants'] application." He deposed he was seeking "some additional time to permit [him] to research the legal issues involved from the defendants' perspective and those in favour of [himself], as well as complete his affidavit and questions for [his]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He further deposed that he wished to subpoena one of his tenants, Isis Messier, who had some discussion with an official with the City of Keremeos concerning responsibility for the poles at issue, and he wished to subpoena the City official. Mr. Gidda also deposed he wished to cross-examine the witnesses, Frick, Hirsch and Janisch in his response to the defendants' application bearing on what he told them as to who was financially responsible for the poles and about "where their alleged authority originated to compel [him] to comply with their orders ..." He also deposed as to other issues he wished to cross-examine Mr. Hirsch and Mr. Janisch. Mr. Gidda, on behalf of the plaintiffs, conceded that there was some obligation on the plaintiffs to lead some evidence to meet the evidence of the defendants but indicated that is why he was seeking the adjournment.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As noted, this matter was unable to proceed on the February 24, 2014 assize, and accordingly, it was adjourned to April 10, 2014 when both applications were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his second affidavit sworn March 31, 2014, Mr. Gidda set forth the essence of his claim against the defendants in response to their application. In his affidavit, he deposed as follows at paras. 6 - 9 inclusive:</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Throughout this issue, both Mr. Hirsch and Mr. Janisch have simply assumed that because I was the owner of the trailer park, that I was responsible to pay and repair these electrical poles. This was and is false. I was never under an obligation to comply with these orders from the Defendants, in part as our contract with each tenant required them to be responsible to pay for these repairs.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this, at no time did the Defendants ever ask me to see or provide to them, the contract between OK Motel and each of the respective tenants, to confirm that I had no obligations to the Defendants in respect of their demands. We had no legal obligation even independent of the demands of the Defendants, to pay for and repair these electrical poles. If any damage had occurred, the tenants would have been liable for same, not us.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the witnesses that I require to reply to the Defendant's Application, are a must for me to defend myself and in support of my Application. The witnesses will evidence that at all times, I was not responsible for this repair work on these electrical poles, and thus the Defendants had no jurisdiction to exercise any jurisdiction and/or authority over me to so do. As I read their defence, it is completely predicated upon the fact that they were in the execution of their duties at all times by claiming to compel me to fix these electrical poles, on the basis that they can compel anyone to do anything at anytime. I had no duty at law to maintain nor repair these electrical poles. This was completely the duty of each tenant and both Defendants completely ignored this and failed to properly investigate and confirm this.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date, each of these electrical poles has now been repaired by each tenant, who agreed that they were responsible for these costs, and paid these costs to have each electrical pole repaired, I need to subpoena one such tenant in support of my Application and in response to the Defendant's Application who will give evidence to this effect. His name Isis. He will provide evidence in relation to what our contract said and what duties it imposed upon him, including his duty to repair these electrical poles, and his compliance with the contract to so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It was his contention that the defendants "continually threatened him with fines and or other sanctions if he did not comply with their orders to repair the electrical poles and contends that given the financial responsibility for the maintenance of the poles lay with the individual tenants, that the defendants had no legitimate authority or jurisdiction to do what they were doing including compelling him to effect repairs, attempting to enforce their orders with fines, coming on to his property, and failing to make the requisite inquiry as to whose responsibility it was to effect repairs to the poles.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Gidda, as noted, sought an adjournment of this application so he could more fully advance his claim. It was his contention that the application should be either adjourned to enable him to lead the additional evidence he wishes, or alternatively, that it should be dismissed under Rule 9-7(11)(b) on the footing that the issues raised by this summary trial application are not suitable for disposition under this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Rule 9-7 so far as relevant to the present case reads as follows:</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may apply to the court for judgment under this rule, either on an issue or generally, in any of the following:</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in which a response to civil claim has been filed;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proceeding that has been transferred to the trial list under Rule 22-1 (7) (d);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third party proceeding in which a response to third party notice has been filed;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by way of counterclaim in which a response to counterclaim has been filed.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the court otherwise orders, on a summary trial application, the applicant and each other party of record may tender evidence by any or all of the following:</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affidavit;</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answer, or part of an answer, to interrogatories;</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part of the evidence taken on an examination for discovery;</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admission under Rule 7-7;</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report setting out the opinion of an expert, if</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report conforms with Rule 11-6 (1), or</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orders that the report is admissible even though it does not conform with Rule 11-6 (1).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application heard before or at the same time as the hearing of a summary trial application, the court may</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adjourn the summary trial application, or</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dismiss the summary trial application on the ground that</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raised by the summary trial application are not suitable for disposition under this rule, or</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summary trial application will not assist the efficient resolution of the proceeding.</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before the hearing of a summary trial application, the court may order that</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file and serve, within a fixed time, any of the following on which the party intends to rely in support of the application:</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affidavit;</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notice referred to in subrule (9),</w:t>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 swore or affirmed an affidavit, or an expert whose report is relied on, attend for cross-examination, either before the court or before another person as the court directs,</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cross-examinations on affidavits be completed within a fixed time,</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further evidence be tendered on the application after a fixed time, or</w:t>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file and serve a brief, with such contents as the court may order, within a fixed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hearing of a summary trial application, the court may</w:t>
      </w:r>
    </w:p>
    <w:p>
      <w:pPr>
        <w:numPr>
          <w:numId w:val="3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3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impose terms respecting enforcement of the judgment, including a stay of execution, and</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applicable provisions of the </w:t>
      </w:r>
      <w:r>
        <w:rPr>
          <w:rFonts w:ascii="arial" w:eastAsia="arial" w:hAnsi="arial" w:cs="arial"/>
          <w:i/>
          <w:color w:val="000000"/>
          <w:sz w:val="20"/>
          <w:lang w:val="en-US" w:eastAsia="en-US" w:bidi="ar-SA"/>
        </w:rPr>
        <w:t>Safety Standards Act</w:t>
      </w:r>
      <w:r>
        <w:rPr>
          <w:rFonts w:ascii="arial" w:eastAsia="arial" w:hAnsi="arial" w:cs="arial"/>
          <w:color w:val="000000"/>
          <w:sz w:val="20"/>
          <w:lang w:val="en-US" w:eastAsia="en-US" w:bidi="ar-SA"/>
        </w:rPr>
        <w:t xml:space="preserve">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(1) For the purposes of this Act and in the course of performing their duties, safety officers may exercise any or all of the following powers and any other powers assigned to them under the regulations: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there are reasonable grounds to do so, enter any premises at any reasonable time for the purpose of</w:t>
      </w:r>
    </w:p>
    <w:p>
      <w:pPr>
        <w:numPr>
          <w:numId w:val="4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inspecting regulated work, regulated products and records respecting regulated work or regulated products, or</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investigating any incident;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"regulated product" means a product or thing referred to in section 2 (1) (b), and if specified in the regulations, a part of that product or thing;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(1) This Act and the regulations apply to all of the following: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of the following regulated products as they are defined in the regulations: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electrical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the Regulations (B.C. Reg 100/2004) s. 1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this Act, electrical equipment includes ... poles ... used, designed or intended for use in connection with the generation transmission supply distribution or use of electrical energy for any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Section 38 of the </w:t>
      </w:r>
      <w:r>
        <w:rPr>
          <w:rFonts w:ascii="arial" w:eastAsia="arial" w:hAnsi="arial" w:cs="arial"/>
          <w:i/>
          <w:color w:val="000000"/>
          <w:sz w:val="20"/>
          <w:lang w:val="en-US" w:eastAsia="en-US" w:bidi="ar-SA"/>
        </w:rPr>
        <w:t>Safety Standards Act</w:t>
      </w:r>
      <w:r>
        <w:rPr>
          <w:rFonts w:ascii="arial" w:eastAsia="arial" w:hAnsi="arial" w:cs="arial"/>
          <w:color w:val="000000"/>
          <w:sz w:val="20"/>
          <w:lang w:val="en-US" w:eastAsia="en-US" w:bidi="ar-SA"/>
        </w:rPr>
        <w:t xml:space="preserve">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 (1) A safety officer may, in writing, issue to a person a compliance order under this section if</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opinion of the safety officer there is a risk of personal injury or damage to property because</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regulated work is being carried out in a manner that does not comply with this Act and the regulations, or a requirement, term or condition of an alternative safety approach, or</w:t>
      </w:r>
    </w:p>
    <w:p>
      <w:pPr>
        <w:numPr>
          <w:numId w:val="4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regulated product is being used or disposed of in a manner that does not comply with this Act and the regulations,</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w:t>
      </w:r>
    </w:p>
    <w:p>
      <w:pPr>
        <w:numPr>
          <w:numId w:val="5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fails to comply with a requirement of a safety officer or safety manager who is carrying out duties assigned under this Act, or</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obstructs, hinders, delays or fails to cooperate with or provide necessary assistance to a safety officer or safety manager who is carrying out duties assigned under this Act, or</w:t>
      </w:r>
    </w:p>
    <w:p>
      <w:pPr>
        <w:numPr>
          <w:numId w:val="5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fails to comply with this Act and regulations.</w:t>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compliance order under subsection (1) must</w:t>
      </w:r>
    </w:p>
    <w:p>
      <w:pPr>
        <w:numPr>
          <w:numId w:val="5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name the person to whom the order is addressed,</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specify the action to be taken, stopped or modified,</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state the reasons for the order,</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state that the person may, in writing, request a review by a safety manager under section 49 or may appeal to the appeal board,</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 dated the day the order is made, and</w:t>
      </w:r>
    </w:p>
    <w:p>
      <w:pPr>
        <w:numPr>
          <w:numId w:val="5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 served on the person to whom it is addressed.</w:t>
      </w:r>
    </w:p>
    <w:p>
      <w:pPr>
        <w:numPr>
          <w:numId w:val="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subsection (2) (b), a compliance order may specify any of the following requirements:</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regulated work be stopped, or that practices involving the regulated work be modified;</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regulated product be stopped, closed down or disconnected from energy sources, or that practices involving the regulated product be modified;</w:t>
      </w:r>
    </w:p>
    <w:p>
      <w:pPr>
        <w:numPr>
          <w:numId w:val="6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advertising, display or disposal of a regulated product be stopped;</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any other action by a person be taken, modified or stopped if necessary to prevent, avoid or reduce risk of personal injury or damage to property.</w:t>
      </w:r>
    </w:p>
    <w:p>
      <w:pPr>
        <w:numPr>
          <w:numId w:val="6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safety officer may amend a compliance order and subsection (2) applies.</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circumstances that gave rise to a compliance order are no longer present, a safety officer may terminate the compliance order by providing the person to whom the order is addressed with written permission to resume the work or activity detailed in the order.</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Regulated work or a regulated product that has been closed down, stopped, disconnected or turned off must not be started, reconnected or turned on again except</w:t>
      </w:r>
    </w:p>
    <w:p>
      <w:pPr>
        <w:numPr>
          <w:numId w:val="6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provided for in the order, or</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written permission of a safety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conclude that the application brought by the plaintiffs for an adjournment and ancillary orders should be denied. It is clear from the provisions of Rule 9-7 that it was open to the plaintiffs to set down and conduct examinations for discovery of the defendants and use that discovery in opposing the relief sought in this application. It was equally open to the plaintiffs to obtain affidavit evidence from the tenant whom he wished to call to testify and any Keremeos City official or employee to use in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plaintiffs took no steps to either conduct discoveries or obtain affidavit evidence, and in my view not established a basis to adjourn this application to permit the examinations and/or cross-examinations being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Moreover, the plaintiffs have had ample time since the adjournment of this matter from the February 24 assize to April 10, 2014 to complete the necessary preparations in response to this application. In my view, granting another adjournment would simply delay the resolution of this matter without addressing the central issue in this case, which is whether the defendants were acting within the scope of their jurisdiction and authority in taking the various steps which they did in relation to the poles, and in relation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Although I understand the plaintiffs' position is that the ultimate financial responsibility for remediating the poles to abate the safety hazard that they presented lay with the mobile home park tenants, that is not determinative of whether the defendants were acting within their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Mr. Gidda's submissions concerning the torts of intimidation, harassment, trespass, nuisance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all rely on his contention that the defendants should have been dealing with the tenants who were using the poles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Mr. Gidda provided no evidence that he sought to bring the compliance order or the concerns of the officials of the B.C. Safety Authority to the attention of the plaintiff company's tenants. Although in his affidavit sworn March 31, 2014, he asserts his belief that the defendants obtained "a copy of the contract between us and one of the tenants" which "expressly states therein that it is the duty of each tenant to pay for and make those repairs", he has furnished no evidence of having provided such a contract to the defendants. Nor has he provided any authority that the plaintiff company as owner of the property on which the unsafe poles were located was not an appropriate entity to deal with under the </w:t>
      </w:r>
      <w:r>
        <w:rPr>
          <w:rFonts w:ascii="arial" w:eastAsia="arial" w:hAnsi="arial" w:cs="arial"/>
          <w:i/>
          <w:color w:val="000000"/>
          <w:sz w:val="20"/>
          <w:lang w:val="en-US" w:eastAsia="en-US" w:bidi="ar-SA"/>
        </w:rPr>
        <w:t>Safety Standards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Looking at all the evidence before me on this application, I accept that the evidence falls short of proving on the balance of probabilities that anything done by the defendants constitutes any of the torts claimed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It is clear from the decision of the Supreme Court of Canada in </w:t>
      </w:r>
      <w:r>
        <w:rPr>
          <w:rFonts w:ascii="arial" w:eastAsia="arial" w:hAnsi="arial" w:cs="arial"/>
          <w:i/>
          <w:color w:val="000000"/>
          <w:sz w:val="20"/>
          <w:lang w:val="en-US" w:eastAsia="en-US" w:bidi="ar-SA"/>
        </w:rPr>
        <w:t>Central Potash Company v. Saskatchewan, supra</w:t>
      </w:r>
      <w:r>
        <w:rPr>
          <w:rFonts w:ascii="arial" w:eastAsia="arial" w:hAnsi="arial" w:cs="arial"/>
          <w:color w:val="000000"/>
          <w:sz w:val="20"/>
          <w:lang w:val="en-US" w:eastAsia="en-US" w:bidi="ar-SA"/>
        </w:rPr>
        <w:t>, that the tort of intimidation requires both an unlawful act or unlawful means against the plaintiffs by the defendants and the consequence that the plaintiffs do some act or refrain from doing an act they were entitled to do thereby causing damage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Here, the plaintiffs have not shown any unlawful act or unlawful means perpetuated by the defendants, nor have they shown any consequence of damage due to the plaintiffs doing an act or refraining from doing such an act they were entitled to do as a result of the "intimidation".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this case, if each of the poles at issue was, by contract between the plaintiff company and its tenants, the financial responsibility of the individual tenant, all Mr. Gidda had to do was to inform the tenants of the issue and require them to make the necessary repairs. That he did not do so and incurred monetary penalties as a result was not a consequence of the defendants' actions, they were a product of his own inaction.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same reasoning applies with respect to the claim of harassment, assuming without deciding it can stand as a cause of action in British Columbia. Nothing done by the defendants in the circumstances of this case could be construed as "outrageous conduct by the defendants" done with the "intention of causing or reckless disregard of causing emotional distress". Equally, there is no evidence that the plaintiffs suffered "extreme emotional distress" caused by such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plaintiffs' claims in trespass and nuisance are similarly deficient. The defendants were acting within their authority under s. 18(1)(c) in going onto the property and inspecting the state of the poles, regardless of whose financial responsibility the remediation of the poles were. The delay in remedying the safety issues which had been identified by the defendants and the subsequent need for compliance, orders and monetary penalties were caused by Mr. Gidda's inexplicable refusal to take the necessary steps to notify his tenants to do what needed to be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Insofar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concerned, as I understand Mr. Gidda's submissions, it is that the defendants made no inquiries of Fortis BC, nor of the City of Kamloops to determine if they (the defendants) had any powers against the plaintiffs personally. As well, Mr. Gidda asserts that the defendants failed to appreciate that the tenants were responsible for the repairs to the poles.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plaintiffs have not advanced evidence supporting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nor have they led any evidence of consequential damages. In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[2008] 2 S.C.R. 114</w:t>
        </w:r>
      </w:hyperlink>
      <w:r>
        <w:rPr>
          <w:rFonts w:ascii="arial" w:eastAsia="arial" w:hAnsi="arial" w:cs="arial"/>
          <w:color w:val="000000"/>
          <w:sz w:val="20"/>
          <w:lang w:val="en-US" w:eastAsia="en-US" w:bidi="ar-SA"/>
        </w:rPr>
        <w:t xml:space="preserve"> at para. 3, the Court observed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successful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requires that the plaintiff demonstrate (1) that the defendant owed him a duty of care; (2) that the defendant's behaviour breached the standard of care; (3) that the plaintiff sustained damage; and (4) that the damage was caused, in fact and in law, by the defendant's breach.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the present case, the plaintiffs have led no evidence of the standard of care applicable to these circumstances or whether it was a breach of the standard of care to deal with the owner of the property on which the poles were situated as opposed to the tenants to whom they were apparently leased. Moreover, the plaintiffs led no evidence that they suffered any damage which was caused in fact and/or in law by the alleged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Insofar as the claim under the "fee schedule" is concerned, I agree with the observations of Rooke ACJ. in </w:t>
      </w:r>
      <w:r>
        <w:rPr>
          <w:rFonts w:ascii="arial" w:eastAsia="arial" w:hAnsi="arial" w:cs="arial"/>
          <w:i/>
          <w:color w:val="000000"/>
          <w:sz w:val="20"/>
          <w:lang w:val="en-US" w:eastAsia="en-US" w:bidi="ar-SA"/>
        </w:rPr>
        <w:t>Meads v. Meads, supra</w:t>
      </w:r>
      <w:r>
        <w:rPr>
          <w:rFonts w:ascii="arial" w:eastAsia="arial" w:hAnsi="arial" w:cs="arial"/>
          <w:color w:val="000000"/>
          <w:sz w:val="20"/>
          <w:lang w:val="en-US" w:eastAsia="en-US" w:bidi="ar-SA"/>
        </w:rPr>
        <w:t>, that a "fee schedule has no legal effect." It is simply a nonsensical concoction designed to hinder and harass those against whom such claims are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It follows that I grant the defendants' application and dismiss this action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defendant applicants sought special costs for this application, relying on </w:t>
      </w:r>
      <w:r>
        <w:rPr>
          <w:rFonts w:ascii="arial" w:eastAsia="arial" w:hAnsi="arial" w:cs="arial"/>
          <w:i/>
          <w:color w:val="000000"/>
          <w:sz w:val="20"/>
          <w:lang w:val="en-US" w:eastAsia="en-US" w:bidi="ar-SA"/>
        </w:rPr>
        <w:t>Meads v. Meads</w:t>
      </w:r>
      <w:r>
        <w:rPr>
          <w:rFonts w:ascii="arial" w:eastAsia="arial" w:hAnsi="arial" w:cs="arial"/>
          <w:color w:val="000000"/>
          <w:sz w:val="20"/>
          <w:lang w:val="en-US" w:eastAsia="en-US" w:bidi="ar-SA"/>
        </w:rPr>
        <w:t xml:space="preserve"> at para. 525,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Concorde Industrial Services Ltd. v. 371773 B.C. Ltd.</w:t>
      </w:r>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2002 BCSC 900</w:t>
        </w:r>
      </w:hyperlink>
      <w:r>
        <w:rPr>
          <w:rFonts w:ascii="arial" w:eastAsia="arial" w:hAnsi="arial" w:cs="arial"/>
          <w:color w:val="000000"/>
          <w:sz w:val="20"/>
          <w:lang w:val="en-US" w:eastAsia="en-US" w:bidi="ar-SA"/>
        </w:rPr>
        <w:t xml:space="preserve"> at para. 27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In my opinion, the plaintiff's failure to come to terms with the manifest deficiency in its claim at an early stage in the proceedings represents the sort of reckless indifference to the legitimate interests of the defendant as is envisioned by the authorities which cite reprehensible conduct as a basis for awarding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 conclude that special costs are appropriate in this case insofar as the claim pursuant to the fee schedule, the torts of harassment and the intimidation are concerned. The fee schedule as I noted is a fictional claim. It has no basis in law or logic and has been thoroughly discredited in </w:t>
      </w:r>
      <w:r>
        <w:rPr>
          <w:rFonts w:ascii="arial" w:eastAsia="arial" w:hAnsi="arial" w:cs="arial"/>
          <w:i/>
          <w:color w:val="000000"/>
          <w:sz w:val="20"/>
          <w:lang w:val="en-US" w:eastAsia="en-US" w:bidi="ar-SA"/>
        </w:rPr>
        <w:t>Meads v. Meads, supra</w:t>
      </w:r>
      <w:r>
        <w:rPr>
          <w:rFonts w:ascii="arial" w:eastAsia="arial" w:hAnsi="arial" w:cs="arial"/>
          <w:color w:val="000000"/>
          <w:sz w:val="20"/>
          <w:lang w:val="en-US" w:eastAsia="en-US" w:bidi="ar-SA"/>
        </w:rPr>
        <w:t>, and other decisions referenced in that judgment. The plaintiffs' pursuit of such a claim meets the definition of "reprehensible conduct" referred to by the authorities as a basis for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similarly conclude that the absence of any merit to the plaintiffs' claims in intimidation and harassment justify an award of special costs. Those allegations connote serious wrongdoing on the part of the defendants and in the obvious absence of any evidence of "unlawful acts", or "outrageous conduct", necessary to prove such claims, bringing an action based upon them similarly constitutes "reprehensible conduct" which requires redress through an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claims based on trespass, nuisance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although fatally deficient, do not carry such a pejorative connotation and may be seen as a misguided attempt to right a perceived wrong. I will not order special costs in relation to that aspect of the case, but will order costs on Scale B. In the result, the defendants will be awarded 50% of their costs as special costs and 50% of their costs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 CULLEN A.C.J.S.C.</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4"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85" w:history="1">
        <w:r>
          <w:rPr>
            <w:rFonts w:ascii="arial" w:eastAsia="arial" w:hAnsi="arial" w:cs="arial"/>
            <w:b/>
            <w:bCs/>
            <w:i/>
            <w:color w:val="0077CC"/>
            <w:kern w:val="32"/>
            <w:sz w:val="28"/>
            <w:szCs w:val="32"/>
            <w:u w:val="single"/>
            <w:shd w:val="clear" w:color="auto" w:fill="FFFFFF"/>
            <w:lang w:val="en-US" w:eastAsia="en-US" w:bidi="ar-SA"/>
          </w:rPr>
          <w:t>Goertz v. Kujala, [2006] B.C.J. No. 936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Dillon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April 4 - 6, 2006.</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April 27, 2006.</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M035635</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[2006] B.C.J. No. 936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2006 BCSC 667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148 A.C.W.S. (3d) 583</w:t>
      </w:r>
    </w:p>
    <w:p>
      <w:pPr>
        <w:spacing w:before="120" w:line="260" w:lineRule="atLeast"/>
        <w:rPr>
          <w:lang w:val="en-US" w:eastAsia="en-US" w:bidi="ar-SA"/>
        </w:rPr>
      </w:pPr>
      <w:r>
        <w:rPr>
          <w:rFonts w:ascii="arial" w:eastAsia="arial" w:hAnsi="arial" w:cs="arial"/>
          <w:color w:val="000000"/>
          <w:sz w:val="20"/>
          <w:lang w:val="en-US" w:eastAsia="en-US" w:bidi="ar-SA"/>
        </w:rPr>
        <w:t>Between Natalie Goertz, plaintiff, and Kenneth Kujala, defendant, and The Insurance Corporation of British Columbia, third party</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(30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65" style="position:absolute;z-index:25166643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53" w:name="Keywords_7"/>
      <w:bookmarkEnd w:id="53"/>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Stopping — Action for damages for personal injuries suffered in motor vehicle accident allowed — Plaintiff was rear-ended at red light — Accident caused solely by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Damages — General damages — For personal injuries — Non-pecuniary damages, including pain and suffering — Action for damages for personal injuries suffered in motor vehicle accident allowed — Plaintiff suffered soft tissue injuries to neck, shoulders and upper back — Plaintiff awarded $25,000 in non-pecuniary damages.</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Damages — Special damages — Loss of income — Action for damages for personal injuries suffered in motor vehicle accident allowed — Plaintiff awarded $771 for loss of income.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54" w:name="Case Summary_6"/>
            <w:bookmarkEnd w:id="54"/>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Goertz for damages for personal injuries suffered in motor vehicle accident -- Plaintiff was rear ended by vehicle driven by defendant Kujala -- Defendant argued that plaintiff changed lanes -- Plaintiff said she was stopped at red light and that defendant was unable to stop and hit plaintiff's car -- Plaintiff's head hit side of her vehicle -- Plaintiff suffered headaches and was off wok for 10 days -- Plaintiff suffered soft tissue injuries to neck, shoulders and upper back -- Plaintiff successfully completed physical test to gain entrance to RCMP -- Plaintiff suffered shoulder discomfort for next six to nine months -- Plaintiff continued to be active in sports -- Fourteen months after accident plaintiff complained of increased shoulder pain and decreased motion -- Medical evidence indicated plaintiff had fully recovered from soft tissue injuries by March 2005 -- Plaintiff now worked as police officer HELD: Action allowed -- Court accepted plaintiff's evidence -- Accident occurred solely as a result of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stop at red light -- Non-pecuniary damages assessed at $25,000 -- Loss of income assessed at $771 -- Loss of future earning capacity not established -- No evidence that plaintiff was less employable -- No evidence that plaintiff unable to perform all duties of police officer because of accident. </w:t>
            </w:r>
            <w:r>
              <w:rPr>
                <w:lang w:val="en-US" w:eastAsia="en-US" w:bidi="ar-SA"/>
              </w:rPr>
              <w:cr/>
            </w:r>
          </w:p>
          <w:p>
            <w:pPr>
              <w:rPr>
                <w:lang w:val="en-US" w:eastAsia="en-US" w:bidi="ar-SA"/>
              </w:rPr>
            </w:pPr>
          </w:p>
        </w:tc>
      </w:tr>
    </w:tbl>
    <w:p>
      <w:pPr>
        <w:jc w:val="both"/>
        <w:rPr>
          <w:lang w:val="en-US" w:eastAsia="en-US" w:bidi="ar-SA"/>
        </w:rPr>
      </w:pPr>
      <w:bookmarkStart w:id="55" w:name="Legislation Cited_6"/>
      <w:bookmarkEnd w:id="55"/>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66" style="position:absolute;z-index:25171763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Rules of Court, Rule 66</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Motor Vehicle Act, </w:t>
      </w:r>
      <w:hyperlink r:id="rId186" w:history="1">
        <w:r>
          <w:rPr>
            <w:rFonts w:ascii="arial" w:eastAsia="arial" w:hAnsi="arial" w:cs="arial"/>
            <w:i/>
            <w:color w:val="0077CC"/>
            <w:sz w:val="20"/>
            <w:u w:val="single"/>
            <w:shd w:val="clear" w:color="auto" w:fill="FFFFFF"/>
            <w:lang w:val="en-US" w:eastAsia="en-US" w:bidi="ar-SA"/>
          </w:rPr>
          <w:t>R.S.B.C. 1996, c. 318, s. 152</w:t>
        </w:r>
      </w:hyperlink>
      <w:r>
        <w:rPr>
          <w:lang w:val="en-US" w:eastAsia="en-US" w:bidi="ar-SA"/>
        </w:rPr>
        <w:cr/>
      </w:r>
    </w:p>
    <w:p>
      <w:pPr>
        <w:keepNext/>
        <w:spacing w:before="240" w:line="340" w:lineRule="atLeast"/>
        <w:rPr>
          <w:lang w:val="en-US" w:eastAsia="en-US" w:bidi="ar-SA"/>
        </w:rPr>
      </w:pPr>
      <w:bookmarkStart w:id="56" w:name="Counsel_7"/>
      <w:bookmarkEnd w:id="56"/>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67" style="position:absolute;z-index:25176883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J.M. Cameron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Third Party, ICBC: D.C. MacDougall</w:t>
      </w:r>
      <w:r>
        <w:rPr>
          <w:lang w:val="en-US" w:eastAsia="en-US" w:bidi="ar-SA"/>
        </w:rPr>
        <w:cr/>
      </w:r>
    </w:p>
    <w:p>
      <w:pPr>
        <w:spacing w:after="240"/>
        <w:rPr>
          <w:lang w:val="en-US" w:eastAsia="en-US" w:bidi="ar-SA"/>
        </w:rPr>
      </w:pPr>
      <w:bookmarkStart w:id="57" w:name="Judgment_7"/>
      <w:bookmarkEnd w:id="57"/>
      <w:r>
        <w:pict>
          <v:line id="_x0000_s1068" style="position:absolute;z-index:25182003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58" w:name="DILLON J."/>
            <w:bookmarkEnd w:id="58"/>
            <w:r>
              <w:rPr>
                <w:rFonts w:ascii="arial" w:eastAsia="arial" w:hAnsi="arial" w:cs="arial"/>
                <w:b/>
                <w:color w:val="000000"/>
                <w:sz w:val="30"/>
                <w:lang w:val="en-US" w:eastAsia="en-US" w:bidi="ar-SA"/>
              </w:rPr>
              <w:t>DILLON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Natalie Goertz ("Goertz"), claims damages for personal injury and loss suffered in a motor vehicle accident on October 9, 2002, in this Rule 66 trial. Liability is denied by the third party, Insurance Corporation of British Columbia ("ICBC"). Although the defendant appeared as a witness, he did not file a statement of defence.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accident occurred in the early afternoon on the heavily trafficked Brunette Avenue in New Westminster near the corner of Braid Avenue. The plaintiff was on her way to work at Starbucks when she was rear ended by a vehicle driven by the defendant. Although the third party pleaded that the accident occurred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and pleaded certain specific provisions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ICBC failed to plead the theory of the defence, that the accident occurred as a result of the plaintiff changing lanes unsafely and without signalling contrary to section 152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 amendment to pleadings was sought during argument. The defendant testified that the plaintiff changed lanes. A general plea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made. In the circumstances, the amendment is allowed as it conforms to the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testified that she was stopped at the red light at Brunette and Braid when she noticed, in her rear view mirror, a car changing lanes rapidly and the driver looking sideward such that the plaintiff feared that he was not going to stop. The plaintiff said that the defendant was fully in her lane when he slammed on the brakes but was unable to stop and hit the plaintiff's rear bumper. The plaintiff said that her car moved forward "a little". The plaintiff was wearing her seatbelt. Her head hit the side of her vehicle. Afterwards, the plaintiff said that the defendant urged her to move out of the way and go without exchanging information, but she insisted on calling police and was not feeling well.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 professional limousine driver following the plaintiff in the next lane was also stopped at the red light. She saw the plaintiff's vehicle hit from behind "with good force". She said that it was as if the defendant had not seen the stop light coming. The two vehicles were half a dozen cars away from the light. The witness did not see the defendant's vehicle change lanes before the impact. She said that the plaintiff's vehicle did not change lanes before the impact as the traffic was heavy and there was no place that the vehicle could have gone. The driver gave her card to the defendant, and because the man had said that they should just go, the driver waited to see that the plaintiff was given her card before she left the scene.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said that he was testing the brakes on his vehicle as he proceeded down Brunette despite the heavy traffic when another vehicle pulled in front of him. He braked but could not avoid the collision. He denied that he had changed lanes and said that he was travelling no more than 5-6 kph at point of impact. He said that he was frustrated that the vehicle had cut him off and he expressed anger at the incident. He denied that he had wanted to leave immediately as there was no damage to the vehicles, and that he had been angry and aggressive with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vehicle was damaged in the rear bumper, bending the rebar. Although the estimator said that the damage was more to the right rear bumper, the whole of the bumper and rebar were replaced along with the tie hook. The defendant minimized the damage that occurred to his already damaged vehicle. He did not bother to get the vehicle repaired and said that he had only purchased it for $200. It was examined by an estimator several months after the accident and was found to have a dented hood, left fender and front bumper, and a broken left headlamp as a result of this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prefer the evidence of the plaintiff and the independent professional driver. Although the driver did not see the defendant's vehicle change lanes, she said that she noticed his vehicle just a few moments before the impact and her evidence was otherwise consistent with that of the plaintiff. The defendant's statement that he was testing his brakes before the accident in heavy traffic is not realistic, and his anger after the incident was consistent with the evidence of the plaintiff, the professional driver witness, and his evidence at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 conclude that the accident occurred solely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who failed to stop at the red light and hit the plaintiff's vehicle in the rear, causing her vehicle damage. I accept the testimony of the independent witness who said that there was considerable force, although the impact did not send the plaintiff's vehicle forward significantly.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Before the accident, the plaintiff was active in the military and very focused on a career in law enforcement. She ran every day and regularly attended at the gym for weight training to prepare for police try-out testing.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felt nauseous and dazed immediately following the accident. She went to a local business to call 911 and vomited. Police and ambulance arrived. The plaintiff said that she felt a pinch in her right shoulder and it hurt to lift her arm. Ambulance attendants advised her to go to the hospital. She called her mother who met her at the hospital. She developed a headache by the time she arrived at the hospital which was close by. She was seen by a doctor but went home. She missed her shift at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had headaches for several days and was unable to work for ten days. She saw her medical practitioner after seven days when her pain did not subside. At that time, he reported that the plaintiff was tender over the back of her head, along the neck muscles, along the right rhomboids and both trapezeii. She had some limited range of motion. The doctor concluded that "... she had suffered soft tissue injuries to her neck, shoulders and upper back ... [as well as] muscle contracture headaches ..." due to the motor vehicle accident. He recommended physiotherapy but the plaintiff did not go.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visited her doctor on October 21, 2002. By this time, she had sore shoulder, rhomboids, and mid back, but her neck displayed full range of motion and was no longer tender. The doctor noted a seatbelt contusion on the plaintiff's breast which was tender.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returned to work on October 23, 2002. She was initially given lighter duties but eventually returned to regular work. Upon return, she worked more than her average weekly hours of between 30-35 hours, working over 47 hours in the first week back.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By October 28, 2002, the plaintiff said that her shoulder and neck were better with massage therapy. She was back at the gym. She was not tender in her neck, shoulders, or back, and she had a good range of motion. She was sufficiently improved that the doctor said that she was fit to undergo physical testing required to gain entrance into the Royal Canadian Mounted Police ("RCMP").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did not see her doctor again for five months. She successfully completed the RCMP physical test, although she felt uncomfortable. In the next weeks and months, the plaintiff said that her shoulder hurt on and off, sometimes quite badly, and apparently at random. She missed some excursions and weekly activities as a military reservist.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By March 2003, the doctor said that the plaintiff reported occasional right shoulder pain that was helped with massage therapy. There was tenderness over her right shoulder but a full range of motion and no other complaints.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continued to suffer shoulder discomfort for the next 6 to 9 months but pushed through with her activities. Clearly, the plaintiff was not to be deterred from her goals and she pursued them through any discomfort with occasional flare-ups of pain. The plaintiff obtained her Red Cross certificate, played softball, and fought forest fires as a military infantryman. The firefighting was extremely demanding but the plaintiff was able to continue with a sore shoulder and lots of recuperation time. She slept poorly. In October 2003, she ran a half marathon and did the YWCA adult swim first aid and rescue course without symptoms. She took four college courses whilst continuing her almost full time employment at Starbucks and military training. She also continued with her seasonal work as a cosmetics salesperson.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However, in December 2003, 14 months after the accident, the plaintiff attended her doctor with increased shoulder pain and decreased motion. She was advised to continue with activities, ibuprofen, and massage.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Approximately a year and a half after the accident, in March 2004, the plaintiff saw her doctor with ongoing neck, shoulder, and back pain that had been exacerbated by working long hours at several jobs. The doctor advised her to work less, resume massage, and prescribed an anti-inflammatory. The plaintiff did not reduce her hours at work, describing herself as "a very resilient person". However, the plaintiff lost about 20 hours of work in May 2004 due to another non-related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only medical evidence, from the plaintiff's family physician, concluded that the plaintiff had fully recovered from her soft tissue injuries without any disability by March 2005, about two and a half years following the accident. The doctor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However, since Ms. Goertz works very hard and leads a very physically active lifestyle she may be at increased risk of reinjury to the neck, shoulders and upper back in the future. This may require further treatment involving physiotherapy, massage therapy, anti-inflammatories and analgesics.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It is true that the later visits to the doctor were purposefully driven to secure extended health benefits and vacation leave, and that there were other visits when the plaintiff did not complain of any symptoms related to the accident, but I accept that plaintiff's testimony that she continued to suffer pain in her shoulder, much to her own surprise and consternation.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Although the third party attempted to suggest that the plaintiff suffered from a pre-existing neck, shoulder, and upper back strain before the accident, I find that these had resolved before the accident as reported by the family practitioner. Some ten months before the accident, the plaintiff was stressed due to family problems and work. She attended to her doctor and massage therapist and took a month from work. The time off was more to help her father who had recently suffered a stroke, and to help her family through her parents marital breakdown. I do not conclude that these effects were in play at the time of the accident. However, the discomfort was in the same area as the accident injury and the doctor said that this contributed to the likelihood of re-injury.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Since the last visit to the doctor for continuing pain, the plaintiff graduated from training with the RCMP and has been continuously employed as a probationary police officer which occasionally requires tremendous exertion. The plaintiff is above average in her development as a police officer and has performed well. She has, however, found it uncomfortable to sit in the car and wear the ten pound duty belt. An adjustment was made so that she could wear the belt with suspenders for better weight distribution, suffering a loss of safety for less aggravation to her shoulder. This adjustment is commonly made as a matter of preference among officers. She continues to have sporadic shoulder pain, especially at the end of her block of work shifts. She treats herself with medication, heat, and rest. She reported that she "holds herself back" to be safe.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suffered headaches and neck pain for two weeks following the accident. Her neck pain had resolved within two weeks but shoulder pain persisted for a month, becoming occasional within five months. The plaintiff managed to continue with physical activities through shoulder discomfort without serious aggravation requiring medical intervention for the most part. There were two flare-ups in two and a half years that required medical attention. The plaintiff continues to suffer from occasional shoulder pain three and a half years after the accident and is at risk for re-injury given her very active lifestyle and occupation. The plaintiff has continued with her very active lifestyle because of her career focus and history of keen fitness. She has passed the RCMP fitness tests recently with better qualifying times and weights than in 2002. She has, however, made adjustments to her work and mentality to accommodate her concern for re-injury.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cited several cases suggesting an award for non-pecuniary damages in the range of $30,000-$40,000. These were generally characterized by injuries more severe or long lasting than those of the plaintiff. This included severe headaches lasting six months, constant shoulder pain for 9 months, mood changes, sleep disruption, and partial disability from work after two and a half years (</w:t>
      </w:r>
      <w:r>
        <w:rPr>
          <w:rFonts w:ascii="arial" w:eastAsia="arial" w:hAnsi="arial" w:cs="arial"/>
          <w:b/>
          <w:i/>
          <w:color w:val="000000"/>
          <w:sz w:val="20"/>
          <w:lang w:val="en-US" w:eastAsia="en-US" w:bidi="ar-SA"/>
        </w:rPr>
        <w:t>Bass v. Jellema</w:t>
      </w:r>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(1998), 48 B.C.L.R. (3d) 310</w:t>
        </w:r>
      </w:hyperlink>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158 D.L.R. (4th) 633</w:t>
        </w:r>
      </w:hyperlink>
      <w:r>
        <w:rPr>
          <w:rFonts w:ascii="arial" w:eastAsia="arial" w:hAnsi="arial" w:cs="arial"/>
          <w:color w:val="000000"/>
          <w:sz w:val="20"/>
          <w:lang w:val="en-US" w:eastAsia="en-US" w:bidi="ar-SA"/>
        </w:rPr>
        <w:t xml:space="preserve"> (C.A.); continuing chronic and intermittent neck and shoulder pain after three years with intermittent headache and regular physiotherapy (</w:t>
      </w:r>
      <w:r>
        <w:rPr>
          <w:rFonts w:ascii="arial" w:eastAsia="arial" w:hAnsi="arial" w:cs="arial"/>
          <w:b/>
          <w:i/>
          <w:color w:val="000000"/>
          <w:sz w:val="20"/>
          <w:lang w:val="en-US" w:eastAsia="en-US" w:bidi="ar-SA"/>
        </w:rPr>
        <w:t>Bains v. Prasad</w:t>
      </w:r>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[2005] B.C.J. No. 2643</w:t>
        </w:r>
      </w:hyperlink>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2005 BCSC 1694</w:t>
        </w:r>
      </w:hyperlink>
      <w:r>
        <w:rPr>
          <w:rFonts w:ascii="arial" w:eastAsia="arial" w:hAnsi="arial" w:cs="arial"/>
          <w:color w:val="000000"/>
          <w:sz w:val="20"/>
          <w:lang w:val="en-US" w:eastAsia="en-US" w:bidi="ar-SA"/>
        </w:rPr>
        <w:t>); daily headaches and neck pain for three months continuing to six months with inability to perform strenuous activity for two years and intermittent flare-up thereafter (</w:t>
      </w:r>
      <w:r>
        <w:rPr>
          <w:rFonts w:ascii="arial" w:eastAsia="arial" w:hAnsi="arial" w:cs="arial"/>
          <w:b/>
          <w:i/>
          <w:color w:val="000000"/>
          <w:sz w:val="20"/>
          <w:lang w:val="en-US" w:eastAsia="en-US" w:bidi="ar-SA"/>
        </w:rPr>
        <w:t>Tombe v. Stefulj</w:t>
      </w:r>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[2002] B.C.J. No. 505</w:t>
        </w:r>
      </w:hyperlink>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2002 BCSC 154</w:t>
        </w:r>
      </w:hyperlink>
      <w:r>
        <w:rPr>
          <w:rFonts w:ascii="arial" w:eastAsia="arial" w:hAnsi="arial" w:cs="arial"/>
          <w:color w:val="000000"/>
          <w:sz w:val="20"/>
          <w:lang w:val="en-US" w:eastAsia="en-US" w:bidi="ar-SA"/>
        </w:rPr>
        <w:t>); cuts, bruises, mild concussion and moderately severe cervical strain resulting in total disability for two weeks followed by 56 physiotherapy visits and continuing daily pain with physical support for work two years later and inability to engage in pre-accident activity (</w:t>
      </w:r>
      <w:r>
        <w:rPr>
          <w:rFonts w:ascii="arial" w:eastAsia="arial" w:hAnsi="arial" w:cs="arial"/>
          <w:b/>
          <w:i/>
          <w:color w:val="000000"/>
          <w:sz w:val="20"/>
          <w:lang w:val="en-US" w:eastAsia="en-US" w:bidi="ar-SA"/>
        </w:rPr>
        <w:t>Macalanda v. Fulgar</w:t>
      </w:r>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[1999] B.C.J. No. 1895</w:t>
        </w:r>
      </w:hyperlink>
      <w:r>
        <w:rPr>
          <w:rFonts w:ascii="arial" w:eastAsia="arial" w:hAnsi="arial" w:cs="arial"/>
          <w:color w:val="000000"/>
          <w:sz w:val="20"/>
          <w:lang w:val="en-US" w:eastAsia="en-US" w:bidi="ar-SA"/>
        </w:rPr>
        <w:t>) (S.C.); continuous headaches for a month with mild to moderate neck and back pain resolved within a year but continuing episodic lower back pain after four years (</w:t>
      </w:r>
      <w:r>
        <w:rPr>
          <w:rFonts w:ascii="arial" w:eastAsia="arial" w:hAnsi="arial" w:cs="arial"/>
          <w:b/>
          <w:i/>
          <w:color w:val="000000"/>
          <w:sz w:val="20"/>
          <w:lang w:val="en-US" w:eastAsia="en-US" w:bidi="ar-SA"/>
        </w:rPr>
        <w:t>Varnes v. Warawa</w:t>
      </w:r>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[1999] B.C.J. No. 766</w:t>
        </w:r>
      </w:hyperlink>
      <w:r>
        <w:rPr>
          <w:rFonts w:ascii="arial" w:eastAsia="arial" w:hAnsi="arial" w:cs="arial"/>
          <w:color w:val="000000"/>
          <w:sz w:val="20"/>
          <w:lang w:val="en-US" w:eastAsia="en-US" w:bidi="ar-SA"/>
        </w:rPr>
        <w:t>) (S.C.).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 cites cases in the range of $1,500 to $7,500. The more substantial damages were given in cases of soft tissue injuries that resolved within 6 or 9 months with no continuing problems of any significance (</w:t>
      </w:r>
      <w:r>
        <w:rPr>
          <w:rFonts w:ascii="arial" w:eastAsia="arial" w:hAnsi="arial" w:cs="arial"/>
          <w:b/>
          <w:i/>
          <w:color w:val="000000"/>
          <w:sz w:val="20"/>
          <w:lang w:val="en-US" w:eastAsia="en-US" w:bidi="ar-SA"/>
        </w:rPr>
        <w:t>Mangat v. Jackson</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[2004] B.C.J. No. 467</w:t>
        </w:r>
      </w:hyperlink>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2004 BCSC 319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Booth v. Hedderick</w:t>
      </w:r>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[2004] B.C.J. No. 170</w:t>
        </w:r>
      </w:hyperlink>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2004 BCSC 132</w:t>
        </w:r>
      </w:hyperlink>
      <w:r>
        <w:rPr>
          <w:rFonts w:ascii="arial" w:eastAsia="arial" w:hAnsi="arial" w:cs="arial"/>
          <w:color w:val="000000"/>
          <w:sz w:val="20"/>
          <w:lang w:val="en-US" w:eastAsia="en-US" w:bidi="ar-SA"/>
        </w:rPr>
        <w:t>. The other cases were of no assistance as they all involved very minor injuries that had resolved within 2 - 6 months.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An appropriate award for non-pecuniary damages is within a range slightly less than suggested by the plaintiff. The plaintiff was extremely fit before the accident and very driven to accomplish her life goal of becoming a police officer. She worked through pain and attended her doctor only when absolutely required. She continues to suffer shoulder pain after regular blocks of work some three and a half years after the accident, but other symptoms were resolved within a year and a half. Her activities resumed shortly after the accident, albeit with some discomfort from time to time. Non-pecuniary damages are assessed at $25,000.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earned $11.20 per hour, averaging 35 hours per week, at Starbucks at the time of the accident. Although she initially was away from work for two weeks, she made up for lost time by working longer hours than normal upon her return. I do not find that time off from work in December 2002, May 2003, or December 2003 was primarily related to the shoulder injury. The plaintiff had requested leave for vacation and for personal reasons unrelated to the injury. The loss from Starbucks was (70 hours x $11.02) $771.40. The plaintiff has provided insufficient proof of loss from the cosmetics sales or from the military to establish any amount for any loss from these endeavours.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plaintiff has also claimed loss of future earning capacity due to ongoing discomfort in work and the medical opinion that she is at risk to suffer re-injury with her active lifestyle. I have carefully considered the cases cited by counsel for the plaintiff on loss of future earning capacity including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Soligo v. Turner</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(2002), 97 B.C.L.R. (3d) 300</w:t>
        </w:r>
      </w:hyperlink>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2002 BCCA 73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6 B.C.A.C. 314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Ho v. Meghani</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[2004] B.C.J. No. 464</w:t>
        </w:r>
      </w:hyperlink>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2004 BCSC 320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Letourneau v. Min</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(2003), 9 B.C.L.R. (4th) 283</w:t>
        </w:r>
      </w:hyperlink>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2003 BCCA 79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Miscisco v. Small</w:t>
      </w:r>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[1999] B.C.J. No. 1105</w:t>
        </w:r>
      </w:hyperlink>
      <w:r>
        <w:rPr>
          <w:rFonts w:ascii="arial" w:eastAsia="arial" w:hAnsi="arial" w:cs="arial"/>
          <w:color w:val="000000"/>
          <w:sz w:val="20"/>
          <w:lang w:val="en-US" w:eastAsia="en-US" w:bidi="ar-SA"/>
        </w:rPr>
        <w:t xml:space="preserve"> (aff'd </w:t>
      </w:r>
      <w:hyperlink r:id="rId200" w:history="1">
        <w:r>
          <w:rPr>
            <w:rFonts w:ascii="arial" w:eastAsia="arial" w:hAnsi="arial" w:cs="arial"/>
            <w:i/>
            <w:color w:val="0077CC"/>
            <w:sz w:val="20"/>
            <w:u w:val="single"/>
            <w:shd w:val="clear" w:color="auto" w:fill="FFFFFF"/>
            <w:lang w:val="en-US" w:eastAsia="en-US" w:bidi="ar-SA"/>
          </w:rPr>
          <w:t>[2001] B.C.J. No. 2042</w:t>
        </w:r>
      </w:hyperlink>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2001 BCCA 576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Bains v. Prasad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should be remembered here that the plaintiff did not follow doctor's advice for physiotherapy for financial reasons and did not reduce her work when recommended. There is no evidence of her wages as a police officer and no suggestion that she has lost any time from this employment or been unable to perform because of the results of this accident. The plaintiff has been able to pursue her employment goals. There is no evidence that she is less employable except that she worries about her future abilities and remains surprised that this injury has not resolved. In my view, any uncertainty in the future is already reflected in the non-pecuniary award for damages and does not reflect on capacity in the circumstances of the plaintiff. Her work adjustments are preferentially common to other officers and do not reflect an incapacity or limitation on ability to perform work related functions. There is no medical evidence to support a future restriction on activity and there has been minimal restriction in the past. I do not find that the plaintiff is less capable overall from earning income from all types of employment, or that she is less marketable, or that any opportunities have been lost. The plaintiff's expressed concerns fall short of establishing a probability that she will suffer any future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is awarded non-pecuniary damages of $25,000 and $771.40 for lost wages. The plaintiff is entitled to costs on the scale of 3 with liberty to either party to apply for adjustment, if necessary.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DILLON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01"/>
          <w:headerReference w:type="default" r:id="rId202"/>
          <w:footerReference w:type="even" r:id="rId203"/>
          <w:footerReference w:type="default" r:id="rId204"/>
          <w:headerReference w:type="first" r:id="rId205"/>
          <w:footerReference w:type="first" r:id="rId20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07" w:history="1">
        <w:r>
          <w:rPr>
            <w:rFonts w:ascii="arial" w:eastAsia="arial" w:hAnsi="arial" w:cs="arial"/>
            <w:b/>
            <w:bCs/>
            <w:i/>
            <w:color w:val="0077CC"/>
            <w:kern w:val="32"/>
            <w:sz w:val="28"/>
            <w:szCs w:val="32"/>
            <w:u w:val="single"/>
            <w:shd w:val="clear" w:color="auto" w:fill="FFFFFF"/>
            <w:lang w:val="en-US" w:eastAsia="en-US" w:bidi="ar-SA"/>
          </w:rPr>
          <w:t>Hartt v. British Columbia (Attorney General), [2013] B.C.J. No. 289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K.N. Affleck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30 and 31,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20,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S111438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264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Lee Hartt and Marc Narduzzi, Plaintiffs, and Her Majesty the Queen in the right of the Province of British Columbia, as represented by the Ministry of Attorney General of British Columbia and Minister of Public Safety and Solicitor General, RCMP Division, City of Abbotsford, City of Nelson, City of New Westminster, City of Port Moody, City of Vancouver, City of Victoria, District of Central Saanich, Corporation of Delta, Corporation of Oak Bay, District of Saanich and District of West Vancouver,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0"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9" w:name="Keywords_8"/>
      <w:bookmarkEnd w:id="59"/>
      <w:r>
        <w:rPr>
          <w:rFonts w:ascii="arial" w:eastAsia="arial" w:hAnsi="arial" w:cs="arial"/>
          <w:b/>
          <w:color w:val="000000"/>
          <w:sz w:val="20"/>
          <w:lang w:val="en-US" w:eastAsia="en-US" w:bidi="ar-SA"/>
        </w:rPr>
        <w:t xml:space="preserve">Civil litigation — Civil procedure — Parties — Class or representative actions — Common interests and issues — Application by plaintiffs to certify action as a class proceeding dismissed — Plaintiffs sued defendant police authorities for negligent misrepresentation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using improperly calibrated roadside device that registered a warn when alcohol level below 50 mgs — Pleading did not disclose a viable cause of action — Proposed proceeding would be illegitimate evasion of administrative appeal process provided by Motor Vehicle Act and an evasion of judicial review provided by Judicial Review Procedure Act — There were also serious difficulties with class definition and common issues.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Application by plaintiffs to certify action as a class proceeding dismissed — Plaintiffs sued defendant police authorities for negligent misrepresentation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using improperly calibrated roadside device that registered a warn when alcohol level below 50 mgs — Pleading did not disclose a viable cause of action — Police owed no duty of care when "investigating" the plaintiffs — No cause of action available in this case for loss or damage caused by a negligent police investigation.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Fraud and misrepresentation — Negligent misrepresentation (Hedley Byrne principle) — Application by plaintiffs to certify action as class proceeding dismissed — Plaintiffs sued defendant police authorities for negligent misrepresentation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using improperly calibrated roadside device that registered a warn when alcohol level was below 50 mgs — Pleading did not disclose viable cause of action — Alleged negligent misstatement by police regarding blood alcohol level was accurate statement of effect of Motor Vehicle Act once a "warn" was indicated — Statement could not be an actionable wrong — Plaintiffs had no relationship with defendants to impose duty of care on defendants when roadside devices were programmed.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0" w:name="Case Summary_7"/>
            <w:bookmarkEnd w:id="6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to certify the action as a class proceeding. The plaintiffs sued the defendants for negligent misrepresentation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using improperly calibrated roadside screening devised. The plaintiffs alleged that from September 2010, when amendments to the Motor Vehicle Act came into force, the police used the devices which were improperly programmed to indicate "warn" when the concentration of alcohol in a person's blood was less than 50 milligrams of alcohol in 100 millilitres of blood. In November 2010 the police re-programmed the devices, but the devices remained improperly programmed to indicate "warn" when the concentration of alcohol in a person's blood was less than 50 milligrams of alcohol in 100 millilitres of blood. When the roadside device indicated a "warn", the plaintiffs were immediately prohibited from driving, a fine was imposed and the vehicle was impounded.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1" w:name="Holdings of Court_6"/>
            <w:bookmarkEnd w:id="61"/>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could not satisfy the test for certification because the pleading did not disclose a viable cause of action. The police owed no duty of care when "investigating" the plaintiffs. On the alleged facts of this case, there was no cause of action available for loss or damage caused by a negligent police investigation. The alleged misstatement, that plaintiffs had at least 50 mgs of alcohol in their blood was not truly an allegation of negligent misstatement but a complaint that the roadside device had a margin of error which could work to the disadvantage of some drivers whose blood alcohol concentration was less than 50 mgs. The alleged negligent misstatement by the police was an accurate statement of the effect of the Motor Vehicle Act once a "warn" was indicated. The statement could not be an actionable wrong. The plaintiffs had no relationship with the defendants to impose a duty of care on the defendants when the roadside devices were programmed. There was no duty owed by the defendants to these plaintiffs to take reasonable care when programming the devices. The calibration and recalibration decisions were policy choices and not actionable. The proposed proceeding would be an illegitimate evasion of the administrative appeal process given to the plaintiffs by the Motor Vehicle Act and an evasion of the judicial review provided by the Judicial Review Procedure Act. There were also serious difficulties with class definition and common issues. If the action was certified as a class proceeding, individual issues would tend to overwhelm common issues even if the latter could be adequately defined. To succeed, a member of the proposed class would at least need to prove that when screened by a roadside demand, his or her alcohol concentration was less than 50 mgs. There would inevitably be a multitude of mini trials with each class member giving evidence such as his or her weight and alcohol consumption over the relevant time period or prior to the time of driving.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2" w:name="Legislation Cited_7"/>
      <w:bookmarkEnd w:id="6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1"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Approved Screening Device Regulation, </w:t>
      </w:r>
      <w:hyperlink r:id="rId208" w:history="1">
        <w:r>
          <w:rPr>
            <w:rFonts w:ascii="arial" w:eastAsia="arial" w:hAnsi="arial" w:cs="arial"/>
            <w:i/>
            <w:color w:val="0077CC"/>
            <w:sz w:val="20"/>
            <w:u w:val="single"/>
            <w:shd w:val="clear" w:color="auto" w:fill="FFFFFF"/>
            <w:lang w:val="en-US" w:eastAsia="en-US" w:bidi="ar-SA"/>
          </w:rPr>
          <w:t>B.C. Reg. 590/2004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Class Proceedings Act, </w:t>
      </w:r>
      <w:hyperlink r:id="rId28" w:history="1">
        <w:r>
          <w:rPr>
            <w:rFonts w:ascii="arial" w:eastAsia="arial" w:hAnsi="arial" w:cs="arial"/>
            <w:i/>
            <w:color w:val="0077CC"/>
            <w:sz w:val="20"/>
            <w:u w:val="single"/>
            <w:shd w:val="clear" w:color="auto" w:fill="FFFFFF"/>
            <w:lang w:val="en-US" w:eastAsia="en-US" w:bidi="ar-SA"/>
          </w:rPr>
          <w:t>RSBC 1996, CHAPTER 50, s. 4</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Judicial Review Procedure Act, </w:t>
      </w:r>
      <w:r>
        <w:rPr>
          <w:rFonts w:ascii="arial" w:eastAsia="arial" w:hAnsi="arial" w:cs="arial"/>
          <w:i/>
          <w:color w:val="000000"/>
          <w:sz w:val="20"/>
          <w:lang w:val="en-US" w:eastAsia="en-US" w:bidi="ar-SA"/>
        </w:rPr>
        <w:t>RSBC 1996, CHAPTER 241</w:t>
      </w:r>
      <w:r>
        <w:rPr>
          <w:rFonts w:ascii="arial" w:eastAsia="arial" w:hAnsi="arial" w:cs="arial"/>
          <w:color w:val="000000"/>
          <w:sz w:val="20"/>
          <w:lang w:val="en-US" w:eastAsia="en-US" w:bidi="ar-SA"/>
        </w:rPr>
        <w:t>, 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209" w:history="1">
        <w:r>
          <w:rPr>
            <w:rFonts w:ascii="arial" w:eastAsia="arial" w:hAnsi="arial" w:cs="arial"/>
            <w:i/>
            <w:color w:val="0077CC"/>
            <w:sz w:val="20"/>
            <w:u w:val="single"/>
            <w:shd w:val="clear" w:color="auto" w:fill="FFFFFF"/>
            <w:lang w:val="en-US" w:eastAsia="en-US" w:bidi="ar-SA"/>
          </w:rPr>
          <w:t>RSBC 1996, CHAPTER 318, s. 215</w:t>
        </w:r>
      </w:hyperlink>
      <w:r>
        <w:rPr>
          <w:rFonts w:ascii="arial" w:eastAsia="arial" w:hAnsi="arial" w:cs="arial"/>
          <w:color w:val="000000"/>
          <w:sz w:val="20"/>
          <w:lang w:val="en-US" w:eastAsia="en-US" w:bidi="ar-SA"/>
        </w:rPr>
        <w:t>(2), s. 215(5), s. 215.5(4)(a)(iii), s. 215.41, s. 215.43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3" w:name="Counsel_8"/>
      <w:bookmarkEnd w:id="6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2" style="position:absolute;z-index:2517698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M.G. Thomas.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J.D. Eastwood, Q.C., B.C. Elwood.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4" w:name="Judgment_8"/>
      <w:bookmarkEnd w:id="64"/>
      <w:r>
        <w:pict>
          <v:line id="_x0000_s1073" style="position:absolute;z-index:2518210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5" w:name="K.N. AFFLECK J."/>
            <w:bookmarkEnd w:id="65"/>
            <w:r>
              <w:rPr>
                <w:rFonts w:ascii="arial" w:eastAsia="arial" w:hAnsi="arial" w:cs="arial"/>
                <w:b/>
                <w:color w:val="000000"/>
                <w:sz w:val="30"/>
                <w:lang w:val="en-US" w:eastAsia="en-US" w:bidi="ar-SA"/>
              </w:rPr>
              <w:t>K.N. AFFLECK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September 21, 2012, the plaintiffs, as proposed representative plaintiffs, filed a further amended Notice of Civil Claim which they now apply to have certified as a class proceeding pursuant to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If certified the proceeding would be on behalf of the plaintiffs and "all persons who were issued a driving prohibition for providing a breath sample that indicated a 'warn' on an approved screening device [ASD] that was not set in accordance with s. 215.41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allege that "[f]rom 20 September 2010 the police used the devices which were improperly programmed to indicate 'warn' when the concentration of alcohol in a person's blood was less than 50 milligrams of alcohol in 100 millilitres of blood". It is alleged that on November 19, 2010, "the police announced there was a problem with the 'warn' indication on the devices" and for a time stopped using the "warn" as indicated on the ASDs. Once the ASDs were reprogrammed the police resumed using the "warn" indication but "[d]espite the change, the devices remained improperly programmed to indicate 'warn'", even when the blood alcohol concentration was less than 50 milligrams of alcohol in 100 millilitres of blood. The ASDs could also indicate "fail" if the concentration of alcohol was at least 80 milligrams of alcohol in 100 millilitres of blood. The further amended Notice of Civil Claim makes allegations of loss or damage only in respect of the "warn" indication.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Hartt pleads that on October 2, 2010, he was required to submit to a roadside assessment by the RCMP by providing a sample of his breath into an ASD that was not properly programmed to indicate "warn". He alleges the ASD erroneously indicated that the concentration of alcohol in his blood was no less than 50 milligrams of alcohol in 100 millilitres of blood when in fact it was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member of the RCMP who performed the assessment is alleged to have "negligently misstated" to Hartt that his blood alcohol concentration was at least 50 milligrams of alcohol in 100 millilitres of blood "when [he] knew, or should have known, that statement was misleading or inaccurate given the inaccurate programming of the device".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Hartt pleads that when the ASD indicated a "warn" he was immediately prohibited from driving, a fine was imposed and his vehicle was impounded. He pleads he was advised by the police that pursuant to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he had a week within which he could challenge the fine and prohibition but did not pursue that challenge. He alleges that as a result of the prohibition and impoundment he has been subject to various monetary penalties and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Narduzzi alleges that on November 12, 2010, he was required by the RCMP to submit to a roadside assessment by means of an ASD that was not properly programmed to indicate "warn". The same negligent misstatement that Hartt alleges he experienced is alleged by Narduzzi. Narduzzi also alleges that the police advised him that he could submit another breath sample but if it was higher than the first sample, the higher sample would be the "effective reading ... and he would be subject to increased penalties including losing his license for three months if the second reading was higher". Narduzzi pleads that "as a result of the threats" he declined to provide a second breath sample.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Both plaintiffs allege that after June 15, 2012, the police began to provide an opportunity for a second sample using a different device and would rely on the lower of the two readings.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Narduzzi alleges that on providing a sample of his breath in the ASD he was immediately prohibited from driving, a fine was imposed and his vehicle was impounded. Like Hartt, Narduzzi was subject to various monetary penalties and expenses. Also like Hartt, Narduzzi, although he was advised he could do so, did not seek to challenge the fine and prohibition.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allege the defendants, who are collectively described in the further amended Notice of Civil Claim as the "police departments", had a duty to enforce the laws of British Columbia and that the police departments are vicariously liable for the "negligent acts and misrepresentations committed by the police acting on their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police, apart from negligent misstatements, is alleged to have been their careless investigation of the plaintiffs, and other members of the proposed class, who thereby suffered loss and damage when subject from September 20, 2010, onward to roadside assessments by an ASD, which they knew or ought to have known, would produce false "warn" indications.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plaintiffs allege amendments to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which came into force on September 20, 2010, following the enactment of Bill 14 - 2010, the </w:t>
      </w:r>
      <w:r>
        <w:rPr>
          <w:rFonts w:ascii="arial" w:eastAsia="arial" w:hAnsi="arial" w:cs="arial"/>
          <w:i/>
          <w:color w:val="000000"/>
          <w:sz w:val="20"/>
          <w:lang w:val="en-US" w:eastAsia="en-US" w:bidi="ar-SA"/>
        </w:rPr>
        <w:t>Motor Vehicle Amendment Act</w:t>
      </w:r>
      <w:r>
        <w:rPr>
          <w:rFonts w:ascii="arial" w:eastAsia="arial" w:hAnsi="arial" w:cs="arial"/>
          <w:color w:val="000000"/>
          <w:sz w:val="20"/>
          <w:lang w:val="en-US" w:eastAsia="en-US" w:bidi="ar-SA"/>
        </w:rPr>
        <w:t>, 2010, "were designed to discourage drivers from challenging a "'warn' or 'fail' indication from a device ...". The plaintiffs further allege the amendments effectively preclude a challenge and the penalties have immediate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allege the source of the problem, which has caused their loss and damage, is the defective programming of the ASDs. It is pleaded that the ASDs do not provide an accurate reading of alcohol concentration in blood. Rather they provide an estimate with an error factor of "at least 10 milligrams of alcohol per 100 millilitres of blood". It is alleged the devices "require programming to account for this margin of error" which from September 20, 2010, was done properly for the indicated "fail" but not for the indicated "warn". The devices were programmed to indicate "warn" even though the concentration of alcohol may be less than 50 milligrams in 100 millilitres of blood. The plaintiffs allege that from September 20, 2010, all roadside driving prohibitions, fines and impoundments based on a "warn" indication were unlawful and drivers who had been required to provide a sample of their breath in an ASD had been improperly investigated by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addition to seeking damages the plaintiffs, and members of the proposed class, will seek orders quashing the driving prohibitions issued against the class members, or alternatively a declaration that the driving prohibitions are of no force and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 commence my analysis by setting out the relevant legislation and law. I then set out the evidence I have considered to assist me in understanding the plaintiffs' allegations. Finally, I consider the plaintiffs' pleading and causes of action. I conclude that the plaintiffs cannot satisfy the test for certification because the pleading does not disclose a viable cause of action. Additionally, I conclude that the proposed proceeding would be an illegitimate evasion of the administrative appeal process given to the plaintiffs, and others in their position, by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and an evasion of the judicial review provided by the </w:t>
      </w:r>
      <w:r>
        <w:rPr>
          <w:rFonts w:ascii="arial" w:eastAsia="arial" w:hAnsi="arial" w:cs="arial"/>
          <w:i/>
          <w:color w:val="000000"/>
          <w:sz w:val="20"/>
          <w:lang w:val="en-US" w:eastAsia="en-US" w:bidi="ar-SA"/>
        </w:rPr>
        <w:t>Judicial Review Procedure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241</w:t>
      </w:r>
      <w:r>
        <w:rPr>
          <w:rFonts w:ascii="arial" w:eastAsia="arial" w:hAnsi="arial" w:cs="arial"/>
          <w:color w:val="000000"/>
          <w:sz w:val="20"/>
          <w:lang w:val="en-US" w:eastAsia="en-US" w:bidi="ar-SA"/>
        </w:rPr>
        <w:t>. There are also serious difficulties with class definition and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Before beginning my analysis I make note of </w:t>
      </w:r>
      <w:r>
        <w:rPr>
          <w:rFonts w:ascii="arial" w:eastAsia="arial" w:hAnsi="arial" w:cs="arial"/>
          <w:i/>
          <w:color w:val="000000"/>
          <w:sz w:val="20"/>
          <w:lang w:val="en-US" w:eastAsia="en-US" w:bidi="ar-SA"/>
        </w:rPr>
        <w:t>Sivia v. British Columbia (Superintendent of Motor Vehicles)</w:t>
      </w:r>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2011 BCSC 1639</w:t>
        </w:r>
      </w:hyperlink>
      <w:r>
        <w:rPr>
          <w:rFonts w:ascii="arial" w:eastAsia="arial" w:hAnsi="arial" w:cs="arial"/>
          <w:color w:val="000000"/>
          <w:sz w:val="20"/>
          <w:lang w:val="en-US" w:eastAsia="en-US" w:bidi="ar-SA"/>
        </w:rPr>
        <w:t xml:space="preserve">, in which the 2010 amendments to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were held to infringe s. 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but only "insofar as [they] concern[ ] the prohibition, penalty and costs arising from the screening device registering a 'fail' reading over 0.08". The plaintiffs' proposed class proceeding would be on behalf of only those persons who registered a "warn". The learned judge in </w:t>
      </w:r>
      <w:r>
        <w:rPr>
          <w:rFonts w:ascii="arial" w:eastAsia="arial" w:hAnsi="arial" w:cs="arial"/>
          <w:i/>
          <w:color w:val="000000"/>
          <w:sz w:val="20"/>
          <w:lang w:val="en-US" w:eastAsia="en-US" w:bidi="ar-SA"/>
        </w:rPr>
        <w:t>Sivia</w:t>
      </w:r>
      <w:r>
        <w:rPr>
          <w:rFonts w:ascii="arial" w:eastAsia="arial" w:hAnsi="arial" w:cs="arial"/>
          <w:color w:val="000000"/>
          <w:sz w:val="20"/>
          <w:lang w:val="en-US" w:eastAsia="en-US" w:bidi="ar-SA"/>
        </w:rPr>
        <w:t xml:space="preserve"> expressly held that for those drivers who "allegedly blew between 0.05 and 0.08" the amendments do not suffer from any constitutional impediment. The plaintiffs do not rely on </w:t>
      </w:r>
      <w:r>
        <w:rPr>
          <w:rFonts w:ascii="arial" w:eastAsia="arial" w:hAnsi="arial" w:cs="arial"/>
          <w:i/>
          <w:color w:val="000000"/>
          <w:sz w:val="20"/>
          <w:lang w:val="en-US" w:eastAsia="en-US" w:bidi="ar-SA"/>
        </w:rPr>
        <w:t>Sivia</w:t>
      </w:r>
      <w:r>
        <w:rPr>
          <w:rFonts w:ascii="arial" w:eastAsia="arial" w:hAnsi="arial" w:cs="arial"/>
          <w:color w:val="000000"/>
          <w:sz w:val="20"/>
          <w:lang w:val="en-US" w:eastAsia="en-US" w:bidi="ar-SA"/>
        </w:rPr>
        <w:t xml:space="preserve"> to support their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Relevant Provisions of the </w:t>
      </w:r>
      <w:r>
        <w:rPr>
          <w:rFonts w:ascii="arial" w:eastAsia="arial" w:hAnsi="arial" w:cs="arial"/>
          <w:b/>
          <w:i/>
          <w:color w:val="000000"/>
          <w:sz w:val="20"/>
          <w:u w:val="single"/>
          <w:lang w:val="en-US" w:eastAsia="en-US" w:bidi="ar-SA"/>
        </w:rPr>
        <w:t>Motor Vehicle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 peace officer who has reasonable and probable grounds to believe a driver's ability to drive a motor vehicle is impaired by alcohol is authorized to prohibit that driver from continuing to drive for a period of 24 hours with immediate effect. Subsections 215 (2) and (5)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are the present source of that authority and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peace officer may, at any time or place on a highway or industrial road if the peace officer has reasonable and probable grounds to believe that a driver's ability to drive a motor vehicle is affected by alcohol,</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request the driver to drive the motor vehicle, under the direction of the peace officer, to the nearest place off the travelled portion of the highway or industrial road,</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serve the driver with a notice of driving prohibition, and</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driver is in possession of a driver's licence, request the driver to surrender that licence.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the prohibition from driving a motor vehicle is terminated under subsection (6) or (8), the driver is automatically prohibited from driving a motor vehicle for a period of 24 hours from the time the peace officer served the driver with a notice of driving prohibition under subsection (2) or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Section 215.4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provides for impoundment of a vehicle if the peace officer believes it is necessary to prevent driving after a notice of driving prohibition has been served under section 215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basis on which a peace officer is required to prohibit driving and to impound was modified when the </w:t>
      </w:r>
      <w:r>
        <w:rPr>
          <w:rFonts w:ascii="arial" w:eastAsia="arial" w:hAnsi="arial" w:cs="arial"/>
          <w:i/>
          <w:color w:val="000000"/>
          <w:sz w:val="20"/>
          <w:lang w:val="en-US" w:eastAsia="en-US" w:bidi="ar-SA"/>
        </w:rPr>
        <w:t>Motor Vehicle Amendment Act,</w:t>
      </w:r>
      <w:r>
        <w:rPr>
          <w:rFonts w:ascii="arial" w:eastAsia="arial" w:hAnsi="arial" w:cs="arial"/>
          <w:color w:val="000000"/>
          <w:sz w:val="20"/>
          <w:lang w:val="en-US" w:eastAsia="en-US" w:bidi="ar-SA"/>
        </w:rPr>
        <w:t xml:space="preserve"> 2010 came into force on September 20, 2010, adding subsections 215.41 through 215.51. The amendments provide for an ASD to be employed by a peace officer who makes a demand of a driver under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to provide a sample of breath for analysis. If the ASD registers a "warn" or a "fail" and the peace officer believes on reasonable grounds, as a result of the analysis provided by the ASD, the driver's ability to drive is affected by alcohol, the peace officer must take possession of that driver's license and must serve notice of an immediate driving prohibition with a statement setting out a monetary penalty.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Section 215.42 entitles the driver to request a second analysis by a different ASD, of which right the peace officer must inform the driver before a notice of driving prohibition is served on the driver. The lower reading of the two then governs the question of whether the peace officer, using that analysis, must prohibit further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Section 215.43 provides that if a person is prohibited from driving as a result of an indication of a "warn" the length of the prohibition increases from three days in the case of a first prohibition to a maximum of thirty days depending on the number of previous prohibitions that driver has experienced. Section 215.46 permits the peace officer to impound the driver's vehicle if the peace officer believes it is necessary to do so to prevent the person from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Section 215.48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permits the person who is subject to a notice of driving prohibition to file within seven days of the prohibition an application for review by the Superintendent of motor vehicles of the prohibition and ancillary penalties. Section 215.49 provides that on a review the Superintendent must consider:</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relevant written statements or evidence submitted by the applicant,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report of the peace officer forwarded under section 215.47 (d),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copy of the notice of driving prohibition,</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relevant documents and information forwarded to the superintendent by the peace officer who served the notice of driving prohibition or any other peace officer, including peace officers' reports that have not been sworn or solemnly affirmed,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an oral hearing, any relevant evidence given or representations made at the hearing, and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 second or subsequent prohibition, as described in section 215.43 (4) and (5), the person's driving record.</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review under section 215.48, no person may be cross examined.</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the superintendent may, in the superintendent's discretion, proceed with a hearing whether or not the superintendent has received, at the time of the hearing, all those documents required to be forwarded to the superintendent under section 215.47.</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superintendent may determine the weight to be given to any document or other information referred to in subsection (1), including any document or information that is not sworn or solemnly affirmed.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Section 215.5 (4)(a)(iii) provides that if, after consideration of a review application, the Superintendent is satisfied that "the approved screening device did not register a warn or the approved screening device did not register the warn as a result of the concentration of the alcohol in the person's blood being not less than 50 milligrams of alcohol in 100 millilitres of blood or (iv) the result of the analysis on the basis of which the notice of driving prohibition was not reliable" the Superintendent must revoke the driving prohibition, cancel the monetary penalty and return the driver's license.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Test For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Section 4 of the </w:t>
      </w:r>
      <w:r>
        <w:rPr>
          <w:rFonts w:ascii="arial" w:eastAsia="arial" w:hAnsi="arial" w:cs="arial"/>
          <w:i/>
          <w:color w:val="000000"/>
          <w:sz w:val="20"/>
          <w:lang w:val="en-US" w:eastAsia="en-US" w:bidi="ar-SA"/>
        </w:rPr>
        <w:t>Class Proceeding Act</w:t>
      </w:r>
      <w:r>
        <w:rPr>
          <w:rFonts w:ascii="arial" w:eastAsia="arial" w:hAnsi="arial" w:cs="arial"/>
          <w:color w:val="000000"/>
          <w:sz w:val="20"/>
          <w:lang w:val="en-US" w:eastAsia="en-US" w:bidi="ar-SA"/>
        </w:rPr>
        <w:t xml:space="preserve">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Class certification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(1) The court must certify a proceeding as a class proceeding on an application under section 2 or 3 if all of the following requirements are met:</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2 or more persons;</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a class proceeding would be the preferable procedure for the fair and efficient resolution of the common issues, the court must consider all relevant matters including the following:</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Knight v. Imperial Tobacco Canada Ltd.</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2006 BCCA 235</w:t>
        </w:r>
      </w:hyperlink>
      <w:r>
        <w:rPr>
          <w:rFonts w:ascii="arial" w:eastAsia="arial" w:hAnsi="arial" w:cs="arial"/>
          <w:color w:val="000000"/>
          <w:sz w:val="20"/>
          <w:lang w:val="en-US" w:eastAsia="en-US" w:bidi="ar-SA"/>
        </w:rPr>
        <w:t>, the court addressed the rationale for class proceedings and the proper considerations on a certification application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The Supreme Court of Canada has discussed the approach that ought to be taken by a court to certification issues in a number of recent cases, including </w:t>
      </w:r>
      <w:r>
        <w:rPr>
          <w:rFonts w:ascii="arial" w:eastAsia="arial" w:hAnsi="arial" w:cs="arial"/>
          <w:b/>
          <w:i/>
          <w:color w:val="000000"/>
          <w:sz w:val="20"/>
          <w:lang w:val="en-US" w:eastAsia="en-US" w:bidi="ar-SA"/>
        </w:rPr>
        <w:t>Hollick v. Toronto (City)</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[2001] 3 S.C.R. 158</w:t>
        </w:r>
      </w:hyperlink>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2001 SCC 68</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Hollick</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Rumley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Western Canadian Shopping Centres Inc. v. Dutton</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[2001] 2 S.C.R. 534</w:t>
        </w:r>
      </w:hyperlink>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2001 SCC 46</w:t>
        </w:r>
      </w:hyperlink>
      <w:r>
        <w:rPr>
          <w:rFonts w:ascii="arial" w:eastAsia="arial" w:hAnsi="arial" w:cs="arial"/>
          <w:color w:val="000000"/>
          <w:sz w:val="20"/>
          <w:lang w:val="en-US" w:eastAsia="en-US" w:bidi="ar-SA"/>
        </w:rPr>
        <w:t>. What I distill from those cases is that class proceedings legislation ought to be construed generously. Class actions serve judicial economy by avoiding unnecessary duplication in a multiplicity of actions, improve access to justice and serve to modify wrongful behaviour. It is necessary that the statement of claim disclose a cause of action, but the certification stage is not a test of the merits of the action. What the certification stage focuses on is the form of the action. The key question is whether the suit or portions of it are appropriate for the trial of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There is a low threshold for a plaintiff to cross to persuade a court that a viable cause of action has been pleaded. For the Court to strike the action it must be plain and obvious on the pleading that the action is certain to fail because the pleading contains a radical defect. See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Limited Use To Which I Have Put The Evidence In Relation To The Question Of Whether There Is A Viable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When considering whether a viable cause of action has been pleaded the answer must be found in the pleading itself. However, in this instance I have been assisted in my understanding the pleading and of the legislative scheme by reference to some of the evidence. I have approached the test in a similar fashion to that of Macaulay J. in </w:t>
      </w:r>
      <w:r>
        <w:rPr>
          <w:rFonts w:ascii="arial" w:eastAsia="arial" w:hAnsi="arial" w:cs="arial"/>
          <w:i/>
          <w:color w:val="000000"/>
          <w:sz w:val="20"/>
          <w:lang w:val="en-US" w:eastAsia="en-US" w:bidi="ar-SA"/>
        </w:rPr>
        <w:t>Kimpton v. Canada (Attorney General)</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2002 BCSC 1645</w:t>
        </w:r>
      </w:hyperlink>
      <w:r>
        <w:rPr>
          <w:rFonts w:ascii="arial" w:eastAsia="arial" w:hAnsi="arial" w:cs="arial"/>
          <w:color w:val="000000"/>
          <w:sz w:val="20"/>
          <w:lang w:val="en-US" w:eastAsia="en-US" w:bidi="ar-SA"/>
        </w:rPr>
        <w:t>, who observed at para. 84, "there is a body of evidence from which I can determine the potential causes of action available. ... without, in any way, assessing [the plaintiffs'] prospects for success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Stephanie Melvin deposes that she is the Deputy Superintendent of motor vehicles within the Office of the Superintendent of Motor Vehicles (the "OSMV"). Beginning at paras. 52 through 62 of her affidavit Ms. Melvin describes the process undertaken by her office when requested to review an immediate roadside prohibition as follows:</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OSMV staff are directed by the Superintendent to conduct IRP reviews and make decisions on individual files. Program staff include support staff, intake agents, and adjudicators who make IRP decisions.</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Once the OSMV receives the Notice and Report to Superintendent, a notation of the IRP and associated consequences - such as the liability to pay the monetary penalty - are entered into the driver's driving record.</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driver requests a review, OSMV staff are notified to prepare the file for review. The file is then assigned to an adjudicator for decision.</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every review in which a prohibition is confirmed, the adjudicator must be satisfied that the person served with the Notice was a "driver" pursuant to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In the case of a 3, 7 or 30 day prohibition, the adjudicator must also be satisfied that an approved screening device registered a "WARN".</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Once the adjudicator has determined that the person served with the Notice was a "driver" and that the device registered a "WARN", then the adjudicator will turn his or her mind to whether the appropriate prohibition term was applied to the driver.</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 7 or 30 day prohibition, the adjudicator will review the driving record to determine whether the prohibition was correctly escalated. If a shorter prohibition should have been given, then the adjudicator will substitute the appropriate prohibition. However, if a peace officer errs in favour of the driver (for example, issues a 3 day prohibition where a 7 day prohibition was warranted), the adjudicator will not increase the prohibition.</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in which a prohibition is substituted or revoked, the vehicle impoundment will also be varied or revoked, and the Superintendent may indemnify the vehicle owner for any towing and storage costs paid by the vehicle owner to a third party in respect of the impoundment.</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prohibition is confirmed, that person must obtain a new driver's licence before they can drive again. The new driver's license will only be issued for a 2-year term instead of the usual 5 years. The person will also be required to pay a $250 driver's licence reinstatement fee to ICBC.</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adjudicator requires additional time in order to make a decision, he or she may extend the 21 day period within which a decision must be made, and may stay the prohibition for the period of the extension. However, if the adjudicator or the OSMV appeal registry determines that the applicant has caused or contributed to the delay, the time to make the decision may be extended without a stay of the prohibition.</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prohibition is stayed, the Superintendent will order the release of the impounded vehicle. The costs and charges associated with impoundment may be reimbursed if the prohibition is later revoked on review.</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applicant will be notified of the adjudicator's decision in respect of the IRP. If the applicant is unhappy with the adjudicator's decision, he or she may commence a judicial review in the Supreme Court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Approved Screening Device Regulation,</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B.C. Reg. 590/2004</w:t>
        </w:r>
      </w:hyperlink>
      <w:r>
        <w:rPr>
          <w:rFonts w:ascii="arial" w:eastAsia="arial" w:hAnsi="arial" w:cs="arial"/>
          <w:color w:val="000000"/>
          <w:sz w:val="20"/>
          <w:lang w:val="en-US" w:eastAsia="en-US" w:bidi="ar-SA"/>
        </w:rPr>
        <w:t xml:space="preserve">, prescribes three types of ASDs for the purpose of section 215.41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one of which was known as the Alco-Sensor IV DWF and was in use in B.C. at the material time for the purpose of issuing immediate roadside prohibitions.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Frederick Fromm is a retired forensic scientist of 36 years experience with the RCMP with particular experience in the physiology and pharmacology of alcohol in humans and the testing of breath to determine alcohol concentration in blood. Mr. Fromm deposes at paras. 17 through 22 of his affidavit:</w:t>
      </w:r>
      <w:r>
        <w:rPr>
          <w:rFonts w:ascii="arial" w:eastAsia="arial" w:hAnsi="arial" w:cs="arial"/>
          <w:sz w:val="20"/>
          <w:lang w:val="en-US" w:eastAsia="en-US" w:bidi="ar-SA"/>
        </w:rPr>
        <w:cr/>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breath test instrument, evidentiary or approved screening device, is expected to be or can be completely accurate and precise all of the time. The Alco-Sensor IV DWF and all other approved screening devices contain mechanical components that cannot replicate their operation exactly for each and every test. When a known alcohol standard is tested repeatedly on the Alco-Sensor IV DWF, the device will indicate the exact known value of the standard on most of the test, but on some tests it will produce a result 1 mg/100 ml above or 1 mg/100 ml below the known value. On fewer occasions, the Alco-Sensor IV DWF will produce a result 2 mg/100 ml above or 2 mg/100 ml below the known value. On even fewer occasions, the Alco-Sensor IV DWF will produce a result 3 mg/100 ml above or 3 mg/100 ml below the known value.</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tolerance of the Alco-Sensor IV DWF is derived by taking the maximum +/- 3 mg/100 ml variation from a known alcohol standard and then multiplying this variation by 3 to "statistically" result in a margin of acceptability for </w:t>
      </w:r>
      <w:r>
        <w:rPr>
          <w:rFonts w:ascii="arial" w:eastAsia="arial" w:hAnsi="arial" w:cs="arial"/>
          <w:i/>
          <w:color w:val="000000"/>
          <w:sz w:val="20"/>
          <w:lang w:val="en-US" w:eastAsia="en-US" w:bidi="ar-SA"/>
        </w:rPr>
        <w:t>all</w:t>
      </w:r>
      <w:r>
        <w:rPr>
          <w:rFonts w:ascii="arial" w:eastAsia="arial" w:hAnsi="arial" w:cs="arial"/>
          <w:color w:val="000000"/>
          <w:sz w:val="20"/>
          <w:lang w:val="en-US" w:eastAsia="en-US" w:bidi="ar-SA"/>
        </w:rPr>
        <w:t xml:space="preserve"> breath alcohol analysis performed by the Alco-Sensor IV DWF devices. For simplicity purposes, the margin of acceptability is rounded up from +/- 9 mg/100 ml to +/- 10 mg/100 ml of a known alcohol standard.</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Tolerance is therefore a theoretical statistical expression of what a scientific result could be when an analysis is performed. The application of tolerance to any test result is a policy issue. Users of evidentiary or approved screening devices may decide to accept a test result at face value and not apply a tolerance to it.</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 to Intoximeters Inc. of Saint Louis, Missouri, the manufacturer of the Alco-Sensor IV DWF, the device has a tolerance +/- 5% (e.g., a reading of 50 mg/100 ml could be between 47.5 mg/100 ml and 52.5 mg/100 ml, a reading of 60 mg/100 ml could be between 57 mg/100 ml and 63 mg/100 ml, etc.). However, the RCMP Forensic Science and Identification Services applies a tolerance of +/- 10 mg/100 ml to the Alco-Sensor IV DWF over the complete life of its service by police agencies. This is a conservative approach to ensure that results produced by the Alco-Sensor IV DWF are not overstated as the instrument components age and a slight increase in the device's precision naturally occurs.</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comparing the results of an approved screening device to a corresponding blood alcohol reading, one has to consider:</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tolerance of an approved screening device of +/- 10 mg/100 ml;</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+/- 5 mg/100 ml tolerance of a blood alcohol analysis; and</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using a breath: blood alcohol ratio of 2100:1 will result in the breath alcohol analysis underestimating the blood alcohol result in the majority of cases.</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an Alco-Sensor IV DWF result as compared to a blood sample collected and tested at the same time, will be as much as 20 mg/100 ml </w:t>
      </w:r>
      <w:r>
        <w:rPr>
          <w:rFonts w:ascii="arial" w:eastAsia="arial" w:hAnsi="arial" w:cs="arial"/>
          <w:i/>
          <w:color w:val="000000"/>
          <w:sz w:val="20"/>
          <w:lang w:val="en-US" w:eastAsia="en-US" w:bidi="ar-SA"/>
        </w:rPr>
        <w:t>lower</w:t>
      </w:r>
      <w:r>
        <w:rPr>
          <w:rFonts w:ascii="arial" w:eastAsia="arial" w:hAnsi="arial" w:cs="arial"/>
          <w:color w:val="000000"/>
          <w:sz w:val="20"/>
          <w:lang w:val="en-US" w:eastAsia="en-US" w:bidi="ar-SA"/>
        </w:rPr>
        <w:t xml:space="preserve"> than the blood alcohol result or in some cases as much as 10 mg/100 ml </w:t>
      </w:r>
      <w:r>
        <w:rPr>
          <w:rFonts w:ascii="arial" w:eastAsia="arial" w:hAnsi="arial" w:cs="arial"/>
          <w:i/>
          <w:color w:val="000000"/>
          <w:sz w:val="20"/>
          <w:lang w:val="en-US" w:eastAsia="en-US" w:bidi="ar-SA"/>
        </w:rPr>
        <w:t>higher</w:t>
      </w:r>
      <w:r>
        <w:rPr>
          <w:rFonts w:ascii="arial" w:eastAsia="arial" w:hAnsi="arial" w:cs="arial"/>
          <w:color w:val="000000"/>
          <w:sz w:val="20"/>
          <w:lang w:val="en-US" w:eastAsia="en-US" w:bidi="ar-SA"/>
        </w:rPr>
        <w:t xml:space="preserve"> than the blood alcohol result. This comparison includes the tolerances of the Alco-Sensor IV DWF result and the blood analysis, and variation from the breath: blood ratio of 2100:1. In the majority the comparisons, the Alco-Sensor IV DWF will be 10 mg/100 ml </w:t>
      </w:r>
      <w:r>
        <w:rPr>
          <w:rFonts w:ascii="arial" w:eastAsia="arial" w:hAnsi="arial" w:cs="arial"/>
          <w:i/>
          <w:color w:val="000000"/>
          <w:sz w:val="20"/>
          <w:lang w:val="en-US" w:eastAsia="en-US" w:bidi="ar-SA"/>
        </w:rPr>
        <w:t>lower</w:t>
      </w:r>
      <w:r>
        <w:rPr>
          <w:rFonts w:ascii="arial" w:eastAsia="arial" w:hAnsi="arial" w:cs="arial"/>
          <w:color w:val="000000"/>
          <w:sz w:val="20"/>
          <w:lang w:val="en-US" w:eastAsia="en-US" w:bidi="ar-SA"/>
        </w:rPr>
        <w:t xml:space="preserve"> than the corresponding blood result. This reinforces the concept that the application of tolerance to any approved screening device test result is a policy issue because the Alco-Sensor IV DWF result is most likely conservatively low without the need to subtract an additional 10 mg/100 ml from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Melvin deposes at para. 37 of her affidavit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ASDs in BC now display test results in three district ranges:</w:t>
      </w:r>
    </w:p>
    <w:p>
      <w:pPr>
        <w:numPr>
          <w:numId w:val="3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0 mg% to 59%, 59mg% being "Threshold 1". This range displays a digital reading of the actual blood alcohol concentration;</w:t>
      </w:r>
    </w:p>
    <w:p>
      <w:pPr>
        <w:numPr>
          <w:numId w:val="3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60 mg% to 99mg%, 99mg% being "Threshold 2". This range displays the word "WARN" for all readings within the range; and</w:t>
      </w:r>
    </w:p>
    <w:p>
      <w:pPr>
        <w:numPr>
          <w:numId w:val="3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100 mg% or more. This range displays the word "FAIL" for all readings within the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And Ms. Melvin deposes at para. 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 to the IRP [immediate roadside prohibition] innovation, Threshold 1 of the ASD was set at 49 mg%. This Threshold was not changed with the advent of the IRP program in September, 2010. As of December 1, 2010, Threshold 1 of all ASDs that were in service in BC was set at 59 mg%. Threshold 2 has always been set at 99 mg%.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Fromm deposes at paras. 32 and 33 of his affidavit that:</w:t>
      </w:r>
      <w:r>
        <w:rPr>
          <w:rFonts w:ascii="arial" w:eastAsia="arial" w:hAnsi="arial" w:cs="arial"/>
          <w:sz w:val="20"/>
          <w:lang w:val="en-US" w:eastAsia="en-US" w:bidi="ar-SA"/>
        </w:rPr>
        <w:cr/>
      </w:r>
    </w:p>
    <w:p>
      <w:pPr>
        <w:numPr>
          <w:numId w:val="3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December 1, 2010, the Alco-Sensor IV DWF in British Columbia has been programmed to display test results in three ranges, as follows:</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0 mg/100 ml to 59 mg/100 ml - in this range, a numerical result is displayed;</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60 mg/100 ml to 99 mg/100 ml - for any BAC in this range, the word WARN is displayed; and</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100 mg/ 100 ml or greater - for any BAC in this range, the word FAIL is displayed.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December 1, 2010, the WARN threshold was set at 49 mg/100 ml, rather than 59 mg/100 ml.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have provided an expert report from W.K. Jeffery, a consultant in the field of "Forensic Alcohol/Toxicology/Drugs". Mr. Jeffery was section head of the toxicology services section of the RCMP forensic laboratory in Vancouver for almost 20 years and was a member of the alcohol section in the RCMP forensic laboratory in Edmonton for 4 years before that. Mr. Jeffery's opinion was sought on the following questions:</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are Approved Screening Devices and what screening devices were used by police forces in British Columbia to investigate and issue prohibitions pursuant to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after September 20, 2010 ("Screening Device")?</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does a properly calibrated Screening Device measure, how does that measurement relate to blood alcohol concentration, what is the margin of error and where do the errors arise from?</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reading would an improperly calibrated Screening Device provide, for example a device that had not been calibrated for 6-12 months?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information can the Screening Device display and/or record and what were the devices programmed to display? How are the devices programmed to display "warn" and "fail"?</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presence of breath alcohol is required for the Screening Device to provide a result that the extrapolated blood alcohol concentration is not less than 80 milligrams percent, what setting would the Screening Device need to be set at to indicate "fail"?</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presence of breath alcohol was the Screening Device programmed to display "fail"?</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presence of breath alcohol is required for the Screening Device to provide a result that the extrapolated alcohol concentration is not less than 30 milligrams percent, what setting would the Screening Device need to be set at to indicate "warn"?</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presence of breath alcohol is required for the Screening Device to provide a result that the extrapolated blood alcohol concentration is not less than 50 milligrams percent, what setting would the Screening Device need to be set at to indicate "warn"?</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presence of breath alcohol was the Screening Device programmed to display "warn"?</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a unit of alcohol, how many units of alcohol could be consumed by the average male and female adult over dinner to avoid a reading of "warn" on a Screening Device programmed to display "warn" at an extrapolated alcohol concentration of 30 milligrams percent, at 50 milligrams percent?</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effect do various Blood Alcohol Concentrations have on one's ability to operate a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have considered Mr. Jeffery's answers to questions 2, 4, 8, 9 and 11 as follows:</w:t>
      </w:r>
      <w:r>
        <w:rPr>
          <w:rFonts w:ascii="arial" w:eastAsia="arial" w:hAnsi="arial" w:cs="arial"/>
          <w:sz w:val="20"/>
          <w:lang w:val="en-US" w:eastAsia="en-US" w:bidi="ar-SA"/>
        </w:rPr>
        <w:cr/>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Question 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properly calibrated screening device measures a subjects Breath Alcohol Concentration and uses that measure to calculate a Blood Alcohol Concentration (BAC).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first factor that must be considered is the "Blood Breath Ratio". Breath testing instruments not are reporting a Blood alcohol concentration. This is done by using a blood breath ratio of 2100:1 (All instruments are calibrated at this ratio). This Blood Breath Ratio in an individual can vary from 1900-2300:1. Therefore when converting the breath alcohol concentration to a blood alcohol concentration the estimate of BAC will read up 20 mg% low of the actual blood sample or up to 10 mg% high. For example, with a direct Blood Alcohol Analysis of 100 mg%, the breath result obtained from an approved screening device will provide a reading from 80 mg% to 110 mg%.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second factor is all roadside screening devices all have an accuracy of +/- 10 mg%. That means a reading of 100 mg% could range anywhere from 90 to 110 mg% in the second reading.</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Question 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On the Alco Sensor IV-DWF can be programmed to display digital readings or can be programmed to indicate a warn light or a fail light at different readings.</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Question 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To detect a Blood Alcohol Concentration of 50 mg%, a RSD should be set at 70 mg%, this takes in account the +/- 10 mg% accuracy of the instrument and the possibility that a breath sample can read 10 mg% high of a blood sample.</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Question 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September 2010 the RSD's were set at 50 mg% to indicate a warn. Presently they are set at 60 mg% to indicate a warn.</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Question 11.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individual with a BAC of 50 mg% will have an increased probability of causing a motor vehicle accident of 2 to 3 times the chance as compared to driving on the same road, same vehicle, same weather and traffic conditions when sober, this risk increases to 6 times at a BAC of 100 mg%, All subjects' ability to operate a motor vehicle are impaired at a Blood Alcohol Concentration of 100 mg% of 100 mg% or more.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individual with a BAC of 30 mg% will have a slight increase in the probability of causing a motor vehicle chance as compared to driving on the same road, same vehicle, same weather and traffic conditions when sober.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There is agreement between Mr. Jeffery and Mr. Fromm that roadside screening devices which test breath samples to determine the concentration of alcohol in human blood have an accuracy of +/- 10 mg%.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With the above background, which has permitted me to address the pleadings with an understanding of the allegations made by the plaintiffs, I will turn to the law which applies to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Alleged Negligent Police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plaintiffs submit the police owed a duty to those drivers who they have investigated in regard to alcohol consumption, to conduct the investigation with reasonable care. The plaintiffs argue the police breached that duty thereby causing the plaintiffs' loss and damage. The failure to take reasonable care in the course of a police investigation is said to arise in the present instance from driving prohibitions founded on a "warn" indication by an ASD that was miscalibrated so that a driver with less than 50 mg of alcohol in 100 ml of blood could nonetheless register a "warn" and thus be prohibited from driving. The plaintiffs argue this result was known to the police and ought to have been overcome by calibrating the ASDs to account for the margin of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At paras. 3 through 10B of the further Amended Notice of Civil Claim the plaintiffs plead:</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20 September 2010 the police used the devices which were improperly programmed to indicate "warn" when the concentration of alcohol in a person's blood was less than 50 milligrams of alcohol in 100 millilitres of blood.</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20 September 2010 the police used the devices which were properly programmed to indicate "fail" when the concentration of alcohol in a person's blood was not less than 80 milligrams of alcohol in 100 millilitres of blood.</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19 November 2010 the police announced there was a problem with the "warn" indication on the devices.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Immediately following the announcement the police stopped using the "warn" indication on the devices.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re-programming the devices, the police began to once again use the "warn" indication. Despite the change, the devices remained improperly programmed to indicate "warn" when the concentration of alcohol in a person's blood was less than 50 milligrams of alcohol in 100 millilitres of blood.</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changes were made to the "fail" indication on the devices.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case arises from the use of the devices by the police from 20 September 2010.</w:t>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this period the police issued roadside driving prohibitions, fines and vehicle impoundments based upon improperly programmed "warn" indications on the devices.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10A. Prior to 15 June 2012, if a driver provided a breath sample that indicated "warn" the police would only provide an opportunity to the driver to provide a second sample into a different screening device if the driver agreed that he or she would be liable for the penalties associated with a "fail" reading if his or her second sample indicated a "fail".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10B. After 15 June 2012, the police changed the manner in which they investigated offences under section 215.42 of </w:t>
      </w:r>
      <w:r>
        <w:rPr>
          <w:rFonts w:ascii="arial" w:eastAsia="arial" w:hAnsi="arial" w:cs="arial"/>
          <w:i/>
          <w:color w:val="000000"/>
          <w:sz w:val="20"/>
          <w:lang w:val="en-US" w:eastAsia="en-US" w:bidi="ar-SA"/>
        </w:rPr>
        <w:t>the Act</w:t>
      </w:r>
      <w:r>
        <w:rPr>
          <w:rFonts w:ascii="arial" w:eastAsia="arial" w:hAnsi="arial" w:cs="arial"/>
          <w:color w:val="000000"/>
          <w:sz w:val="20"/>
          <w:lang w:val="en-US" w:eastAsia="en-US" w:bidi="ar-SA"/>
        </w:rPr>
        <w:t>; if a driver provides a breath sample that indicates "warn" the police now provide an opportunity to the driver to provide a second sample into a different screening device and will rely on the lower of the two readings.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At paras. 39 through 51 the plaintiffs plead:</w:t>
      </w:r>
      <w:r>
        <w:rPr>
          <w:rFonts w:ascii="arial" w:eastAsia="arial" w:hAnsi="arial" w:cs="arial"/>
          <w:sz w:val="20"/>
          <w:lang w:val="en-US" w:eastAsia="en-US" w:bidi="ar-SA"/>
        </w:rPr>
        <w:cr/>
      </w:r>
    </w:p>
    <w:p>
      <w:pPr>
        <w:numPr>
          <w:numId w:val="4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devices do not provide an accurate reading of the exact concentration of alcohol in a person's blood. They provide an estimate of a person's blood alcohol concentration.</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estimate is subject to an error of at least 10 milligrams of alcohol per 100 millilitres of blood.</w:t>
      </w:r>
    </w:p>
    <w:p>
      <w:pPr>
        <w:numPr>
          <w:numId w:val="4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devices require programming to account for this margin of error.</w:t>
      </w:r>
    </w:p>
    <w:p>
      <w:pPr>
        <w:numPr>
          <w:numId w:val="4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Commencing on 20 September 2010 the police properly programmed the devices to account for the margin of error when the device indicated "fail".</w:t>
      </w:r>
    </w:p>
    <w:p>
      <w:pPr>
        <w:numPr>
          <w:numId w:val="4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Commencing on 20 September 2010 the police did not properly program the devices to account for the margin of error when the device indicated "warn".</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devices were programmed to indicate "warn" when the concentration of alcohol in a person's blood was less than 50 milligrams of alcohol in 100 millilitres of blood.</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19 November 2010 the police announced to the public that there was a problem with the "warn" indication on the devices.</w:t>
      </w:r>
    </w:p>
    <w:p>
      <w:pPr>
        <w:numPr>
          <w:numId w:val="5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Immediately following the 19 November 2010 announcement the police stopped using the "warn" indication on the devices.</w:t>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re-programming the devices, the police began to once again use the "warn" indication. Despite the change, the devices remained improperly programmed to indicate "warn" when the concentration of alcohol in a person's blood was less than 50 milligrams of alcohol in 100 millilitres of blood.</w:t>
      </w:r>
    </w:p>
    <w:p>
      <w:pPr>
        <w:numPr>
          <w:numId w:val="5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changes were made to the "fail" indication on the devices.</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From 20 September 2010 the "warn" indications could not be relied upon to assess penalties under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20 September 2010 all roadside prohibitions, fines and vehicle impoundments based on a "warn" indication were issued unlawfully.</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20 September 2010 all roadside prohibitions, fines and vehicle impoundments based on a "warn" indication were improperly investigated by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At paras. 33 through 38 of the further Amended Notice of Civil Claim the plaintiffs plead some of the effects of the 2010 amendments to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legislation states the devices shall be programmed to indicate "warn" when the concentration of alcohol in a person's blood is not less than 50 milligrams of alcohol in 100 millilitres of blood, and to indicate "fail" when the concentration of alcohol in a person's blood is not less than 80 milligrams of alcohol in 100 millilitres of blood.</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"warn" indication from a device requires a police officer to issue a driving prohibition, a fine and to impound the driver's vehicle.</w:t>
      </w:r>
    </w:p>
    <w:p>
      <w:pPr>
        <w:numPr>
          <w:numId w:val="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"fail" indication from a device requires a police officer to issue a driving prohibition, a fine, to impound the driver's vehicle and requires the driver to take a responsible driving program and participate in an ignition interlock program.</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amendments to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were designed to discourage drivers from challenging a "warn" or a "fail" indication from a device and the corresponding penalties and/or sanctions.</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amendments to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provide the police officer's report of what took place at a roadside assessment cannot be challenged and the penalties associated with the legislation take effect immediately.</w:t>
      </w:r>
    </w:p>
    <w:p>
      <w:pPr>
        <w:numPr>
          <w:numId w:val="6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amendments to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require the public to place a greater reliance on the integrity of the police to properly investigate offences and stay within the bounds of the authority defined by 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plaintiffs argue the relationships they allege bring their proposed class proceeding within a category of relationship sufficiently close and direct to apply the reasoning in </w:t>
      </w:r>
      <w:r>
        <w:rPr>
          <w:rFonts w:ascii="arial" w:eastAsia="arial" w:hAnsi="arial" w:cs="arial"/>
          <w:i/>
          <w:color w:val="000000"/>
          <w:sz w:val="20"/>
          <w:lang w:val="en-US" w:eastAsia="en-US" w:bidi="ar-SA"/>
        </w:rPr>
        <w:t>Hill v. Hamilton-Wentworth Regional Police Services Board</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2007 SCC 41</w:t>
        </w:r>
      </w:hyperlink>
      <w:r>
        <w:rPr>
          <w:rFonts w:ascii="arial" w:eastAsia="arial" w:hAnsi="arial" w:cs="arial"/>
          <w:color w:val="000000"/>
          <w:sz w:val="20"/>
          <w:lang w:val="en-US" w:eastAsia="en-US" w:bidi="ar-SA"/>
        </w:rPr>
        <w:t xml:space="preserve">, in which the Supreme Court of Canada defined a category of liability arising out of a negligent police investigation. It is important, however, that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at para. 27, the Supreme Court of Canada was careful to define the relationship in that case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Before moving on to the analysis of proximity in depth, it is worth pausing to state explicitly that this judgment is concerned only with a very particular relationship - the relationship between a police officer and a particularized suspect that he is investigating.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my opinion the approach taken by the Supreme Court of Canada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in determining if a duty of care existed on the facts of that case cannot be translated to the alleged duty owed by the police in the "investigation" of the plaintiffs. The scope of the duty recognized by the Supreme Court of Canada in regard to police investigations is narrower than the plaintiffs advocate. The cautionary words of the court, namely, "a very particular relationship" and "a particularized suspect" do not lend themselves to the widely used screening of multiple drivers as contemplated by the </w:t>
      </w:r>
      <w:r>
        <w:rPr>
          <w:rFonts w:ascii="arial" w:eastAsia="arial" w:hAnsi="arial" w:cs="arial"/>
          <w:i/>
          <w:color w:val="000000"/>
          <w:sz w:val="20"/>
          <w:lang w:val="en-US" w:eastAsia="en-US" w:bidi="ar-SA"/>
        </w:rPr>
        <w:t>Motor Vehicle Act. Hill</w:t>
      </w:r>
      <w:r>
        <w:rPr>
          <w:rFonts w:ascii="arial" w:eastAsia="arial" w:hAnsi="arial" w:cs="arial"/>
          <w:color w:val="000000"/>
          <w:sz w:val="20"/>
          <w:lang w:val="en-US" w:eastAsia="en-US" w:bidi="ar-SA"/>
        </w:rPr>
        <w:t xml:space="preserve"> is not an authority on which the plaintiffs can rely. In my opinion the police owed no duty of care when "investigating"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 am reinforced in this opinion by the fact that the means of investigation to which the plaintiffs were subjected is required by the </w:t>
      </w:r>
      <w:r>
        <w:rPr>
          <w:rFonts w:ascii="arial" w:eastAsia="arial" w:hAnsi="arial" w:cs="arial"/>
          <w:i/>
          <w:color w:val="000000"/>
          <w:sz w:val="20"/>
          <w:lang w:val="en-US" w:eastAsia="en-US" w:bidi="ar-SA"/>
        </w:rPr>
        <w:t>Motor Vehicle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find that, on the alleged facts of this case, there is no cause of action available for loss or damage caused by a negligent police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Negligent Misstatement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pleading of a negligent misstatement made to Hartt is found at paras. 55 to 59 of the pleading as follows:</w:t>
      </w:r>
      <w:r>
        <w:rPr>
          <w:rFonts w:ascii="arial" w:eastAsia="arial" w:hAnsi="arial" w:cs="arial"/>
          <w:sz w:val="20"/>
          <w:lang w:val="en-US" w:eastAsia="en-US" w:bidi="ar-SA"/>
        </w:rPr>
        <w:cr/>
      </w:r>
    </w:p>
    <w:p>
      <w:pPr>
        <w:numPr>
          <w:numId w:val="6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Corporal Lecker negligently misstated to the plaintiff Hartt that as a result of having indicated "warn" on the device the plaintiff Hartt had a concentration of alcohol in his blood of no less than 50 milligrams of alcohol per 100 millilitres of blood when Corporal Lecker knew, or should have known, that statement was misleading or inaccurate given the incorrect programming of the device.</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of the "warn" signal the plaintiff Hartt was issued an immediate roadside prohibition, fine and vehicle impoundment by Corporal Lecker of the Royal Canadian Mounted Police pursuant to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p>
    <w:p>
      <w:pPr>
        <w:numPr>
          <w:numId w:val="6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Hartt was advised that he had one week to challenge the fine and prohibition under the legislation.</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legislation and the negligent misstatement of the device and of the constable the plaintiff Hartt did not pursue this right.</w:t>
      </w:r>
    </w:p>
    <w:p>
      <w:pPr>
        <w:numPr>
          <w:numId w:val="6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immediate roadside prohibition and vehicle impoundment the plaintiff Hartt was required to pay amounts which include, but are not limited to:</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monetary penalty;</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driver's license reinstatement fee;</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towing charge; and</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storage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Similar allegations are made by Narduzzi.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misstatement alleged is that the police represented to the plaintiffs that they had at least 50 milligrams of alcohol in 100 millilitres of blood when the police knew or should have known the representation "was misleading or inaccurate given the incorrect programming of the device". In my view this is not truly an allegation of negligent misstatement. It is a complaint that the ASDs had a margin of error which could work to the disadvantage of some drivers such as the plaintiffs whose case must be that their blood alcohol concentration was less than 50 mg%.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my opinion the plaintiffs face an insuperable difficulty. They complain of the alleged failure of the police to program the ASDs so that they indicate "warn" only when the breath of a driver reveals a blood alcohol concentration which is actually at least 50 milligrams of alcohol in 100 millilitres of blood. However, unlike s. 253 (1)(b)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which provides that a person commits a criminal offence by operating a motor vehicle with a blood alcohol concentration which can be proven to exceed 80 milligrams of alcohol in 100 millilitres of blood,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does not lead to a driving prohibition only when a driver's blood alcohol can be proven to have reached a certain concentration. The 2010 amendments to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provide only that the police shall use a device to collect a breath sample from a driver and, if the device indicates "warn", this fact alone requires the police to immediately prohibit further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When the legislation providing for the immediate roadside prohibition of which the plaintiffs complain was introduced in the legislature by the responsible minister, his words were recorded in </w:t>
      </w:r>
      <w:r>
        <w:rPr>
          <w:rFonts w:ascii="arial" w:eastAsia="arial" w:hAnsi="arial" w:cs="arial"/>
          <w:i/>
          <w:color w:val="000000"/>
          <w:sz w:val="20"/>
          <w:lang w:val="en-US" w:eastAsia="en-US" w:bidi="ar-SA"/>
        </w:rPr>
        <w:t>Hansard</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B.C. upwards of 130 - plus individuals and their families last year were impacted in the most terrible of ways by impaired driving. I suppose most disturbing of all is the fact that after a period where society did recognize the horror and react by altering behaviour in a fairly significant way, the trend lines of late have begun to move in the wrong direction. Those accidents and those deaths are going up. There are comprehensive surveys that examine these sorts of things, and they indicate that the number of alcohol-related accidents and death is on the increase.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approach laid out in this legislation will be the toughest in Canada. I'm not sure that is necessarily the only way it should be characterized, but I suppose that is a simple and straightforward means of communicating to people who persist in this behaviour that they are going to feel significant and severe sanction. They will complement the Criminal Code provisions that remain in effect, and that is another point worth emphasizing when we talk about these provisions dealing with drinking and driving.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Criminal Code provisions exist. They will continue to exist. Whilst police will have additional tools - I think fair to say more immediate, more efficient tools - to deal with impaired driving, with swift and severe penalties available at the roadside, the prospect of facing Criminal Code - related procedures and sanctions does not disappear. In many instances, it will still be the preferred route by which sanctions are brought to bear against drivers.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amendments will create escalating roadside prohibitions for drivers who have blood alcohol concentration levels in what is termed the warn range between 0.05 and 0.08 </w:t>
      </w:r>
      <w:r>
        <w:rPr>
          <w:rFonts w:ascii="arial" w:eastAsia="arial" w:hAnsi="arial" w:cs="arial"/>
          <w:i/>
          <w:color w:val="000000"/>
          <w:sz w:val="20"/>
          <w:u w:val="single"/>
          <w:lang w:val="en-US" w:eastAsia="en-US" w:bidi="ar-SA"/>
        </w:rPr>
        <w:t>as measured by a roadside screening device.</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words emphasized ("as measured by a roadside screening device") are an accurate reflection of the 2010 amendments to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It is the measurement of blood alcohol by use of a device approved by statute which leads to a driving prohibition if the device indicates a "warn". The plaintiffs' attack on the scheme is that the ASDs ought to be more accurate. In other words they would prefer there be a scheme more like that found in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by which the crown must prove that the blood alcohol concentration in the accused exceeds the legal maximum. The alleged negligent misstatement by the police is an accurate statement of the effect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once a "warn" is indicated. The statement cannot be an actionable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Moreau</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[1979] 1 S.C.R. 261</w:t>
        </w:r>
      </w:hyperlink>
      <w:r>
        <w:rPr>
          <w:rFonts w:ascii="arial" w:eastAsia="arial" w:hAnsi="arial" w:cs="arial"/>
          <w:color w:val="000000"/>
          <w:sz w:val="20"/>
          <w:lang w:val="en-US" w:eastAsia="en-US" w:bidi="ar-SA"/>
        </w:rPr>
        <w:t>, the Court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Superior Court and the Court of Appeal were right, no one could in effect be charged under s. 236 unless the reading indicated a quantity of alcohol in excess of 90 milligrams in 100 millilitres of blood whenever the qualified technician used an approved Borkenstein Breathalyser Model 900 or 900A. Similar practical results would inevitably occur if other approved models of breath analyzers were used, with slight variations upwards or downwards; but whatever approved instrument be used, the prohibition enacted in s. 236 would never be fully enforceable in any given case by the means expressly provided for in the Code nor, for that matter, by any other means. Yet, one of the reasons if not the only reason why Parliament prescribed the use of approved instruments must have been that it wanted its precise prohibition to be exactly enforceable. This intent would be frustrated if approved instruments were treated as ordinary instruments.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Justice Martinson in </w:t>
      </w:r>
      <w:r>
        <w:rPr>
          <w:rFonts w:ascii="arial" w:eastAsia="arial" w:hAnsi="arial" w:cs="arial"/>
          <w:i/>
          <w:color w:val="000000"/>
          <w:sz w:val="20"/>
          <w:lang w:val="en-US" w:eastAsia="en-US" w:bidi="ar-SA"/>
        </w:rPr>
        <w:t>Yurik v. British Columbia (Superintendent of Motor Vehicles)</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2004 BCSC 1530</w:t>
        </w:r>
      </w:hyperlink>
      <w:r>
        <w:rPr>
          <w:rFonts w:ascii="arial" w:eastAsia="arial" w:hAnsi="arial" w:cs="arial"/>
          <w:color w:val="000000"/>
          <w:sz w:val="20"/>
          <w:lang w:val="en-US" w:eastAsia="en-US" w:bidi="ar-SA"/>
        </w:rPr>
        <w:t>, commented: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Ms. Jurak opined that the margin of error of breath sample readings meant that the petitioner's actual BAC at the time of the samples could have been as low as 80mg/100ml.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this respect I agree with the submission of the Superintendent that the principle enunciated by the Supreme Court of Canada in R. v. Moreau, cited above, at p. 458, in the criminal law context applies equally to this legislation. That is, the legislature should be taken to have considered the limitations of the approved instruments in setting its BAC limits in the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Sivia supra,</w:t>
      </w:r>
      <w:r>
        <w:rPr>
          <w:rFonts w:ascii="arial" w:eastAsia="arial" w:hAnsi="arial" w:cs="arial"/>
          <w:color w:val="000000"/>
          <w:sz w:val="20"/>
          <w:lang w:val="en-US" w:eastAsia="en-US" w:bidi="ar-SA"/>
        </w:rPr>
        <w:t xml:space="preserve"> Sigurdson J. observed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Primarily, the ARP [automatic roadside prohibition] legislation provides for a licence suspension and incidental penalties and costs on the </w:t>
      </w:r>
      <w:r>
        <w:rPr>
          <w:rFonts w:ascii="arial" w:eastAsia="arial" w:hAnsi="arial" w:cs="arial"/>
          <w:color w:val="000000"/>
          <w:sz w:val="20"/>
          <w:u w:val="single"/>
          <w:lang w:val="en-US" w:eastAsia="en-US" w:bidi="ar-SA"/>
        </w:rPr>
        <w:t>happening of an event</w:t>
      </w:r>
      <w:r>
        <w:rPr>
          <w:rFonts w:ascii="arial" w:eastAsia="arial" w:hAnsi="arial" w:cs="arial"/>
          <w:color w:val="000000"/>
          <w:sz w:val="20"/>
          <w:lang w:val="en-US" w:eastAsia="en-US" w:bidi="ar-SA"/>
        </w:rPr>
        <w:t>: a peace officer, based on an approved screening device showing a "fail" or "warn", believes that a driver's ability to drive is affected by alcohol, and imposes a prohibition and related consequences accordingly.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It is revealing that the plaintiff Hartt in paragraph 58 of the Further Amended Notice of Civil Claim and the plaintiff Narduzzi in paragraph 59(I) plead that "[a]s a result of the legislation ..." they each did not challenge their respective prohibitions. I will have more to say later in these reasons about the decision of the plaintiffs not to challenge their driving prohibition but in the present context, I conclude the allegations of negligent misstatement are properly considered an attack on the legislation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Did Those Who Programmed the ASDs Owe A Duty Of Care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complaint of the plaintiffs is of a failure by the defendants, when programming the ASDs, to take reasonable care not to breach their alleged duty, not to cause foreseeable loss to them. The plaintiffs must satisfy the test found in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[1978] A.C. 728 (H.L.), as explained in later cases. In particular I must consider whether, on the facts alleged, the plaintiffs, as a matter of law, have any prospect of demonstrating a duty was owed to them by the defendants to program the ASDs in a manner which avoided false attributions of at least 50 mg% of alcohol in the plaintiffs' blood.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Donoghue v. Stevenson</w:t>
      </w:r>
      <w:r>
        <w:rPr>
          <w:rFonts w:ascii="arial" w:eastAsia="arial" w:hAnsi="arial" w:cs="arial"/>
          <w:color w:val="000000"/>
          <w:sz w:val="20"/>
          <w:lang w:val="en-US" w:eastAsia="en-US" w:bidi="ar-SA"/>
        </w:rPr>
        <w:t xml:space="preserve">, [1932] A.C. 562 (H.L.), it was famously held that a person could be found liable for reasonably foreseeable harm caused to his "neighbour". The use of the word "neighbour" requires an answer to the question "who is the defendant's neighbour" and the answer has been found by the Courts to require "a close and direct relationship of proximity". See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the great majority of tort cases there is no difficulty in finding the requisite relationship exists because the type of relationship in question falls within a recognized category, such as a duty to take reasonable care when driving not to cause harm to others using the roads. Further, simply because the alleged facts of a case do not fall within a recognized category does not necessarily lead to the conclusion that no duty of care exists. As Lord Atkin declared in </w:t>
      </w:r>
      <w:r>
        <w:rPr>
          <w:rFonts w:ascii="arial" w:eastAsia="arial" w:hAnsi="arial" w:cs="arial"/>
          <w:i/>
          <w:color w:val="000000"/>
          <w:sz w:val="20"/>
          <w:lang w:val="en-US" w:eastAsia="en-US" w:bidi="ar-SA"/>
        </w:rPr>
        <w:t>Donoghue v. Stevenson,</w:t>
      </w:r>
      <w:r>
        <w:rPr>
          <w:rFonts w:ascii="arial" w:eastAsia="arial" w:hAnsi="arial" w:cs="arial"/>
          <w:color w:val="000000"/>
          <w:sz w:val="20"/>
          <w:lang w:val="en-US" w:eastAsia="en-US" w:bidi="ar-SA"/>
        </w:rPr>
        <w:t xml:space="preserve"> the categories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not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 do not accept the plaintiffs had a relationship with the defendants which the authorities require to impose a duty of care on the defendants when the ASDs were programmed. If a duty of care is to be found, it must be found in the legislation because there is no other source in law. The problem the plaintiffs face is that the most that can be said of any duty of care found in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is that there is a duty to the general public to promote safe driving. I cannot find there was a duty owed by the defendants to these plaintiffs to take reasonable care when programming the ASDs.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Decision On The Programming Of The ASDs Was A Policy Choice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Even if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could be found the plaintiffs are faced with the second stage of the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test which may negate the duty for overriding policy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province's policy to remove immediately from the roadways those drivers who have an unacceptable level of alcohol in their blood while driving could have been achieved in many ways. One means might have been through blood tests. This would obviously be more technically demanding and more intrusive than breath samples and no doubt impose delay that would defeat the scheme. The legislature decided instead to employ the quick and simple process of a breath sample taken by a device approved by statutory regulation which gives an "indication" when blood alcohol concentration reaches a level within certain parameters where alcohol consumption adversely affects driving ability. These parameters are referred to as the margin of error in the ASD.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Alco-Sensor IV DWF used by the province could have been programmed to account for the margin of error. If the margin of error is not taken into account it does not benefit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Following enactment of the legislation a decision was taken not to program the ASDs to take the margin of error into account. The inevitable effect has been that some drivers whose blood alcohol concentration was less than 50 mg% have been prohibited from driving while some drivers with 50 mg% or somewhat more have escaped a prohibition. In November 2010, on the recommendation of the B.C. Association of Chiefs of Police, responding to concerns raised by the media, a decision was taken to recalibrate the ASDs to give drivers the benefit of the margin of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my view the calibration and recalibration decisions were policy choices and not actionable. As was said in </w:t>
      </w:r>
      <w:r>
        <w:rPr>
          <w:rFonts w:ascii="arial" w:eastAsia="arial" w:hAnsi="arial" w:cs="arial"/>
          <w:i/>
          <w:color w:val="000000"/>
          <w:sz w:val="20"/>
          <w:lang w:val="en-US" w:eastAsia="en-US" w:bidi="ar-SA"/>
        </w:rPr>
        <w:t>Just v. British Columbia,</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"[t]rue policy decisions should be exempt from tortious claims so that governments are not restricted in making decisions based upon social, political or economic factors." The choices made to program the ASDs in a particular manner are exempt from the tort claims advanced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 Action For Damages Cannot Displace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There is yet a further obstacle in the plaintiffs' path.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provides a driver with the right to challenge a driving prohibition through an administrative process. As mentioned the plaintiffs plead that "[a]s a result of the legislation [they] did not pursue this right". It is apparent that the plaintiffs did not pursue this right because they believed the administrative review process given by the statute provided them with no effective avenue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Soychuk v. British Columbia (Superintendent of Motor Vehicles)</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2004 BCSC 867</w:t>
        </w:r>
      </w:hyperlink>
      <w:r>
        <w:rPr>
          <w:rFonts w:ascii="arial" w:eastAsia="arial" w:hAnsi="arial" w:cs="arial"/>
          <w:color w:val="000000"/>
          <w:sz w:val="20"/>
          <w:lang w:val="en-US" w:eastAsia="en-US" w:bidi="ar-SA"/>
        </w:rPr>
        <w:t xml:space="preserve">, the court commented, in the context of that case, on the limited redress available pursuant to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 believe that Mr. Soychuk's argument would have merit were it not for the remedial provisions available to him and any other motorist in British Columbia under the Judicial Review Procedure Act. As I understand it, the Judicial Review Procedure Act may be employed by any motorist who feels that s. 215 has been improperly employed against him. The Judicial Review Procedure Act offers unhappy motorists an opportunity to challenge whether the office who issued a roadside suspension had the necessary "reasonable and probable" grounds to act. It may be true that few citizens of the province are aware of the Judicial Review Procedure Act and fewer may be, on their own, able to advance a challenge under that Act. Nevertheless, the Judicial Review Procedure Act is available and can be a powerful check against improper use of statutory authority. Given that there are no time limits on the initiation of a Judicial Review Procedure Act proceeding it would seem an excellent avenue for a motorist to challenge a s. 215 roadside suspension. Indeed, the fact that such suspensions may be attacked in a Judicial Review Procedure Act proceeding was recognized by Bauman J. in the Moy case, </w:t>
      </w:r>
      <w:hyperlink r:id="rId220" w:history="1">
        <w:r>
          <w:rPr>
            <w:rFonts w:ascii="arial" w:eastAsia="arial" w:hAnsi="arial" w:cs="arial"/>
            <w:i/>
            <w:color w:val="0077CC"/>
            <w:sz w:val="20"/>
            <w:u w:val="single"/>
            <w:shd w:val="clear" w:color="auto" w:fill="FFFFFF"/>
            <w:lang w:val="en-US" w:eastAsia="en-US" w:bidi="ar-SA"/>
          </w:rPr>
          <w:t>[2004] B.C.J. No. 948</w:t>
        </w:r>
      </w:hyperlink>
      <w:r>
        <w:rPr>
          <w:rFonts w:ascii="arial" w:eastAsia="arial" w:hAnsi="arial" w:cs="arial"/>
          <w:color w:val="000000"/>
          <w:sz w:val="20"/>
          <w:lang w:val="en-US" w:eastAsia="en-US" w:bidi="ar-SA"/>
        </w:rPr>
        <w:t>, supra.</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Accordingly, I find that a mechanism does exist by which a motorist may obtain a full and fair hearing of s. 215 roadside suspension. That hearing may not erase the inconvenience of a brief license prohibition, but if the review shows that the section was improperly used against the motorist the court can erase the prohibition from the motorist's driver's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 recognize that </w:t>
      </w:r>
      <w:r>
        <w:rPr>
          <w:rFonts w:ascii="arial" w:eastAsia="arial" w:hAnsi="arial" w:cs="arial"/>
          <w:i/>
          <w:color w:val="000000"/>
          <w:sz w:val="20"/>
          <w:lang w:val="en-US" w:eastAsia="en-US" w:bidi="ar-SA"/>
        </w:rPr>
        <w:t>Soychuk</w:t>
      </w:r>
      <w:r>
        <w:rPr>
          <w:rFonts w:ascii="arial" w:eastAsia="arial" w:hAnsi="arial" w:cs="arial"/>
          <w:color w:val="000000"/>
          <w:sz w:val="20"/>
          <w:lang w:val="en-US" w:eastAsia="en-US" w:bidi="ar-SA"/>
        </w:rPr>
        <w:t xml:space="preserve"> was decided under a somewhat different legislative scheme from that which was introduced in 2010, and I recognize that in </w:t>
      </w:r>
      <w:r>
        <w:rPr>
          <w:rFonts w:ascii="arial" w:eastAsia="arial" w:hAnsi="arial" w:cs="arial"/>
          <w:i/>
          <w:color w:val="000000"/>
          <w:sz w:val="20"/>
          <w:lang w:val="en-US" w:eastAsia="en-US" w:bidi="ar-SA"/>
        </w:rPr>
        <w:t>Sivia supra,</w:t>
      </w:r>
      <w:r>
        <w:rPr>
          <w:rFonts w:ascii="arial" w:eastAsia="arial" w:hAnsi="arial" w:cs="arial"/>
          <w:color w:val="000000"/>
          <w:sz w:val="20"/>
          <w:lang w:val="en-US" w:eastAsia="en-US" w:bidi="ar-SA"/>
        </w:rPr>
        <w:t xml:space="preserve"> the chambers judge referred to the narrowness of the administrative challenge provided to persons in the position of the plaintiffs. Nevertheless, the chambers judge was engaged in deciding a different issue from that before me. A person who is aggrieved by a decision of a government actor must follow the path leading to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defendants rely on </w:t>
      </w:r>
      <w:r>
        <w:rPr>
          <w:rFonts w:ascii="arial" w:eastAsia="arial" w:hAnsi="arial" w:cs="arial"/>
          <w:i/>
          <w:color w:val="000000"/>
          <w:sz w:val="20"/>
          <w:lang w:val="en-US" w:eastAsia="en-US" w:bidi="ar-SA"/>
        </w:rPr>
        <w:t>Stewart v. Clark</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2012 BCSC 1093</w:t>
        </w:r>
      </w:hyperlink>
      <w:r>
        <w:rPr>
          <w:rFonts w:ascii="arial" w:eastAsia="arial" w:hAnsi="arial" w:cs="arial"/>
          <w:color w:val="000000"/>
          <w:sz w:val="20"/>
          <w:lang w:val="en-US" w:eastAsia="en-US" w:bidi="ar-SA"/>
        </w:rPr>
        <w:t>, in which a notice of civil claim was struck out as an abuse of process. In particular the defendants rely on paras. 14, 15 and 17 which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 The plaintiff's action is bound to fail because the plaintiff has no right of action by a notice of civil claim to challenge the exercise of a statutory power of decision. The law of British Columbia provides such a challenge pursuant only to the </w:t>
      </w:r>
      <w:r>
        <w:rPr>
          <w:rFonts w:ascii="arial" w:eastAsia="arial" w:hAnsi="arial" w:cs="arial"/>
          <w:i/>
          <w:color w:val="000000"/>
          <w:sz w:val="20"/>
          <w:lang w:val="en-US" w:eastAsia="en-US" w:bidi="ar-SA"/>
        </w:rPr>
        <w:t>Judicial Review Procedure Act</w:t>
      </w:r>
      <w:r>
        <w:rPr>
          <w:rFonts w:ascii="arial" w:eastAsia="arial" w:hAnsi="arial" w:cs="arial"/>
          <w:color w:val="000000"/>
          <w:sz w:val="20"/>
          <w:lang w:val="en-US" w:eastAsia="en-US" w:bidi="ar-SA"/>
        </w:rPr>
        <w:t xml:space="preserve">. In Part 1 of the plaintiff's notice of civil claim he alleges the Superintendent acted "without lawful authority". A government actor, such as the Superintendent, whose legal authority to make a decision is challenged by a person, such as the plaintiff, who believes himself aggrieved by an unlawful decision, is subject to the law which applies to judicial review of administrative action. Section 2 of the </w:t>
      </w:r>
      <w:r>
        <w:rPr>
          <w:rFonts w:ascii="arial" w:eastAsia="arial" w:hAnsi="arial" w:cs="arial"/>
          <w:i/>
          <w:color w:val="000000"/>
          <w:sz w:val="20"/>
          <w:lang w:val="en-US" w:eastAsia="en-US" w:bidi="ar-SA"/>
        </w:rPr>
        <w:t>Judicial Review Procedure Act</w:t>
      </w:r>
      <w:r>
        <w:rPr>
          <w:rFonts w:ascii="arial" w:eastAsia="arial" w:hAnsi="arial" w:cs="arial"/>
          <w:color w:val="000000"/>
          <w:sz w:val="20"/>
          <w:lang w:val="en-US" w:eastAsia="en-US" w:bidi="ar-SA"/>
        </w:rPr>
        <w:t xml:space="preserve"> provides that an application for judicial review must be brought by petition, and that the reviewing court may grant various forms of relief including a declaration or injunction in relation to the exercise, or purported exercise, of a statutory power, or may grant relief in the nature of prerogative writs to control the behaviour of a public official.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Unlike an action commenced by notice of civil claim, judicial review is intended to provide a summary procedure enabling a superior court to review the record which was before the government actor, and whose decision is challenged, to determine if, on that record, it was lawful, and if not to make appropriate orders. The process is intended to be as expeditious as reasonably possible.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There is no parallel process given to a person aggrieved by the unlawful exercise of a statutory power. The aggrieved person is not entitled to choose between judicial review and a tort action seeking damages. To attempt to do so is a prohibited evasion of the statutory scheme found in the </w:t>
      </w:r>
      <w:r>
        <w:rPr>
          <w:rFonts w:ascii="arial" w:eastAsia="arial" w:hAnsi="arial" w:cs="arial"/>
          <w:i/>
          <w:color w:val="000000"/>
          <w:sz w:val="20"/>
          <w:lang w:val="en-US" w:eastAsia="en-US" w:bidi="ar-SA"/>
        </w:rPr>
        <w:t>Judicial Review Procedure Act</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Bercheid v. Ensign</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[1999] B.C.J. No. 1172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Cimaco International Sales Inc. v. British Columbia</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2010 BCCA 342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law of this province does not entitle the plaintiffs to forego a challenge conferred by statute to their driving prohibition, thereby precluding judicial review of an adverse decision that might have been made by the Superintendent, but instead pursue a common law action. In part 2 of the Further Amended Notice of Civil Claim the plaintiffs seek an order quashing the driving prohibitions. This is the language of judicial review and that relief is available only pursuant to the </w:t>
      </w:r>
      <w:r>
        <w:rPr>
          <w:rFonts w:ascii="arial" w:eastAsia="arial" w:hAnsi="arial" w:cs="arial"/>
          <w:i/>
          <w:color w:val="000000"/>
          <w:sz w:val="20"/>
          <w:lang w:val="en-US" w:eastAsia="en-US" w:bidi="ar-SA"/>
        </w:rPr>
        <w:t>Judicial Review Procedure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Difficulties With The Class Definition And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Even if the plaintiffs had pleaded a viable cause of action, I nevertheless would decline to certify the action as a class proceeding for the following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 repeat the definition of the proposed class as "all persons who registered a 'warn' on an approved roadside screening device after September 20, 2010, and were served with a notice of driving prohibition pursuant to s. 215.4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The importance of a properly defined class was discussed by Winkler J. (as he then was) in </w:t>
      </w:r>
      <w:r>
        <w:rPr>
          <w:rFonts w:ascii="arial" w:eastAsia="arial" w:hAnsi="arial" w:cs="arial"/>
          <w:i/>
          <w:color w:val="000000"/>
          <w:sz w:val="20"/>
          <w:lang w:val="en-US" w:eastAsia="en-US" w:bidi="ar-SA"/>
        </w:rPr>
        <w:t>Bywater v. Toronto Transit Commission</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[1998] O.J. No. 4913</w:t>
        </w:r>
      </w:hyperlink>
      <w:r>
        <w:rPr>
          <w:rFonts w:ascii="arial" w:eastAsia="arial" w:hAnsi="arial" w:cs="arial"/>
          <w:color w:val="000000"/>
          <w:sz w:val="20"/>
          <w:lang w:val="en-US" w:eastAsia="en-US" w:bidi="ar-SA"/>
        </w:rPr>
        <w:t xml:space="preserve"> at para. 10,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purpose of the class definition is threefold: a) it identifies those persons who have a potential claim for relief against the defendant; b) it defines the parameters of the lawsuit so as to identify those persons who are bound by its result; and lastly, c) it describes who is entitled to notice pursuant to the Act. Thus for the mutual benefit of the plaintiff and the defendant the class definition ought not to be unduly narrow nor unduly broad.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At para. 11, Winkler J. quoted from </w:t>
      </w:r>
      <w:r>
        <w:rPr>
          <w:rFonts w:ascii="arial" w:eastAsia="arial" w:hAnsi="arial" w:cs="arial"/>
          <w:i/>
          <w:color w:val="000000"/>
          <w:sz w:val="20"/>
          <w:lang w:val="en-US" w:eastAsia="en-US" w:bidi="ar-SA"/>
        </w:rPr>
        <w:t>The Manual for Complex Litigation</w:t>
      </w:r>
      <w:r>
        <w:rPr>
          <w:rFonts w:ascii="arial" w:eastAsia="arial" w:hAnsi="arial" w:cs="arial"/>
          <w:color w:val="000000"/>
          <w:sz w:val="20"/>
          <w:lang w:val="en-US" w:eastAsia="en-US" w:bidi="ar-SA"/>
        </w:rPr>
        <w:t>, Third (1995, West Publishing) at 217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Class definition is of critical importance because it identifies the persons (1) entitled to relief, (2) bound by a final judgment, and (3) entitled to notice in a [class] action. It is therefore necessary to arrive at a definition that is precise, objective, and presently ascertainable ... Definitions ... should avoid criteria that are subjective (e.g. a plaintiff s state of mind) or that depend upon the merits (e.g., persons who were discriminated against). Such definitions frustrate efforts to identify class members, contravene the policy against considering the merits of a claim in deciding whether to certify a class, and create potential problems of manageability.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plaintiffs' proposed class would capture all drivers who, after the amendments to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came into force on September 20, 2010, had a breath sample taken by an ASD indicating a "warn", and were prohibited from driving. The evidence discloses that there may have been an excess of 20,000 drivers who will have been subjected to roadside testing since the legislation came into force. The class proposed will have within it those drivers whose blood alcohol concentration was 50 mg% or greater, and therefore, on any reasonable theory of the plaintiffs' case, can have no meritorious complaint, and as well those whose blood alcohol content was less than 50 mg%. On the plaintiffs' theory of their case, the latter would have a legitimate grievance that they were improperly prohibited from driving because of the inadequacy of the calibration of the ASDs to take into account the margin of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 see two difficulties. Firstly, there would be no means for many individuals who contemplated participating in the class to conclude, at the time they were making their decision, they had a legitimate claim. The answer presumably would be given only after a careful evidentiary inquiry, perhaps with the aid of an expert, to determine their blood alcohol content at the relevant time. The problem is compounded by the plaintiffs' allegation of negligent misrepresentation. Each alleged representation would need to be scrutinized in the context of the individual driver's understanding of it and in the light of that driver's consumption of alcohol at the material time, along with other factors including perhaps the knowledge of the individual peace officer. Secondly, the proposed class would include drivers whose blood alcohol concentration was below 50 mg% but within the margin of error of the ASD, and therefore had an indication of a "warn". In my view the amendments to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of 2010, given the inherent error margin of the ASDs, contemplated that some drivers whose blood alcohol concentration fell below 50 mg% would nevertheless be prohibited from driving. That was an inevitable consequence of the immediate roadside prohibition scheme. To place those drivers within the proposed class reveals again that it is the legislative scheme itself which is to be criticized in the proposed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It should be added that the class is open ended. It includes all drivers caught by the 2010 amendments without limit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am also concerned about the definition of the common issues. There is some overlap between problems with the class definition and with the proposed common issues, which in my view would make a class proceeding inordinately difficult to manage.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 recognize that common issues may not require the same focus of definition as does the class. In </w:t>
      </w:r>
      <w:r>
        <w:rPr>
          <w:rFonts w:ascii="arial" w:eastAsia="arial" w:hAnsi="arial" w:cs="arial"/>
          <w:i/>
          <w:color w:val="000000"/>
          <w:sz w:val="20"/>
          <w:lang w:val="en-US" w:eastAsia="en-US" w:bidi="ar-SA"/>
        </w:rPr>
        <w:t>Campbell v. Flexwatt Corp.</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(1998), 44 B.C.L.R. (3d) 343</w:t>
        </w:r>
      </w:hyperlink>
      <w:r>
        <w:rPr>
          <w:rFonts w:ascii="arial" w:eastAsia="arial" w:hAnsi="arial" w:cs="arial"/>
          <w:color w:val="000000"/>
          <w:sz w:val="20"/>
          <w:lang w:val="en-US" w:eastAsia="en-US" w:bidi="ar-SA"/>
        </w:rPr>
        <w:t>, the Court of Appeal cautioned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When examining the existence of common issues it is important to understand that the common issues do not have to be issues which are determinative of liability; they need only be issues of fact or law that move the litigation forward. The resolution of a common issue does not have to be, in and of itself, sufficient to support relief. To require every common issue to be determinative of liability for every plaintiff and every defendant would make class proceedings with more than one defendant virtually impossible.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resolution of common issues may leave many individual issues to be decided. See for example </w:t>
      </w:r>
      <w:r>
        <w:rPr>
          <w:rFonts w:ascii="arial" w:eastAsia="arial" w:hAnsi="arial" w:cs="arial"/>
          <w:i/>
          <w:color w:val="000000"/>
          <w:sz w:val="20"/>
          <w:lang w:val="en-US" w:eastAsia="en-US" w:bidi="ar-SA"/>
        </w:rPr>
        <w:t>Cloud v. Canada (Attorney General)</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(2004), 247 D.L.R. (4th) 667</w:t>
        </w:r>
      </w:hyperlink>
      <w:r>
        <w:rPr>
          <w:rFonts w:ascii="arial" w:eastAsia="arial" w:hAnsi="arial" w:cs="arial"/>
          <w:color w:val="000000"/>
          <w:sz w:val="20"/>
          <w:lang w:val="en-US" w:eastAsia="en-US" w:bidi="ar-SA"/>
        </w:rPr>
        <w:t xml:space="preserve"> at para. 53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plaintiffs say the common issues are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Having regard to the proposed class definition, the common issues, in general terms, are as follows:</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setting approved screening devices to detect a blood alcohol concentration of not less than 30 (and then 40) milligrams of alcohol in 100 millilitres of blood, did the Defendants breach a duty of care owed to members of the class?</w:t>
      </w:r>
    </w:p>
    <w:p>
      <w:pPr>
        <w:numPr>
          <w:numId w:val="7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representing to the members of the class that their breath sample had caused an approved screening device to register a "warn" when the approved screening device was set to detect a blood alcohol concentration of not less than 30 (and then 40) milligrams of alcohol in 100 millilitres of blood, did the Defendants make a negligent misrepresentation to members of the class?</w:t>
      </w:r>
    </w:p>
    <w:p>
      <w:pPr>
        <w:numPr>
          <w:numId w:val="7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any of these common issues is yes, can the court make an aggregate assessment of the damages suffered by all class members as part of the common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Western Canadian Shopping Centres Inc. v. Dutton</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[2001] 2 S.C.R. 534</w:t>
        </w:r>
      </w:hyperlink>
      <w:r>
        <w:rPr>
          <w:rFonts w:ascii="arial" w:eastAsia="arial" w:hAnsi="arial" w:cs="arial"/>
          <w:color w:val="000000"/>
          <w:sz w:val="20"/>
          <w:lang w:val="en-US" w:eastAsia="en-US" w:bidi="ar-SA"/>
        </w:rPr>
        <w:t xml:space="preserve">, the Supreme Court of Canada held that a class action in Alberta should be allowed to proceed if it meets certain tests including "success for one class member means success for all". The law is no different in B.C. from the law of Alberta in this regard. A common issue cannot rest on individual findings of fact that must be made with respect to individual claimants. See </w:t>
      </w:r>
      <w:r>
        <w:rPr>
          <w:rFonts w:ascii="arial" w:eastAsia="arial" w:hAnsi="arial" w:cs="arial"/>
          <w:i/>
          <w:color w:val="000000"/>
          <w:sz w:val="20"/>
          <w:lang w:val="en-US" w:eastAsia="en-US" w:bidi="ar-SA"/>
        </w:rPr>
        <w:t>Williams v. Mutual Life Assurance Co. of Canada</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(2000), 51 O.R. (3d) 54</w:t>
        </w:r>
      </w:hyperlink>
      <w:r>
        <w:rPr>
          <w:rFonts w:ascii="arial" w:eastAsia="arial" w:hAnsi="arial" w:cs="arial"/>
          <w:color w:val="000000"/>
          <w:sz w:val="20"/>
          <w:lang w:val="en-US" w:eastAsia="en-US" w:bidi="ar-SA"/>
        </w:rPr>
        <w:t xml:space="preserve"> at para. 39,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The causes of action are asserted by all class members. But the fact of a common cause of action does not in itself give rise to a common issue. A common issue cannot be dependent upon findings of fact which have to be made with respect to each individual claimant. While the theories of liability can be phrased commonly, the actual determination of liability for each class member can only be made upon an examination of the unique circumstances with respect to each class member's purchase of a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common issues proposed by the plaintiffs are very broad. The Supreme Court of Canada in </w:t>
      </w:r>
      <w:r>
        <w:rPr>
          <w:rFonts w:ascii="arial" w:eastAsia="arial" w:hAnsi="arial" w:cs="arial"/>
          <w:i/>
          <w:color w:val="000000"/>
          <w:sz w:val="20"/>
          <w:lang w:val="en-US" w:eastAsia="en-US" w:bidi="ar-SA"/>
        </w:rPr>
        <w:t>Rumley v. British Columbia</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[2001] 3 S.C.R. 184</w:t>
        </w:r>
      </w:hyperlink>
      <w:r>
        <w:rPr>
          <w:rFonts w:ascii="arial" w:eastAsia="arial" w:hAnsi="arial" w:cs="arial"/>
          <w:color w:val="000000"/>
          <w:sz w:val="20"/>
          <w:lang w:val="en-US" w:eastAsia="en-US" w:bidi="ar-SA"/>
        </w:rPr>
        <w:t xml:space="preserve"> observed at para. 29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There is clearly something to the appellant's argument that a court should avoid framing commonality between class members in overly broad terms. As I discussed in Western Canadian Shopping Centres, supra, at para. 39, the guiding question should be the practical one of "whether allowing the suit to proceed as a representative one will avoid duplication of fact-finding or legal analysis". It would not serve the ends of either fairness or efficiency to certify an action on the basis of issues that are common only when stated in the most general terms. Inevitably such an action would ultimately break down into individual proceedings. That the suit had initially been certified as a class action could only make the proceeding less fair and less efficient.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plaintiffs, as mentioned, acknowledge they have framed the common issues in general terms. Their breadth and generality is revealed by the difficulty a court would have in answering questions A and B, found in para. 78 above, in a manner favourable to the plaintiffs, while at the same time respecting the legislative choice to create an immediate roadside driving prohibition scheme based on breath samples that do not necessarily measure actual blood alcohol concentration.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For many of the reasons already expressed, it is my view that at a trial of this action, if it was certified as a class proceeding, individual issues would tend to overwhelm common issues even if the latter could be adequately defined. To succeed, a member of the proposed class would at least need to prove that when screened by an ASD, his or her alcohol concentration was less than 50 mg in 100 ml of blood. There would inevitably be a multitude of mini trials with each class member giving evidence such as his or her weight and alcohol consumption over the relevant time period or prior to the time of driving. This information would be necessary to lay the foundation for an expert to give evidence to permit the trial judge to make findings of fact on the probable blood alcohol concentration of the member of the class at the time the member was asked by a peace officer to provide a breath sample.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plaintiffs appear to recognize the very serious difficulties of trial management and seek to step around them by relying on the doctrine of spoliation. The suggestion, as I understand it, is that the defendants have not retained records of the indications given by the ASDs in individual instances and thus an inference ought to be drawn that the records would not demonstrate that a particular driver, when screened, had a blood alcohol concentration of at least 50 mg %. However, I know of no basis on which the spoliation principle, to the extent it exists in the law of this province, could have any influence on the trier of fact in this case, absent at least evidence that the decision not to keep records was made in bad faith to avoid those records being used against the defendants. See </w:t>
      </w:r>
      <w:r>
        <w:rPr>
          <w:rFonts w:ascii="arial" w:eastAsia="arial" w:hAnsi="arial" w:cs="arial"/>
          <w:i/>
          <w:color w:val="000000"/>
          <w:sz w:val="20"/>
          <w:lang w:val="en-US" w:eastAsia="en-US" w:bidi="ar-SA"/>
        </w:rPr>
        <w:t>Dawes v. Jajcaj</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(1996), 15 B.C.L.R. (3d) 240</w:t>
        </w:r>
      </w:hyperlink>
      <w:r>
        <w:rPr>
          <w:rFonts w:ascii="arial" w:eastAsia="arial" w:hAnsi="arial" w:cs="arial"/>
          <w:color w:val="000000"/>
          <w:sz w:val="20"/>
          <w:lang w:val="en-US" w:eastAsia="en-US" w:bidi="ar-SA"/>
        </w:rPr>
        <w:t xml:space="preserve"> (S.C.), affirmed by the Court of Appeal with leave to the Supreme Court of Canada refused, </w:t>
      </w:r>
      <w:hyperlink r:id="rId229" w:history="1">
        <w:r>
          <w:rPr>
            <w:rFonts w:ascii="arial" w:eastAsia="arial" w:hAnsi="arial" w:cs="arial"/>
            <w:i/>
            <w:color w:val="0077CC"/>
            <w:sz w:val="20"/>
            <w:u w:val="single"/>
            <w:shd w:val="clear" w:color="auto" w:fill="FFFFFF"/>
            <w:lang w:val="en-US" w:eastAsia="en-US" w:bidi="ar-SA"/>
          </w:rPr>
          <w:t>[1999] S.C.C.A. No. 347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consider the argument on spoliation advanced by the plaintiffs as an implicit acknowledgement that without employing such an unusual approach to the proof of facts the individual issues would be unmanageable.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plaintiffs, and those who they seek to represent, may take the view that the amendments to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which came into force on September 20, 2010, are an unfair interference with their right to drive a motor vehicle. However, the legislature has concluded that driving and alcohol in combination are to be vigorously rooted out. There is no legal principle in this province which permits drivers to assert that they have a right to drive. The legislature may impose restrictions even if they are, in some sense, "unfair". I refer to the following found in the reasons for judgment of Mr. Justice Hinds in </w:t>
      </w:r>
      <w:r>
        <w:rPr>
          <w:rFonts w:ascii="arial" w:eastAsia="arial" w:hAnsi="arial" w:cs="arial"/>
          <w:i/>
          <w:color w:val="000000"/>
          <w:sz w:val="20"/>
          <w:lang w:val="en-US" w:eastAsia="en-US" w:bidi="ar-SA"/>
        </w:rPr>
        <w:t>Buhlers v. British Columbia (Superintendent of Motor Vehicles),</w:t>
      </w:r>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1999 BCCA 114</w:t>
        </w:r>
      </w:hyperlink>
      <w:r>
        <w:rPr>
          <w:rFonts w:ascii="arial" w:eastAsia="arial" w:hAnsi="arial" w:cs="arial"/>
          <w:color w:val="000000"/>
          <w:sz w:val="20"/>
          <w:lang w:val="en-US" w:eastAsia="en-US" w:bidi="ar-SA"/>
        </w:rPr>
        <w:t xml:space="preserve"> at para. 94,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It is important to remember that in all of the cases .... which discuss the right or privilege of driving a motor vehicle, that discussion takes place in the context of statutes governing the driver's use of public highways. Without access to public highways, the right to drive a motor vehicle as presently understood, would be for all practical purposes meaningless. Driving a motor vehicle considered only as an extension of the individual's right to move freely, might well be thought to contain a "liberty" component; but driving a motor vehicle on a public highway involves the use of the Crown's property, and directly affects the rights of all other drivers and pedestrians to move freely and safely. It is the duty of the Crown to protect the safety of all, which underlies its right to regulate and control the use of its highways through licensing statutes, and the limitations on individual rights which they necessarily impose. The right to operate a motor vehicle on a public highway is therefore more correctly to be characterized as a privilege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For the foregoing reasons, the application to certify these proceedings as a class proceeding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K.N. AFFLECK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4"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Helina v. Percival, [2015] B.C.J. No. 2214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N.H.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5 and July 10,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14,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150661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2214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1858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Sandra Helina, Appellant, and Tannis Percival, Don Somerville, and Fraser Valley Tree Service Ltd.,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5"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6" w:name="Keywords_9"/>
      <w:bookmarkEnd w:id="66"/>
      <w:r>
        <w:rPr>
          <w:rFonts w:ascii="arial" w:eastAsia="arial" w:hAnsi="arial" w:cs="arial"/>
          <w:b/>
          <w:color w:val="000000"/>
          <w:sz w:val="20"/>
          <w:lang w:val="en-US" w:eastAsia="en-US" w:bidi="ar-SA"/>
        </w:rPr>
        <w:t>Civil litigation — Civil procedure — Trials — Appeal by plaintiff from dismissal of claim on no evidence motion allowed — Plaintiff, a tenant, injured her ankle while crossing yard because driveway was blocked by tree service vehicles — In Provincial Court, no evidence motion could only be entertained after election to call evidence was put to defendant, which did not occur here — Judge did not merely consider whether there was evidence of breach of duty by defendants, but weighed all of evidence — Landlord's duty as landlord should have been considered and evidence on issues related to her duties could only come from her, had she elected to give evidence.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Evidence and proof — Appeal by plaintiff from dismissal of claim on no evidence motion allowed — Plaintiff, a tenant, injured her ankle while crossing yard because driveway was blocked by tree service vehicles — In Provincial Court, no evidence motion could only be entertained after election to call evidence was put to defendant, which did not occur here — Judge did not merely consider whether there was evidence of breach of duty by defendants, but weighed all of evidence — Landlord's duty as landlord should have been considered and evidence on issues related to her duties could only come from her, had she elected to give evidence.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Evidence — Trials — Appeal by plaintiff from dismissal of claim on no evidence motion allowed — Plaintiff, a tenant, injured her ankle while crossing yard because driveway was blocked by tree service vehicles — In Provincial Court, no evidence motion could only be entertained after election to call evidence was put to defendant, which did not occur here — Judge did not merely consider whether there was evidence of breach of duty by defendants, but weighed all of evidence — Landlord's duty as landlord should have been considered and evidence on issues related to her duties could only come from her, had she elected to give evidence.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7" w:name="Case Summary_8"/>
            <w:bookmarkEnd w:id="6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the plaintiff from the dismissal of her claim for damages for personal injuries on a no evidence motion. The plaintiff was a tenant in a basement apartment owned by the defendant Percival. In June 2009, employees of the defendant Fraser Valley Tree Service came to trim trees on the property. The plaintiff slipped and fell, injuring her ankle, when she attempted leave the property by crossing the yard as the driveway was blocked by Fraser Valley vehicles. At the close of the plaintiff's case, Percival made a no evidence motion, arguing that the plaintiff failed to present any evidence of a breach of a relevant duty of care. The trial judge agreed and dismissed the claim, finding that the plaintiff should have waited until there was an opportunity to ask the workers to move the truck.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8" w:name="Holdings of Court_7"/>
            <w:bookmarkEnd w:id="68"/>
            <w:r>
              <w:rPr>
                <w:rFonts w:ascii="arial" w:eastAsia="arial" w:hAnsi="arial" w:cs="arial"/>
                <w:color w:val="000000"/>
                <w:sz w:val="20"/>
                <w:lang w:val="en-US" w:eastAsia="en-US" w:bidi="ar-SA"/>
              </w:rPr>
              <w:t>HELD: Appeal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Under the common law, the court should not entertain a no evidence motion in a civil trial unless the defendant elected to call no evidence. It was therefore incumbent on the trial judge to put the defendant to the election of calling no evidence. In the absence of such an election, the judge had the discretion to decline to hear the motion. A true no evidence motion in this case would have been limited to whether there was evidence of a breach of a duty of care by the defendants. However, the judge focused primarily on the plaintiff's conduct and found that the accident was caused by her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weighing of all of the evidence would only have been appropriate, at that stage of the trial, if there had been a clear election by the defendant to call no evidence. Positive defences, such as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not be considered on a no evidence motion. More importantly, the trial judge was not referred to and did not consider authority in the Provincial Court that strongly discouraged no evidence motions, particularly in cases involving self-represented litigants. Percival was both the landlord and occupier of the property. As such, consideration of what was reasonable would include her duties as a landlord. Under s. 28(d), the plaintiff was entitled to use the common areas for reasonable and lawful purposes, free from significant interference. Whether Percival failed to provide a reasonably safe means of entry and exit from the property and whether she failed to take reasonable steps depended on her knowledge of the danger, the length of time access was expected to be blocked and whether any safe alternatives could be made available, and evidence on those issues could only have come from Percival, had she decided to give evidence.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9" w:name="Legislation Cited_8"/>
      <w:bookmarkEnd w:id="6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6"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238" w:history="1">
        <w:r>
          <w:rPr>
            <w:rFonts w:ascii="arial" w:eastAsia="arial" w:hAnsi="arial" w:cs="arial"/>
            <w:i/>
            <w:color w:val="0077CC"/>
            <w:sz w:val="20"/>
            <w:u w:val="single"/>
            <w:shd w:val="clear" w:color="auto" w:fill="FFFFFF"/>
            <w:lang w:val="en-US" w:eastAsia="en-US" w:bidi="ar-SA"/>
          </w:rPr>
          <w:t>R.S.B.C. 1996, c. 337, s. 3</w:t>
        </w:r>
      </w:hyperlink>
      <w:r>
        <w:rPr>
          <w:rFonts w:ascii="arial" w:eastAsia="arial" w:hAnsi="arial" w:cs="arial"/>
          <w:color w:val="000000"/>
          <w:sz w:val="20"/>
          <w:lang w:val="en-US" w:eastAsia="en-US" w:bidi="ar-SA"/>
        </w:rPr>
        <w:t>(1)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Residential Tenancy Act, S.B.C. 2000, c. 78, s. 28(d)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Small Claims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12-5(4)-(7)</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spacing w:before="120" w:line="260" w:lineRule="atLeast"/>
              <w:ind w:left="240"/>
              <w:rPr>
                <w:rFonts w:ascii="arial" w:eastAsia="arial" w:hAnsi="arial" w:cs="arial"/>
                <w:sz w:val="20"/>
                <w:lang w:val="en-US" w:eastAsia="en-US" w:bidi="ar-SA"/>
              </w:rPr>
            </w:pPr>
            <w:r>
              <w:rPr>
                <w:rFonts w:ascii="arial" w:eastAsia="arial" w:hAnsi="arial" w:cs="arial"/>
                <w:b/>
                <w:color w:val="000000"/>
                <w:sz w:val="20"/>
                <w:lang w:val="en-US" w:eastAsia="en-US" w:bidi="ar-SA"/>
              </w:rPr>
              <w:t>Appeal From:</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On appeal from an order of the Provincial Court of British Columbia, dated September 29, 2014 (</w:t>
            </w:r>
            <w:r>
              <w:rPr>
                <w:rFonts w:ascii="arial" w:eastAsia="arial" w:hAnsi="arial" w:cs="arial"/>
                <w:i/>
                <w:color w:val="000000"/>
                <w:sz w:val="20"/>
                <w:lang w:val="en-US" w:eastAsia="en-US" w:bidi="ar-SA"/>
              </w:rPr>
              <w:t>Helina v Percival et. al</w:t>
            </w:r>
            <w:r>
              <w:rPr>
                <w:rFonts w:ascii="arial" w:eastAsia="arial" w:hAnsi="arial" w:cs="arial"/>
                <w:color w:val="000000"/>
                <w:sz w:val="20"/>
                <w:lang w:val="en-US" w:eastAsia="en-US" w:bidi="ar-SA"/>
              </w:rPr>
              <w:t xml:space="preserve">, C70231 Surry Registry).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0" w:name="Counsel_9"/>
      <w:bookmarkEnd w:id="7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7" style="position:absolute;z-index:2517708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Appellant, Acting on Own Behalf: S. Helina.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Respondent, Tanis Percival: R. Moore.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Respondent, Acting on Own Behalf and on Behalf of Fraser Valley Tree Service Ltd.: D. Somerville.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1" w:name="Judgment_9"/>
      <w:bookmarkEnd w:id="71"/>
      <w:r>
        <w:pict>
          <v:line id="_x0000_s1078" style="position:absolute;z-index:2518220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2" w:name="N.H. SMITH J."/>
            <w:bookmarkEnd w:id="72"/>
            <w:r>
              <w:rPr>
                <w:rFonts w:ascii="arial" w:eastAsia="arial" w:hAnsi="arial" w:cs="arial"/>
                <w:b/>
                <w:color w:val="000000"/>
                <w:sz w:val="30"/>
                <w:lang w:val="en-US" w:eastAsia="en-US" w:bidi="ar-SA"/>
              </w:rPr>
              <w:t>N.H.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appellant, Sandra Helina, appeals from a decision of the Provincial Court in which her claim for personal injuries was dismissed on a no evidence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Helina was a basement-suite tenant in a house owned by the defendant Tannis Percival. She had been there a little less than two months when, on June 24, 2009, employees of the defendant Fraser Valley Tree Service came to trim trees on the property. The defendant Don Somerville is the president of that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Helina represented herself at trial in Provincial Court and on this appeal. She testified at trial that, at Ms. Percival's request, she moved her car from the driveway of the house onto the street in order to accommodate the tree service vehicles and equipment. Later that morning, she says she left her apartment to go to her car. That required her to walk down the driveway. However, she discovered that the exit from the driveway was completely blocked by the tree-service truck and chipper.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Helina stated that she crossed a portion of the yard and stepped over a low fence, but then discovered that she was blocked by low tree branches and a ditch. When she turned around with the intention of going back over the fence, she slipped and fell, injuring her 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Helina also called evidence from an employee of the tree service, who testified that he knew that the equipment would block the driveway to anyone leaving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close of Ms. Helina's case, counsel for Ms. Percival made a no evidence motion, arguing that Ms. Helina had failed to present any evidence of a breach of a relevant duty of care. The trial judge agreed and dismissed Ms. Helina's claim, saying she should have waited until there was an opportunity to ask the workers to move the truck. The judge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nothing in the testimony of Ms. Helina that she took any of the steps I have already inquired about, asking staff while waiting patiently if they could help her exit the property, move the truck and chipper so she could walk on the driveway but she unilaterally, strangely and peculiarly thought she could just go over a 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court may dismiss a plaintiff's case on a no evidence motion at the close of the plaintiff's case if there is no evidence on an essential ingredient of the case: </w:t>
      </w:r>
      <w:r>
        <w:rPr>
          <w:rFonts w:ascii="arial" w:eastAsia="arial" w:hAnsi="arial" w:cs="arial"/>
          <w:i/>
          <w:color w:val="000000"/>
          <w:sz w:val="20"/>
          <w:lang w:val="en-US" w:eastAsia="en-US" w:bidi="ar-SA"/>
        </w:rPr>
        <w:t>Roberge v. Huberman</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1999 BCCA 196</w:t>
        </w:r>
      </w:hyperlink>
      <w:r>
        <w:rPr>
          <w:rFonts w:ascii="arial" w:eastAsia="arial" w:hAnsi="arial" w:cs="arial"/>
          <w:color w:val="000000"/>
          <w:sz w:val="20"/>
          <w:lang w:val="en-US" w:eastAsia="en-US" w:bidi="ar-SA"/>
        </w:rPr>
        <w:t xml:space="preserve"> at para. 18. This is to be distinguished from a motion based on insufficiency of evidence, where the court weighs evidence after the defence has specifically elected to call none. In this court,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12-5(4) through (7) specifically allow for and distinguish between those two motions: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 evidence application</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close of the plaintiff's case, the defendant may apply to have the action dismissed on the ground that there is no evidence to support the plaintiff's case.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 need not elect whether to call evidence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defendant is entitled to apply under subrule (4) without being called on to elect whether or not to call evidence.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Insufficient evidence application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close of the plaintiff's case, the defendant may apply to have the action dismissed on the ground that the evidence is insufficient to make out the plaintiff's case.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 must elect not to call evidence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the court otherwise orders, an application under subrule (6) may be made only after the defendant has elected not to call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Small Claims Rules</w:t>
      </w:r>
      <w:r>
        <w:rPr>
          <w:rFonts w:ascii="arial" w:eastAsia="arial" w:hAnsi="arial" w:cs="arial"/>
          <w:color w:val="000000"/>
          <w:sz w:val="20"/>
          <w:lang w:val="en-US" w:eastAsia="en-US" w:bidi="ar-SA"/>
        </w:rPr>
        <w:t xml:space="preserve">, under which civil trials in Provincial Court are conducted, contain no equivalent to those rules. The matter must be governed by the common law approach, which Esson J.A. described in </w:t>
      </w:r>
      <w:r>
        <w:rPr>
          <w:rFonts w:ascii="arial" w:eastAsia="arial" w:hAnsi="arial" w:cs="arial"/>
          <w:i/>
          <w:color w:val="000000"/>
          <w:sz w:val="20"/>
          <w:lang w:val="en-US" w:eastAsia="en-US" w:bidi="ar-SA"/>
        </w:rPr>
        <w:t>Roberge</w:t>
      </w:r>
      <w:r>
        <w:rPr>
          <w:rFonts w:ascii="arial" w:eastAsia="arial" w:hAnsi="arial" w:cs="arial"/>
          <w:color w:val="000000"/>
          <w:sz w:val="20"/>
          <w:lang w:val="en-US" w:eastAsia="en-US" w:bidi="ar-SA"/>
        </w:rPr>
        <w:t xml:space="preserve"> at para. 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 Historically, the prevailing view has been that the court should not entertain a no evidence motion in a civil trial unless the defendant elects to call no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was therefore incumbent on the trial judge in this case to put the defendant to the election of calling no evidence. In the absence of such an election, the judge had discretion to decline to hear the motion. Although counsel for the defendant appears to have intended a "true" no evidence motion, there is nothing in the transcript to indicate the procedure of putting the defendant to the election was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This is not merely a technical issue. Whether or not the defendant is put to the election defines the issues and evidence to be considered on the motion. A true no evidence motion in this case would be limited to whether there was evidence of a breach of a duty of care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However, the judge focused primarily on Ms. Helina's own conduct and found, in effect, that the accident was caused only by her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weighing of all the evidence would only have been appropriate, at that stage of the trial, if there had been a clear election by the defendant to call no evidence. Positive defences, such as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not be considered on a no evidence motion. </w:t>
      </w:r>
      <w:r>
        <w:rPr>
          <w:rFonts w:ascii="arial" w:eastAsia="arial" w:hAnsi="arial" w:cs="arial"/>
          <w:i/>
          <w:color w:val="000000"/>
          <w:sz w:val="20"/>
          <w:lang w:val="en-US" w:eastAsia="en-US" w:bidi="ar-SA"/>
        </w:rPr>
        <w:t>Roberge</w:t>
      </w:r>
      <w:r>
        <w:rPr>
          <w:rFonts w:ascii="arial" w:eastAsia="arial" w:hAnsi="arial" w:cs="arial"/>
          <w:color w:val="000000"/>
          <w:sz w:val="20"/>
          <w:lang w:val="en-US" w:eastAsia="en-US" w:bidi="ar-SA"/>
        </w:rPr>
        <w:t xml:space="preserve"> at para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More importantly, the trial judge was not referred to and did not consider clear authority in the Provincial Court that strongly discourages no evidence motions, particularly in cases involving self-represented litigants. In </w:t>
      </w:r>
      <w:r>
        <w:rPr>
          <w:rFonts w:ascii="arial" w:eastAsia="arial" w:hAnsi="arial" w:cs="arial"/>
          <w:i/>
          <w:color w:val="000000"/>
          <w:sz w:val="20"/>
          <w:lang w:val="en-US" w:eastAsia="en-US" w:bidi="ar-SA"/>
        </w:rPr>
        <w:t>Walls v. Ross</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2001 BCPC 187</w:t>
        </w:r>
      </w:hyperlink>
      <w:r>
        <w:rPr>
          <w:rFonts w:ascii="arial" w:eastAsia="arial" w:hAnsi="arial" w:cs="arial"/>
          <w:color w:val="000000"/>
          <w:sz w:val="20"/>
          <w:lang w:val="en-US" w:eastAsia="en-US" w:bidi="ar-SA"/>
        </w:rPr>
        <w:t xml:space="preserve">, Stansfield A.C.J. Prov. Ct., as he then was, referred to </w:t>
      </w:r>
      <w:r>
        <w:rPr>
          <w:rFonts w:ascii="arial" w:eastAsia="arial" w:hAnsi="arial" w:cs="arial"/>
          <w:i/>
          <w:color w:val="000000"/>
          <w:sz w:val="20"/>
          <w:lang w:val="en-US" w:eastAsia="en-US" w:bidi="ar-SA"/>
        </w:rPr>
        <w:t>Roberge</w:t>
      </w:r>
      <w:r>
        <w:rPr>
          <w:rFonts w:ascii="arial" w:eastAsia="arial" w:hAnsi="arial" w:cs="arial"/>
          <w:color w:val="000000"/>
          <w:sz w:val="20"/>
          <w:lang w:val="en-US" w:eastAsia="en-US" w:bidi="ar-SA"/>
        </w:rPr>
        <w:t xml:space="preserve"> and said at para.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150"/>
        <w:gridCol w:w="69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w:t>
            </w:r>
          </w:p>
        </w:tc>
        <w:tc>
          <w:tcPr>
            <w:tcW w:w="67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Having regard to: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Justice Esson's observations about the principled reasons to entertain no evidence motions only after an election has been made as to whether evidence is to be called;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desirability of avoiding appeals from successful no evidence motions which in turn could lead to repetitions of trials;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desirability of being "spared the arid and often confusing intellectual exercise of having to decide whether the evidence heard to that point is, as a matter of law, 'no evidence'" (see Esson J.A., above);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because claimants in Provincial Court do not have the opportunity to prove part of their case through examination for discovery evidence, the spectre of a nonsuit application could lead to claimants perceiving a need to call defendants as part of their case, with all of the attendant complications of applications to have the defendant declared adverse, and so 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view that "no-evidence" or "non-suit" applications should be discouraged in this court as generally not contributing to a "just, speedy, inexpensive and simple" resolution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Those comments were referred to and followed in </w:t>
      </w:r>
      <w:r>
        <w:rPr>
          <w:rFonts w:ascii="arial" w:eastAsia="arial" w:hAnsi="arial" w:cs="arial"/>
          <w:i/>
          <w:color w:val="000000"/>
          <w:sz w:val="20"/>
          <w:lang w:val="en-US" w:eastAsia="en-US" w:bidi="ar-SA"/>
        </w:rPr>
        <w:t>Stone v. Insurance Corporation of British Columbia</w:t>
      </w:r>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2008 BCPC 383</w:t>
        </w:r>
      </w:hyperlink>
      <w:r>
        <w:rPr>
          <w:rFonts w:ascii="arial" w:eastAsia="arial" w:hAnsi="arial" w:cs="arial"/>
          <w:color w:val="000000"/>
          <w:sz w:val="20"/>
          <w:lang w:val="en-US" w:eastAsia="en-US" w:bidi="ar-SA"/>
        </w:rPr>
        <w:t>, where Woods Prov. J. stated at paras. 28 and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We have a streamlined procedure in the Provincial Court for very good reason. The cost and burdensomeness of the process in this court is reduced by reason of a less Byzantine and less complex regime of civil procedure. But that streamlined procedure does leave parties without some of the tools that are available in the Supreme Court. In circumstances where even the Supreme Court, operating in a system where all of those tools are available, expresses concerns about the use of no evidence motions, one must be even more concerned about no evidence motions being employed in the Provincial Court's Civil Division.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In Provincial Court civil trials a party in [the defendant's] position must wait until its adversary ... takes the stand and then try to elicit helpful admissions under cross-examination. It must wait as well for any other witnesses that its adversary may rely upon and get what it can in cross-examination of those witnesses in order to fortify or buttress or add to its case. Opportunities to get that kind of evidence and read them into the record exist in the Supreme Court. They do not exist in this court. That is a factor that Judge Stansfield took into account in the </w:t>
      </w:r>
      <w:r>
        <w:rPr>
          <w:rFonts w:ascii="arial" w:eastAsia="arial" w:hAnsi="arial" w:cs="arial"/>
          <w:i/>
          <w:color w:val="000000"/>
          <w:sz w:val="20"/>
          <w:lang w:val="en-US" w:eastAsia="en-US" w:bidi="ar-SA"/>
        </w:rPr>
        <w:t>Walls, supra</w:t>
      </w:r>
      <w:r>
        <w:rPr>
          <w:rFonts w:ascii="arial" w:eastAsia="arial" w:hAnsi="arial" w:cs="arial"/>
          <w:color w:val="000000"/>
          <w:sz w:val="20"/>
          <w:lang w:val="en-US" w:eastAsia="en-US" w:bidi="ar-SA"/>
        </w:rPr>
        <w:t>, decision and it is a factor that must be taken into account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Potter v. Montpetit</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2012 BCPC 268</w:t>
        </w:r>
      </w:hyperlink>
      <w:r>
        <w:rPr>
          <w:rFonts w:ascii="arial" w:eastAsia="arial" w:hAnsi="arial" w:cs="arial"/>
          <w:color w:val="000000"/>
          <w:sz w:val="20"/>
          <w:lang w:val="en-US" w:eastAsia="en-US" w:bidi="ar-SA"/>
        </w:rPr>
        <w:t>, MacCarthy Prov. J. said at paras. 49-51: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It is my view that in considering a no evidence motion in a small claims trial, the Court should also look at the whole of the circumstances surrounding the case and consider from what sources important evidence is available. </w:t>
      </w:r>
      <w:r>
        <w:rPr>
          <w:rFonts w:ascii="arial" w:eastAsia="arial" w:hAnsi="arial" w:cs="arial"/>
          <w:color w:val="000000"/>
          <w:sz w:val="20"/>
          <w:u w:val="single"/>
          <w:lang w:val="en-US" w:eastAsia="en-US" w:bidi="ar-SA"/>
        </w:rPr>
        <w:t>If evidence that is required or helpful for the claimant's case is likely available from a defendant and is not likely available from other sources, then there should be a greater reluctance for the Court to grant the non-suit.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When looking at the whole of the circumstances surrounding a case and when dealing with a no-evidence motion in a small claims trial, </w:t>
      </w:r>
      <w:r>
        <w:rPr>
          <w:rFonts w:ascii="arial" w:eastAsia="arial" w:hAnsi="arial" w:cs="arial"/>
          <w:color w:val="000000"/>
          <w:sz w:val="20"/>
          <w:u w:val="single"/>
          <w:lang w:val="en-US" w:eastAsia="en-US" w:bidi="ar-SA"/>
        </w:rPr>
        <w:t>the Court should also consider if the defendant is represented by a lawyer and if the claimant is self-represented and is without legal training.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It may not likely occur to a claimant in such a situation that calling an adverse witness will be necessary in order to adequately prove their case and to thereby avoid being non-suited. Furthermore, the possibility of facing a no evidence motion, in the absence of some clear prior indication from the defendant's counsel of an intention to bring such an application, most likely come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as a surprise to and be most confusing for such a claimant. If the no evidence motion is granted, they will no doubt be left with the question "Why didn't I have the opportunity to cross examine the defendant on matters important to my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 respectfully agree with that statement and find it applicable to this case. Ms. Percival was both the occupier of the property and landlord. Her duty as occupier is set out in s. 3(1)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(1) 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Consideration of what was reasonable would, in these circumstances, include Ms. Percival's duties as landlord. Under s. 28(d) of the </w:t>
      </w:r>
      <w:r>
        <w:rPr>
          <w:rFonts w:ascii="arial" w:eastAsia="arial" w:hAnsi="arial" w:cs="arial"/>
          <w:i/>
          <w:color w:val="000000"/>
          <w:sz w:val="20"/>
          <w:lang w:val="en-US" w:eastAsia="en-US" w:bidi="ar-SA"/>
        </w:rPr>
        <w:t>Residential Tenancy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78</w:t>
      </w:r>
      <w:r>
        <w:rPr>
          <w:rFonts w:ascii="arial" w:eastAsia="arial" w:hAnsi="arial" w:cs="arial"/>
          <w:color w:val="000000"/>
          <w:sz w:val="20"/>
          <w:lang w:val="en-US" w:eastAsia="en-US" w:bidi="ar-SA"/>
        </w:rPr>
        <w:t xml:space="preserve">, Ms. Helina was entitled to "use of common areas for reasonable and lawful purposes, free from significant interference." In </w:t>
      </w:r>
      <w:r>
        <w:rPr>
          <w:rFonts w:ascii="arial" w:eastAsia="arial" w:hAnsi="arial" w:cs="arial"/>
          <w:i/>
          <w:color w:val="000000"/>
          <w:sz w:val="20"/>
          <w:lang w:val="en-US" w:eastAsia="en-US" w:bidi="ar-SA"/>
        </w:rPr>
        <w:t>Kiceluk v. Oliverio</w:t>
      </w:r>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2001 ABQB 704</w:t>
        </w:r>
      </w:hyperlink>
      <w:r>
        <w:rPr>
          <w:rFonts w:ascii="arial" w:eastAsia="arial" w:hAnsi="arial" w:cs="arial"/>
          <w:color w:val="000000"/>
          <w:sz w:val="20"/>
          <w:lang w:val="en-US" w:eastAsia="en-US" w:bidi="ar-SA"/>
        </w:rPr>
        <w:t>, the court said at para.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w:t>
      </w:r>
      <w:r>
        <w:rPr>
          <w:rFonts w:ascii="arial" w:eastAsia="arial" w:hAnsi="arial" w:cs="arial"/>
          <w:color w:val="000000"/>
          <w:sz w:val="20"/>
          <w:u w:val="single"/>
          <w:lang w:val="en-US" w:eastAsia="en-US" w:bidi="ar-SA"/>
        </w:rPr>
        <w:t>A tenant, as an implied term of lease, has the right to reasonably safe means of ingress and egress to the leased premises</w:t>
      </w:r>
      <w:r>
        <w:rPr>
          <w:rFonts w:ascii="arial" w:eastAsia="arial" w:hAnsi="arial" w:cs="arial"/>
          <w:color w:val="000000"/>
          <w:sz w:val="20"/>
          <w:lang w:val="en-US" w:eastAsia="en-US" w:bidi="ar-SA"/>
        </w:rPr>
        <w:t>, not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xml:space="preserve">] only does this apply to leased premises in an apartment building, with respect to common areas including the entrance way, hallways, stairs and the like, but </w:t>
      </w:r>
      <w:r>
        <w:rPr>
          <w:rFonts w:ascii="arial" w:eastAsia="arial" w:hAnsi="arial" w:cs="arial"/>
          <w:color w:val="000000"/>
          <w:sz w:val="20"/>
          <w:u w:val="single"/>
          <w:lang w:val="en-US" w:eastAsia="en-US" w:bidi="ar-SA"/>
        </w:rPr>
        <w:t>surely this right extends to walkways and sidewalks leading up to the leased premises located on the landlord's property or property occupied by the landlord.</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Ms. Helina's case was essentially that Ms. Percival failed to provide a reasonably safe means of entry to and exit from the property. Whether Ms. Percival failed to take steps that would have been reasonable in the circumstances depends in part on her knowledge of the danger, the length of time she expected access to be blocked, and whether any safe alternative access or assistance could have been made available. Evidence on those issues could only have come from Ms. Percival, had she decided to give evidence. Ms. Helina should not have been denied the opportunity to elicit helpful evidence on cross-examination. If Ms. Percival did not intend to give evidence, that possibility should have been made clear to Ms. Helina well in advance, as suggested by Judge MacCarthy in </w:t>
      </w:r>
      <w:r>
        <w:rPr>
          <w:rFonts w:ascii="arial" w:eastAsia="arial" w:hAnsi="arial" w:cs="arial"/>
          <w:i/>
          <w:color w:val="000000"/>
          <w:sz w:val="20"/>
          <w:lang w:val="en-US" w:eastAsia="en-US" w:bidi="ar-SA"/>
        </w:rPr>
        <w:t>Potter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Accordingly, I must allow the appeal, set aside the order dismissing Ms.Helina's claim, and direct that a new trial take place in Provincial Court. Ms. Helina is entitled to costs of this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N.H.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9"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Kahle v. Ritter, [2002] B.C.J. No. 285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D.M.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26 - 28, March 1, 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April 30, 2001 and January 24,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13,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B983022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22 M.V.R. (4th) 275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111 A.C.W.S. (3d) 495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Dorian Kahle, plaintiff, and Gerald Ritter and Michelle Ritter,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0"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3" w:name="Keywords_10"/>
      <w:bookmarkEnd w:id="73"/>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standard of care of driver — Travelling too close to vehicles ahead (tailgating) — Evidence — Documentary evidence — Private documents — Letters written without prejudice — Settlement letter not marked without prejudice — Estoppel — Practice — Pleading, necessity for — Estoppel in pais (by conduct) — Representation, by statement — Representations which do not found estoppel — Circumstances when doctrine not applicable — Lack of prejudice to person raising estoppel — Damages — Limits of compensatory damages — Predisposition to damage (thin skull rule) — Thin skull or crumbling skull — General damages — Elements of general damages — Loss of opportunity — General damages for personal injury — Pain and suffering, loss of amenities and other non-pecuniary damages — Impairment of earning capacity.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4" w:name="Case Summary_9"/>
            <w:bookmarkEnd w:id="7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Kahle against Gerald and Michelle Ritter for damages arising out of a motor vehicle accident. Kahle was approaching an intersection when the light turned yellow and the vehicle in front of him stopped suddenly. Kahle braked and his vehicle was struck from behind by a vehicle driven by Michelle Ritter and owned by Gerald Ritter. Kahle's vehicle was pushed into the vehicle in front of him. No one filed a complaint with the police or received a citation. Michelle Ritter alleged that just before the collision, Kahle had sped past her and cut her off. Prior to the commencement of this action, the adjuster wrote Kahle a letter which indicated that liability did not appear to be at issue. Kahle suffered chronic neck and low back pain after the accident, but had a pre-existing lower back injury. After the accident, he received a Diploma of Technology. He had previously worked in physically demanding jobs. Kahle attempted some general labour work but was unable to continue due to his injuries. He also claimed that his ongoing pain prevented him from pursuing his goal of running a home renovation business. At the time of trial, Kahle was working as a biomedical equipment technologist but continued to experience pain at work.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5" w:name="Holdings of Court_8"/>
            <w:bookmarkEnd w:id="75"/>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Kahle was awarded $50,000 for non-pecuniary damages, $5,000 for past income loss and loss of opportunity, $1,181 for special damages, $10,000 for future care costs, and $80,000 for impaired future earning capacity. The adjuster's letter was admitted into evidence. The purpose for which a communication was to be used was determinative of intent, and in the absence of evidence that the letter was not intended to be disclosed, such as a "without prejudice" notation or reliance on it to prove the merits of the claim, it was not protected by any privilege. However, the letter was not conclusive proof of an admission of liability. The defence of promissory estoppel did not apply, as the letter did not contain a promise not to contest liability. Furthermore, Kahle did not alter his position as a result of the letter, it was not specifically pleaded and even if Kahle had relied on a promise by the adjuster, he had not suffered any resulting harm or prejudice. Michelle Ritter was at fault for the accident, as she had the time and opportunity to put a safe distance between her vehicle and Kahle's vehicle. Kahle's pre-existing condition made him more vulnerable to suffering chronic problems from a back injury, but he would not have suffered such problems if the accident had not occurred. Therefore, the Ritters'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Kahle's current chronic pain condition. Kahle had not failed to mitigate his damages by failing to follow through with certain recommended treatments. There was no evidence that the treatments would have prevented his chronic pain and some of the activities aggravated his condition. Kahle suffered a significant and lasting impact to his lifestyle. Although he could participate in his pre-accident activities, his enjoyment of them would be considerably diminished by ongoing, episodic pain. Also, his ability to perform the more physically demanding aspects of his work was affected. Kahle's future earning capacity was impaired. He could lose wages in the future for missed work, he was less marketable as an employee and he had lost the real and substantial possibility of starting the renovation business.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6" w:name="Legislation Cited_9"/>
      <w:bookmarkEnd w:id="7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1"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20(5).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c.266, s.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251" w:history="1">
        <w:r>
          <w:rPr>
            <w:rFonts w:ascii="arial" w:eastAsia="arial" w:hAnsi="arial" w:cs="arial"/>
            <w:i/>
            <w:color w:val="0077CC"/>
            <w:sz w:val="20"/>
            <w:u w:val="single"/>
            <w:shd w:val="clear" w:color="auto" w:fill="FFFFFF"/>
            <w:lang w:val="en-US" w:eastAsia="en-US" w:bidi="ar-SA"/>
          </w:rPr>
          <w:t>R.S.B.C. 1996, c.333, s. 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7" w:name="Counsel_10"/>
      <w:bookmarkEnd w:id="7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2" style="position:absolute;z-index:2517719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 Montague, for the plaintiff. K. Grieve and A. Feglerska,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8" w:name="Judgment_10"/>
      <w:bookmarkEnd w:id="78"/>
      <w:r>
        <w:pict>
          <v:line id="_x0000_s1083" style="position:absolute;z-index:25182310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9" w:name="D.M. SMITH J."/>
            <w:bookmarkEnd w:id="79"/>
            <w:r>
              <w:rPr>
                <w:rFonts w:ascii="arial" w:eastAsia="arial" w:hAnsi="arial" w:cs="arial"/>
                <w:b/>
                <w:color w:val="000000"/>
                <w:sz w:val="30"/>
                <w:lang w:val="en-US" w:eastAsia="en-US" w:bidi="ar-SA"/>
              </w:rPr>
              <w:t>D.M.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September 6, 1996, Dorian Kahle, age 30, was injured in a three car motor vehicle accident ("the accident"), when the vehicle he was operating was rear-ended by a vehicle owned by the defendant Gerald Ritter and operated by his daughter Michelle Ritter. Since the accident, Mr. Kahle has developed chronic pain in his neck and lower back. In this action, he seeks to recover damages for pain and suffering, past income loss based on loss of opportunity, impairment of his future earning capacity, cost of future care and special damages. Both liability and quantum of damages are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the rainy evening of September 6, 1996, Mr. Kahle was driving east on Broadway in the City of Vancouver. Traffic was moderate. A friend of his brother's was seated in the right front passenger seat. Both were wearing lap and shoulder belts. Mr. Kahle's headrest was properly adjusted.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that area, Broadway has two eastbound and two westbound lanes of traffic with a third lane reserved for parking on each side. Mr. Kahle stated he was driving in the centre lane, traveling with the flow of traffic (about 40-50 kph) for one to two blocks.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 he approached the intersection of Heather Street and Broadway the light turned yellow. The vehicle in front of him stopped suddenly. Mr. Kahle was about two to three car lengths behind and he also braked. He stated that almost instantaneously his vehicle was hit from behind by Ms. Ritter's vehicle. The impact of that collision simultaneously pushed his vehicle into the rear of the vehicle in front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double impact of the two collisions caused Mr. Kahle to be thrown forward and then backward. He described the force as "like being hit on the back of the head by a baseball bat". He said the collision caused him to black out for a few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All those involved in the collision pulled their vehicles off the main road and exchanged particulars. Mr. Kahle stated that Ms. Ritter appeared sorry and apologetic.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Within five minutes the police arrived. None of the drivers involved in the accident filed a complaint with the police. No one received a citation. No one appeared injured at the time. The police left shortly after arriving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Damage to Mr. Kahle's vehicle was minimal. His front bumper was indented about one to two inches, the interior speaker box was ripped off its housing, and the rear seat that folds down came off its hinges. Mr. Ritter's out-of-province insurer settled the damage claim for his car at $750.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an attempt to settle Mr. Kahle's personal injury claim, the adjuster wrote to Mr. Kahle on July 29, 1997. The letter was not marked "Without Prejudice". It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Police Report: No police reports were provided to us as liability does not appear to be an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Enclosed in the letter was a cheque for $750 as payment for Mr. Kahle's property damage claim. Also enclosed was an offer to settle his injury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Ritter's evidence of how the accident occurred was considerably different from that of Mr. Kahle's.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Earlier that evening Ms. Ritter had traveled from Tacoma, Washington, where she resided, to Vancouver where she had plans to meet a friend. She stated she was traveling eastbound in the centre lane of Broadway at about the speed limit. As she approached the intersection of Heather and Broadway, she said two vehicles closely following each other sped past her on the right and cut in front of her vehicle by pulling into the centre lane. She said Mr. Kahle's vehicle was the second vehicle that passed her and that he pulled directly in front of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Ritter recalled the intersection light was still green when the cars pulled in front of her. She said the maneuver startled her and she slammed on her brakes. When she determined a safe distance had been established between her vehicle and the one in front of her, about a car length, she released her foot from the brake.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intersection light then turned yellow and the two vehicles in front of her stopped suddenly. She again slammed on her brakes but they locked and her vehicle rear-ended Mr. Kahle's vehicle. She estimates she was traveling at a speed of about five kph when she applied her brakes the second time and that about five seconds had elapsed between the first and second time she applied her brakes.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Ritter did not complain to the police about the two drivers whom she said had cut her off. She denies she was apologetic to Mr. Kahle for the collision. She was also unaware that her father's insurer had paid for Mr. Kahle's property damage claim as she had never been contacted by the adjuster.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Despite several attempts, Mr. Kahle was not able to locate his passenger for the purposes of having her give evidence in this action. Only Mr. Kahle and Ms. Ritter testified as to how the accident occurred.</w:t>
      </w:r>
      <w:r>
        <w:rPr>
          <w:rFonts w:ascii="arial" w:eastAsia="arial" w:hAnsi="arial" w:cs="arial"/>
          <w:sz w:val="20"/>
          <w:lang w:val="en-US" w:eastAsia="en-US" w:bidi="ar-SA"/>
        </w:rPr>
        <w:cr/>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Counsel for Mr. Kahle submits the defendants should be held 100% liable for the accident based on a deemed admission of liability at law or in the alternative based on a finding of liability on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Counsel for the defendants submits there is no deemed liability at law and on the facts liability should be apportioned.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Statement of Claim does not allege an admission of liability by the defendants or reliance by the plaintiff on such an admission. As well, both Statements of Defence deny liability for the accident.</w:t>
      </w:r>
      <w:r>
        <w:rPr>
          <w:rFonts w:ascii="arial" w:eastAsia="arial" w:hAnsi="arial" w:cs="arial"/>
          <w:sz w:val="20"/>
          <w:lang w:val="en-US" w:eastAsia="en-US" w:bidi="ar-SA"/>
        </w:rPr>
        <w:cr/>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Deemed admission of liability at law</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Admissibility of the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adjuster's letter of July 29, 1997, was admitted into evidence as I concluded there was no evidence of an intention it not be disclosed. The letter was not marked "Without Prejudice". However, the use of that notation alone is not mandatory in order to claim privilege over a communication.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From the commentary of Sopinka, Lederman, and Bryant in The Law of Evidence in Canada, 2nd ed. (Toronto: Buttersworth, 1999) at pp. 807-817, and the decisions of Excelsior Life Insurance Co. v. Saskatchewan (Government) </w:t>
      </w:r>
      <w:hyperlink r:id="rId252" w:history="1">
        <w:r>
          <w:rPr>
            <w:rFonts w:ascii="arial" w:eastAsia="arial" w:hAnsi="arial" w:cs="arial"/>
            <w:i/>
            <w:color w:val="0077CC"/>
            <w:sz w:val="20"/>
            <w:u w:val="single"/>
            <w:shd w:val="clear" w:color="auto" w:fill="FFFFFF"/>
            <w:lang w:val="en-US" w:eastAsia="en-US" w:bidi="ar-SA"/>
          </w:rPr>
          <w:t>(1987), 63 Sask. R. 35</w:t>
        </w:r>
      </w:hyperlink>
      <w:r>
        <w:rPr>
          <w:rFonts w:ascii="arial" w:eastAsia="arial" w:hAnsi="arial" w:cs="arial"/>
          <w:color w:val="000000"/>
          <w:sz w:val="20"/>
          <w:lang w:val="en-US" w:eastAsia="en-US" w:bidi="ar-SA"/>
        </w:rPr>
        <w:t xml:space="preserve"> (Q.B.); William Allan Real Estate Co. v. Robichaud </w:t>
      </w:r>
      <w:hyperlink r:id="rId253" w:history="1">
        <w:r>
          <w:rPr>
            <w:rFonts w:ascii="arial" w:eastAsia="arial" w:hAnsi="arial" w:cs="arial"/>
            <w:i/>
            <w:color w:val="0077CC"/>
            <w:sz w:val="20"/>
            <w:u w:val="single"/>
            <w:shd w:val="clear" w:color="auto" w:fill="FFFFFF"/>
            <w:lang w:val="en-US" w:eastAsia="en-US" w:bidi="ar-SA"/>
          </w:rPr>
          <w:t>(1987), 17 C.P.C. (2d) 138</w:t>
        </w:r>
      </w:hyperlink>
      <w:r>
        <w:rPr>
          <w:rFonts w:ascii="arial" w:eastAsia="arial" w:hAnsi="arial" w:cs="arial"/>
          <w:color w:val="000000"/>
          <w:sz w:val="20"/>
          <w:lang w:val="en-US" w:eastAsia="en-US" w:bidi="ar-SA"/>
        </w:rPr>
        <w:t xml:space="preserve"> (Ont. H.C.J.); and Linear S.R.L. v. CCC-Canadian Communication, </w:t>
      </w:r>
      <w:hyperlink r:id="rId254" w:history="1">
        <w:r>
          <w:rPr>
            <w:rFonts w:ascii="arial" w:eastAsia="arial" w:hAnsi="arial" w:cs="arial"/>
            <w:i/>
            <w:color w:val="0077CC"/>
            <w:sz w:val="20"/>
            <w:u w:val="single"/>
            <w:shd w:val="clear" w:color="auto" w:fill="FFFFFF"/>
            <w:lang w:val="en-US" w:eastAsia="en-US" w:bidi="ar-SA"/>
          </w:rPr>
          <w:t>[2000] B.C.J. No. 2491</w:t>
        </w:r>
      </w:hyperlink>
      <w:r>
        <w:rPr>
          <w:rFonts w:ascii="arial" w:eastAsia="arial" w:hAnsi="arial" w:cs="arial"/>
          <w:color w:val="000000"/>
          <w:sz w:val="20"/>
          <w:lang w:val="en-US" w:eastAsia="en-US" w:bidi="ar-SA"/>
        </w:rPr>
        <w:t xml:space="preserve"> (S.C.) (Master), </w:t>
      </w:r>
      <w:hyperlink r:id="rId254" w:history="1">
        <w:r>
          <w:rPr>
            <w:rFonts w:ascii="arial" w:eastAsia="arial" w:hAnsi="arial" w:cs="arial"/>
            <w:i/>
            <w:color w:val="0077CC"/>
            <w:sz w:val="20"/>
            <w:u w:val="single"/>
            <w:shd w:val="clear" w:color="auto" w:fill="FFFFFF"/>
            <w:lang w:val="en-US" w:eastAsia="en-US" w:bidi="ar-SA"/>
          </w:rPr>
          <w:t>2000 BCSC 1791</w:t>
        </w:r>
      </w:hyperlink>
      <w:r>
        <w:rPr>
          <w:rFonts w:ascii="arial" w:eastAsia="arial" w:hAnsi="arial" w:cs="arial"/>
          <w:color w:val="000000"/>
          <w:sz w:val="20"/>
          <w:lang w:val="en-US" w:eastAsia="en-US" w:bidi="ar-SA"/>
        </w:rPr>
        <w:t>, it would appear the courts are generally reluctant to refuse a claim of privilege over communications involving settlement negotiations, especially where it is clear that the purpose of the communication is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However, the authorities of Belanger v. Gilbert </w:t>
      </w:r>
      <w:hyperlink r:id="rId255" w:history="1">
        <w:r>
          <w:rPr>
            <w:rFonts w:ascii="arial" w:eastAsia="arial" w:hAnsi="arial" w:cs="arial"/>
            <w:i/>
            <w:color w:val="0077CC"/>
            <w:sz w:val="20"/>
            <w:u w:val="single"/>
            <w:shd w:val="clear" w:color="auto" w:fill="FFFFFF"/>
            <w:lang w:val="en-US" w:eastAsia="en-US" w:bidi="ar-SA"/>
          </w:rPr>
          <w:t>(1984), 14 D.L.R. (4th) 428</w:t>
        </w:r>
      </w:hyperlink>
      <w:r>
        <w:rPr>
          <w:rFonts w:ascii="arial" w:eastAsia="arial" w:hAnsi="arial" w:cs="arial"/>
          <w:color w:val="000000"/>
          <w:sz w:val="20"/>
          <w:lang w:val="en-US" w:eastAsia="en-US" w:bidi="ar-SA"/>
        </w:rPr>
        <w:t xml:space="preserve"> (B.C.C.A.) and Podovinikoff v. Montgomery </w:t>
      </w:r>
      <w:hyperlink r:id="rId256" w:history="1">
        <w:r>
          <w:rPr>
            <w:rFonts w:ascii="arial" w:eastAsia="arial" w:hAnsi="arial" w:cs="arial"/>
            <w:i/>
            <w:color w:val="0077CC"/>
            <w:sz w:val="20"/>
            <w:u w:val="single"/>
            <w:shd w:val="clear" w:color="auto" w:fill="FFFFFF"/>
            <w:lang w:val="en-US" w:eastAsia="en-US" w:bidi="ar-SA"/>
          </w:rPr>
          <w:t>(1984), 58 B.C.L.R. 204</w:t>
        </w:r>
      </w:hyperlink>
      <w:r>
        <w:rPr>
          <w:rFonts w:ascii="arial" w:eastAsia="arial" w:hAnsi="arial" w:cs="arial"/>
          <w:color w:val="000000"/>
          <w:sz w:val="20"/>
          <w:lang w:val="en-US" w:eastAsia="en-US" w:bidi="ar-SA"/>
        </w:rPr>
        <w:t xml:space="preserve"> (C.A.) also illustrate that the mere fact of an adjuster's letter alone will not ensure privilege protection. In those cases, the adjusters' letters were not marked "Without Prejudice". They were admitted into evidence for the purpose of confirming a cause of action so as to postpone the running of time under s. 5 of the Limitation Act, </w:t>
      </w:r>
      <w:hyperlink r:id="rId62"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and because the parties opposing their admission failed to demonstrate an intention that the letters were not to be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determining whether an intention of non-disclosure has been established, other decisions have focused on whether the communication involves terms of settlement. In William Allan Real Estate, it was held that an intention of non-disclosure is intrinsically part of a settlement communication and privilege will attach. Belanger held that offering terms of settlement where there was a dispute over the contents of negotiations between parties would be evidence of an intention of non-disclosure.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the other hand, Podovinikoff found no privilege over letters that were not written during negotiations. In that case, in the absence of marking the letter "Without Prejudice" the court was not prepared to imply privilege over the communication.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It would appear, therefore, that the purpose for which the communication is to be used is determinative of intent. An intention to not disclose will be found where a plaintiff intends to use the letter to prove the merits of a claim, but it will not be found where a plaintiff intends to use the letter to preserve a cause of action and prove there is a matter to be tried. Podovinikoff is strong authority in British Columbia that absent the phrase "Without Prejudice", there must be other positive evidence of the intent of non-disclosure beyond the presumption of such an intent when communicating for the purpose of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this case, the adjuster's letter was written well before the commencement of this action. Its contents appear to consist mainly of a list of documents. In the absence of any evidence that it was not intended to be disclosed (such as a "Without Prejudice" notation, or, evidence of reliance on the letter to prove the merits of a claim), I have concluded that it is not protected by any privilege.</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Proof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Counsel for Mr. Kahle relies on Belanger and Podovinikoff for the proposition that the adjuster's letter is conclusive proof of the defendants' admission of liability and therefore the defendants are now estopped from attempting to put liability in issue. In addition, he refers to the following authorities in which Podovinikoff was followed: Sidhu v. Grewal et al. </w:t>
      </w:r>
      <w:hyperlink r:id="rId257" w:history="1">
        <w:r>
          <w:rPr>
            <w:rFonts w:ascii="arial" w:eastAsia="arial" w:hAnsi="arial" w:cs="arial"/>
            <w:i/>
            <w:color w:val="0077CC"/>
            <w:sz w:val="20"/>
            <w:u w:val="single"/>
            <w:shd w:val="clear" w:color="auto" w:fill="FFFFFF"/>
            <w:lang w:val="en-US" w:eastAsia="en-US" w:bidi="ar-SA"/>
          </w:rPr>
          <w:t>(1986), 24 D.L.R. (4th) 467</w:t>
        </w:r>
      </w:hyperlink>
      <w:r>
        <w:rPr>
          <w:rFonts w:ascii="arial" w:eastAsia="arial" w:hAnsi="arial" w:cs="arial"/>
          <w:color w:val="000000"/>
          <w:sz w:val="20"/>
          <w:lang w:val="en-US" w:eastAsia="en-US" w:bidi="ar-SA"/>
        </w:rPr>
        <w:t xml:space="preserve"> (B.C.S.C.); Crawford v. Roset </w:t>
      </w:r>
      <w:hyperlink r:id="rId258" w:history="1">
        <w:r>
          <w:rPr>
            <w:rFonts w:ascii="arial" w:eastAsia="arial" w:hAnsi="arial" w:cs="arial"/>
            <w:i/>
            <w:color w:val="0077CC"/>
            <w:sz w:val="20"/>
            <w:u w:val="single"/>
            <w:shd w:val="clear" w:color="auto" w:fill="FFFFFF"/>
            <w:lang w:val="en-US" w:eastAsia="en-US" w:bidi="ar-SA"/>
          </w:rPr>
          <w:t>(1992), 71 B.C.L.R. (2d) 90</w:t>
        </w:r>
      </w:hyperlink>
      <w:r>
        <w:rPr>
          <w:rFonts w:ascii="arial" w:eastAsia="arial" w:hAnsi="arial" w:cs="arial"/>
          <w:color w:val="000000"/>
          <w:sz w:val="20"/>
          <w:lang w:val="en-US" w:eastAsia="en-US" w:bidi="ar-SA"/>
        </w:rPr>
        <w:t xml:space="preserve">(S.C.); Williams v. Williams, </w:t>
      </w:r>
      <w:hyperlink r:id="rId259" w:history="1">
        <w:r>
          <w:rPr>
            <w:rFonts w:ascii="arial" w:eastAsia="arial" w:hAnsi="arial" w:cs="arial"/>
            <w:i/>
            <w:color w:val="0077CC"/>
            <w:sz w:val="20"/>
            <w:u w:val="single"/>
            <w:shd w:val="clear" w:color="auto" w:fill="FFFFFF"/>
            <w:lang w:val="en-US" w:eastAsia="en-US" w:bidi="ar-SA"/>
          </w:rPr>
          <w:t>[1995] B.C.J. No. 1037</w:t>
        </w:r>
      </w:hyperlink>
      <w:r>
        <w:rPr>
          <w:rFonts w:ascii="arial" w:eastAsia="arial" w:hAnsi="arial" w:cs="arial"/>
          <w:color w:val="000000"/>
          <w:sz w:val="20"/>
          <w:lang w:val="en-US" w:eastAsia="en-US" w:bidi="ar-SA"/>
        </w:rPr>
        <w:t xml:space="preserve"> (S.C.), appeal dismissed at </w:t>
      </w:r>
      <w:hyperlink r:id="rId260" w:history="1">
        <w:r>
          <w:rPr>
            <w:rFonts w:ascii="arial" w:eastAsia="arial" w:hAnsi="arial" w:cs="arial"/>
            <w:i/>
            <w:color w:val="0077CC"/>
            <w:sz w:val="20"/>
            <w:u w:val="single"/>
            <w:shd w:val="clear" w:color="auto" w:fill="FFFFFF"/>
            <w:lang w:val="en-US" w:eastAsia="en-US" w:bidi="ar-SA"/>
          </w:rPr>
          <w:t>[1996] B.C.J. No. 2442</w:t>
        </w:r>
      </w:hyperlink>
      <w:r>
        <w:rPr>
          <w:rFonts w:ascii="arial" w:eastAsia="arial" w:hAnsi="arial" w:cs="arial"/>
          <w:color w:val="000000"/>
          <w:sz w:val="20"/>
          <w:lang w:val="en-US" w:eastAsia="en-US" w:bidi="ar-SA"/>
        </w:rPr>
        <w:t xml:space="preserve"> (C.A.) and, St. Germaine v. Ramsey, </w:t>
      </w:r>
      <w:hyperlink r:id="rId261" w:history="1">
        <w:r>
          <w:rPr>
            <w:rFonts w:ascii="arial" w:eastAsia="arial" w:hAnsi="arial" w:cs="arial"/>
            <w:i/>
            <w:color w:val="0077CC"/>
            <w:sz w:val="20"/>
            <w:u w:val="single"/>
            <w:shd w:val="clear" w:color="auto" w:fill="FFFFFF"/>
            <w:lang w:val="en-US" w:eastAsia="en-US" w:bidi="ar-SA"/>
          </w:rPr>
          <w:t>[1996] B.C.J. No. 1814</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All of the above decisions involve the confirmation of a cause of action in order to postpone the commencement of the limitation period for the purpose of preserving the right to commence an action. The admissibility of the communications were for a limited purpose. The communications were not admitted as proof of the merits of the claims which remained to be proved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This was noted in Podovinikoff at p. 208, where Aikins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issue to be resolved is whether the acknowledgment of a cause of action must amount to an admission of liability if the acknowledgment is to serve as a confirmation of the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p. 209, he concluded by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following the line of reasoning indicated by Lord Denning, that under our Act, a person may acknowledge as a bare fact that someone has asserted (probably by making a claim) a cause of action against him without acknowledging any liability. However, I am also of the view that such a bare acknowledgment of the existence of a cause of action is quite insufficient to meet the requirements of s. 5(2)(a)(i) of the Act. Those provisions provide that a person confirms a cause of action only if he '... acknowledges a cause of action, right or title of another;...' The acknowledgment of a right or title must, in my view, involve the acknowledgement of some liability. The word 'acknowledgment' must have the same meaning when used with reference to a cause of action. It follows, therefore, that what binds a defendant and activates s. 5(2)(a)(i) is an acknowledgment in writing of a cause of action which admits some liability thereunder.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These comments are in some respects similar to the test developed for the determination of whether privilege attaches to a communication in that there must be something more than a bare reliance on a presumption of intent. Likewise, Aikins J.A. concluded that there must be something more than a "bare acknowledgment" for the operation of s. 5 of the Limitation Act. There must be an admission of "some" liability in order for there to be an acknowledgement of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my view, at most Podovinikoff establishes that an acknowledgment of "some" liability may be considered as evidence on the issue of whether liability has been established; however, it is far from conclusive. Even in Podovinikoff, at p. 205 the ultimate issue of liability was determined on the facts. Thus, short of a full admission, it does not appear that such statements are intended to be determinative of the ultimate issue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This approach seemed to have been adopted in McLuskie v. Sakai </w:t>
      </w:r>
      <w:hyperlink r:id="rId262" w:history="1">
        <w:r>
          <w:rPr>
            <w:rFonts w:ascii="arial" w:eastAsia="arial" w:hAnsi="arial" w:cs="arial"/>
            <w:i/>
            <w:color w:val="0077CC"/>
            <w:sz w:val="20"/>
            <w:u w:val="single"/>
            <w:shd w:val="clear" w:color="auto" w:fill="FFFFFF"/>
            <w:lang w:val="en-US" w:eastAsia="en-US" w:bidi="ar-SA"/>
          </w:rPr>
          <w:t>(1985), 66 B.C.L.R. 217</w:t>
        </w:r>
      </w:hyperlink>
      <w:r>
        <w:rPr>
          <w:rFonts w:ascii="arial" w:eastAsia="arial" w:hAnsi="arial" w:cs="arial"/>
          <w:color w:val="000000"/>
          <w:sz w:val="20"/>
          <w:lang w:val="en-US" w:eastAsia="en-US" w:bidi="ar-SA"/>
        </w:rPr>
        <w:t xml:space="preserve"> (S.C.), aff'd </w:t>
      </w:r>
      <w:hyperlink r:id="rId263" w:history="1">
        <w:r>
          <w:rPr>
            <w:rFonts w:ascii="arial" w:eastAsia="arial" w:hAnsi="arial" w:cs="arial"/>
            <w:i/>
            <w:color w:val="0077CC"/>
            <w:sz w:val="20"/>
            <w:u w:val="single"/>
            <w:shd w:val="clear" w:color="auto" w:fill="FFFFFF"/>
            <w:lang w:val="en-US" w:eastAsia="en-US" w:bidi="ar-SA"/>
          </w:rPr>
          <w:t>(1987), 12 B.C.L.R. (2d) 372</w:t>
        </w:r>
      </w:hyperlink>
      <w:r>
        <w:rPr>
          <w:rFonts w:ascii="arial" w:eastAsia="arial" w:hAnsi="arial" w:cs="arial"/>
          <w:color w:val="000000"/>
          <w:sz w:val="20"/>
          <w:lang w:val="en-US" w:eastAsia="en-US" w:bidi="ar-SA"/>
        </w:rPr>
        <w:t xml:space="preserve"> (C.A.). In that case, the court examined the impact of such a statement on the determination of liability in a motor vehicle accident. The defendant's lawyer told the plaintiff's lawyer that liability would not be in issue and subsequently confirmed that position by letter. Counsel for the plaintiff, relying on that representation, did not pursue a claim against the Crown, as a defendant, for failing to maintain the highway. However, once the seriousness of the claim became apparent the defendant went on to formally deny any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Southin J. (now J.A.) concluded that such statements are not "admissions" as they do not have the same force as judicial admissions (i.e., pleadings or notices to admit).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this case, it is arguable that at best that the representation in the adjuster's letter might be interpreted as an implied admission of "some" liability. However, if so, it was drafted in the most inconclusive terms. I am of the view that the adjuster's letter was merely a statement that someone did not provide the insurer with police reports because "liability does not appear to be an issue". The letter did not state who made this determination and did not contain even a bare admission of liability. Its inconclusive language is consistent with the conclusion that it was too early in the dispute to make a final determination of what matters would be in issue. The letter was sent before the commencement of proceedings and the filing of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my view, it would be unreasonable to consider the statement in the letter as an "admission" of liability.</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Promissory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Counsel for Mr. Kahle further submits that the letter's representation regarding liability was relied upon by the plaintiff and therefore the defendants should be estopped from now withdrawing from that "admission".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 promissory estoppel involves one party in a legal relationship making a representation to another party in that relationship which leads the other party to believe that the first party will not insist on his strict legal rights. The second party's reliance on that representation results in the second party altering his legal position on the strength of that promise. The party who made the representation is then barred from going back on the promise so long as it is inequitable to do so: Central London Property Trust Ltd. v. High Trees House Ltd., [1947] K.B. 130. The promise must be a clear and unambiguous intention to affect the legal relationship between the parties and thus binding on the promissor: John Burrows Ltd. v. Subsurface Surveys Ltd., </w:t>
      </w:r>
      <w:hyperlink r:id="rId264" w:history="1">
        <w:r>
          <w:rPr>
            <w:rFonts w:ascii="arial" w:eastAsia="arial" w:hAnsi="arial" w:cs="arial"/>
            <w:i/>
            <w:color w:val="0077CC"/>
            <w:sz w:val="20"/>
            <w:u w:val="single"/>
            <w:shd w:val="clear" w:color="auto" w:fill="FFFFFF"/>
            <w:lang w:val="en-US" w:eastAsia="en-US" w:bidi="ar-SA"/>
          </w:rPr>
          <w:t>[1968] S.C.R. 607</w:t>
        </w:r>
      </w:hyperlink>
      <w:r>
        <w:rPr>
          <w:rFonts w:ascii="arial" w:eastAsia="arial" w:hAnsi="arial" w:cs="arial"/>
          <w:color w:val="000000"/>
          <w:sz w:val="20"/>
          <w:lang w:val="en-US" w:eastAsia="en-US" w:bidi="ar-SA"/>
        </w:rPr>
        <w:t xml:space="preserve">; Conwest Exploration Co. v. Letain, </w:t>
      </w:r>
      <w:hyperlink r:id="rId265" w:history="1">
        <w:r>
          <w:rPr>
            <w:rFonts w:ascii="arial" w:eastAsia="arial" w:hAnsi="arial" w:cs="arial"/>
            <w:i/>
            <w:color w:val="0077CC"/>
            <w:sz w:val="20"/>
            <w:u w:val="single"/>
            <w:shd w:val="clear" w:color="auto" w:fill="FFFFFF"/>
            <w:lang w:val="en-US" w:eastAsia="en-US" w:bidi="ar-SA"/>
          </w:rPr>
          <w:t>[1964] S.C.R. 20</w:t>
        </w:r>
      </w:hyperlink>
      <w:r>
        <w:rPr>
          <w:rFonts w:ascii="arial" w:eastAsia="arial" w:hAnsi="arial" w:cs="arial"/>
          <w:color w:val="000000"/>
          <w:sz w:val="20"/>
          <w:lang w:val="en-US" w:eastAsia="en-US" w:bidi="ar-SA"/>
        </w:rPr>
        <w:t xml:space="preserve">. Should the promise be broken, the reliance must be detrimental to the person relying upon it: Pentagon Construction (1969) Co. Ltd. v. U.S. Fidelity and Guaranty Company, </w:t>
      </w:r>
      <w:hyperlink r:id="rId266" w:history="1">
        <w:r>
          <w:rPr>
            <w:rFonts w:ascii="arial" w:eastAsia="arial" w:hAnsi="arial" w:cs="arial"/>
            <w:i/>
            <w:color w:val="0077CC"/>
            <w:sz w:val="20"/>
            <w:u w:val="single"/>
            <w:shd w:val="clear" w:color="auto" w:fill="FFFFFF"/>
            <w:lang w:val="en-US" w:eastAsia="en-US" w:bidi="ar-SA"/>
          </w:rPr>
          <w:t>[1977] 4 W.W.R. 351</w:t>
        </w:r>
      </w:hyperlink>
      <w:r>
        <w:rPr>
          <w:rFonts w:ascii="arial" w:eastAsia="arial" w:hAnsi="arial" w:cs="arial"/>
          <w:color w:val="000000"/>
          <w:sz w:val="20"/>
          <w:lang w:val="en-US" w:eastAsia="en-US" w:bidi="ar-SA"/>
        </w:rPr>
        <w:t xml:space="preserve"> (B.C.C.A.); John Burrows Ltd.,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Estoppel is only a defence and cannot form a cause of action: Central London Property Trust, supra; Combe v. Combe, [1951] 1 All E.R. 767; Canadian Superior Oil Ltd. v. Paddon-Hughes Development Co. Ltd., </w:t>
      </w:r>
      <w:hyperlink r:id="rId267" w:history="1">
        <w:r>
          <w:rPr>
            <w:rFonts w:ascii="arial" w:eastAsia="arial" w:hAnsi="arial" w:cs="arial"/>
            <w:i/>
            <w:color w:val="0077CC"/>
            <w:sz w:val="20"/>
            <w:u w:val="single"/>
            <w:shd w:val="clear" w:color="auto" w:fill="FFFFFF"/>
            <w:lang w:val="en-US" w:eastAsia="en-US" w:bidi="ar-SA"/>
          </w:rPr>
          <w:t>[1970] S.C.R. 932</w:t>
        </w:r>
      </w:hyperlink>
      <w:r>
        <w:rPr>
          <w:rFonts w:ascii="arial" w:eastAsia="arial" w:hAnsi="arial" w:cs="arial"/>
          <w:color w:val="000000"/>
          <w:sz w:val="20"/>
          <w:lang w:val="en-US" w:eastAsia="en-US" w:bidi="ar-SA"/>
        </w:rPr>
        <w:t xml:space="preserve">. See also McLuskie, supra. Only "proprietary estoppel", a modern term for the equitable rule as to acquiescence or estoppel by acquiescence, which involves an interest in land, can form the basis of a cause of action: Canadian Superior Oil, supra; Zelmer v. Victor Projects Ltd. </w:t>
      </w:r>
      <w:hyperlink r:id="rId268" w:history="1">
        <w:r>
          <w:rPr>
            <w:rFonts w:ascii="arial" w:eastAsia="arial" w:hAnsi="arial" w:cs="arial"/>
            <w:i/>
            <w:color w:val="0077CC"/>
            <w:sz w:val="20"/>
            <w:u w:val="single"/>
            <w:shd w:val="clear" w:color="auto" w:fill="FFFFFF"/>
            <w:lang w:val="en-US" w:eastAsia="en-US" w:bidi="ar-SA"/>
          </w:rPr>
          <w:t>(1997), 34 B.C.L.R. (3d) 125</w:t>
        </w:r>
      </w:hyperlink>
      <w:r>
        <w:rPr>
          <w:rFonts w:ascii="arial" w:eastAsia="arial" w:hAnsi="arial" w:cs="arial"/>
          <w:color w:val="000000"/>
          <w:sz w:val="20"/>
          <w:lang w:val="en-US" w:eastAsia="en-US" w:bidi="ar-SA"/>
        </w:rPr>
        <w:t xml:space="preserve"> (C.A.). Furthermore, Rule 20(5) of the Rules of Court requires that promissory estoppel be specifically pleaded unless it is otherwise clear from the pleadings or evidence that estoppel is an issue. There must be full opportunity for both sides to argue the issue and no prejudice to the opposing party: 32262 B.C. Ltd. v. McDonell, </w:t>
      </w:r>
      <w:hyperlink r:id="rId269" w:history="1">
        <w:r>
          <w:rPr>
            <w:rFonts w:ascii="arial" w:eastAsia="arial" w:hAnsi="arial" w:cs="arial"/>
            <w:i/>
            <w:color w:val="0077CC"/>
            <w:sz w:val="20"/>
            <w:u w:val="single"/>
            <w:shd w:val="clear" w:color="auto" w:fill="FFFFFF"/>
            <w:lang w:val="en-US" w:eastAsia="en-US" w:bidi="ar-SA"/>
          </w:rPr>
          <w:t>[1998] B.C.J. No. 1503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Fundamentally, promissory estoppel is a matter of contract law. As stated by G.H.L. Fridman in The Law of Contract in Canada, 4th ed. (Scarborough: Carswell, 1999) at p. 134: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only true function of this doctrine is to affect existing contractual rights, not to manufacture contracts out of such 'promises' or 'representations' ... this use of estoppel can be made only to affect accrued or inchoate rights, not to produce contractual relations where the essential ingredients of a contract, such as consideration or a clear and ascertained agreement as to terms, are lacking.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Again, McLuskie is on point with the instant case. Although estoppel was not specifically pleaded, Southin J. (now J.A.) considered the argument because there was no prejudice to the other party. She dismissed the plaintiff's argument by holding there was no consideration for the representation. She further held that promissory estoppel was not a cause of action and had not been established. She went on to dismiss the applicability of issue estoppel stating that it will only arise where there is a prior judicial determination of a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the instant case, there is no promise apparent in the adjuster's letter. The bare statement, "liability does not appear to be an issue", does not mean that liability might not later become an issue. In my view, it would be unreasonable to conclude that such a statement formed a clear promise not to contest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addition, the fundamental requirement that Mr. Kahle altered his position as a result of the representation does not exist. The fact that he pled and argued liability at trial suggests that he placed no reliance on the statement in the adjuster's letter. Furthermore, promissory estoppel was not specifically pleaded in his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Lastly, even if Mr. Kahle had established that the adjuster had made a clear and unambiguous promise upon which he had relied, there was no evidence that he suffered any harm or prejudice as a result of that reliance. He was still able to commence his action within the limitation period and to plead and argue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Accordingly, I am of the view that the defendants have not admitted liability at law and the defence of promissory estoppel does not apply. As such, liability must be determined on the facts.</w:t>
      </w:r>
      <w:r>
        <w:rPr>
          <w:rFonts w:ascii="arial" w:eastAsia="arial" w:hAnsi="arial" w:cs="arial"/>
          <w:sz w:val="20"/>
          <w:lang w:val="en-US" w:eastAsia="en-US" w:bidi="ar-SA"/>
        </w:rPr>
        <w:cr/>
      </w:r>
    </w:p>
    <w:p>
      <w:pPr>
        <w:numPr>
          <w:numId w:val="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on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Mr. Kahle and Ms. Ritter offer two different versions of how the accident occurred. In the absence of any other evidence that might support one or the other's version, the court would be unable to determine how to divide the blame and section 1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would require liability to be divided equally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However, a careful examination of Ms. Ritter's evidence, particularly during cross-examination, establishes that she had both the time and opportunity to put a safe distance between her vehicle and Mr. Kahle's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Accepting for the moment that Mr. Kahle's vehicle did cut her off by speeding past her and pulling into her lane immediately in front of her, Ms. Ritter acknowledged that after she applied her brakes the first time, she released them within about five seconds before colliding into Mr. Kahle's vehicle. By then she had formed the opinion that she had established a safe distance of about one car length between her and Mr. Kahle's vehicle. When she formed that opinion, the intersection light was still green and Mr. Kahle's vehicle (and the one in front of him) would have been increasing their distance from Ms. Ritter's vehicle if they were speeding.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cross-examination Ms. Ritter said she did not expect the vehicles in front of her to slam on their brakes after she released her brakes. From this evidence it would seem that Ms. Ritter did not see the intersection light turn from green to amber. Had she seen the light change she likely would not have released her brake as she would have anticipated that the vehicles in front of her would be stopping. Instead, it can be inferred that she assumed the vehicles would be proceeding through the green light at the speed with which they passed her vehicle. When Ms. Ritter relied on that assumption and released her brake she failed to maintain a safe distance between her vehicle and Mr. Kahle's vehicle. The wet road conditions added to her inability to stop when Mr. Kahle's vehicle suddenly braked.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all of the evidence I am satisfied Mr. Kahle has established that Ms. Ritter was at fault for the accident.</w:t>
      </w:r>
      <w:r>
        <w:rPr>
          <w:rFonts w:ascii="arial" w:eastAsia="arial" w:hAnsi="arial" w:cs="arial"/>
          <w:sz w:val="20"/>
          <w:lang w:val="en-US" w:eastAsia="en-US" w:bidi="ar-SA"/>
        </w:rPr>
        <w:cr/>
      </w:r>
    </w:p>
    <w:p>
      <w:pPr>
        <w:numPr>
          <w:numId w:val="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a result of the accident, Mr. Kahle suffered soft tissue injuries to his neck and lower back. Five years after the accident he continues to suffer chronic occasional pain in his neck and chronic ongoing pain in his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At issue in his claim for damages is: (i) the extent of his injuries including the significance of certain radiographic findings of his spine; (ii) whether his chronic pain condition is attributable in part to any pre-existing low back injury he suffered as a result of accidents in February and November 1992; (iii) whether he has established a past loss of opportunity claim between June and September 1997; (iv) whether he has established a loss of future earning capacity based on an impairment of his ability to do physically demanding work; and, (v) whether he has failed to mitigate his losses.</w:t>
      </w:r>
      <w:r>
        <w:rPr>
          <w:rFonts w:ascii="arial" w:eastAsia="arial" w:hAnsi="arial" w:cs="arial"/>
          <w:sz w:val="20"/>
          <w:lang w:val="en-US" w:eastAsia="en-US" w:bidi="ar-SA"/>
        </w:rPr>
        <w:cr/>
      </w:r>
    </w:p>
    <w:p>
      <w:pPr>
        <w:numPr>
          <w:numId w:val="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Kahle was born in Vancouver. He is presently 30 years old (he was 24 at the time of the accident), is single and has no dependents. His parents divorced in 1974 and he was raised by his father and step-mother. His mother remarried and in 1985 she and her husband moved to Calgary, Alberta. After his parents' divorce, Mr. Kahle continued to see his mother on a monthly basis and has maintained a good relationship with both sets of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1995, his father and step-mother moved to Prague where they lived for about five years before returning to Vancouver. Mr. Kahle remained in Vancouver in order to complete his education but in 1998, after the accident, he visited his father and stepmother in Prague. On that occasion his stepmother noticed his apparent back pain and attendant physical limitations. She described Mr. Kahle as an active child who watched his diet, was never sick, and loved the outdoors.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1990 Mr. Kahle graduated from high school. He attended college for one semester in both 1991 and 1992. In the fall of 1993 he enrolled at the British Columbia Institute of Technology ("B.C.I.T.") in order to upgrade and obtain admission into the Biomedical Engineering two-year degree program. In 1995 he was accepted into the program and on June 19, 1997, he received his Diploma of Technology with a major in Biomedical Engineering.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During his years at high school and B.C.I.T., Mr. Kahle worked part-time as a shipper-receiver and forklift operator in warehouses. The jobs were often physically demanding. They involved loading and unloading trailers as well as manual lifting of heavy boxes. Between 1995 and 1997 he did not work because of the intensity of the Biomedical Engineering course. Instead, he focused on successfully completing the program and obtaining his diploma.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February 29, 1992, Mr. Kahle was involved in a motor vehicle accident in which the vehicle he was operating was hit by another vehicle that was turning left in front of his vehicle. He sustained soft tissue injuries to his neck and lower back. Between May and November 1992, he took 10 to 12 physiotherapy treatments for those injuries. After receiving the treatments, he did not return to his family doctor, Dr. Sperling, with any complaints about his neck or lower back arising from that accident. In spite of his injuries, he was also able to continue with his job as a forklift operator.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November 24, 1992, Mr. Kahle was involved in another motor vehicle accident. He was struck while riding his bicycle. He sustained a hairline fracture of his left ankle and bruising to his elbow and knees. Again he took 17 physiotherapy treatments. He said his injuries were resolved after several months although occasionally he experiences twinges of pain in his elbow when doing repetitive work with that arm. He did not sustain any injuries to his neck or lower back in the November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Although described as an introvert, before the September, 1996, accident Mr. Kahle was an active outdoorsman and very social. He regularly jogged, hiked, backpacked, camped and mountain biked. He also enjoyed swimming and weightlifting, and played guitar in a band. In short, before the accident Mr. Kahle was an outgoing, healthy and physically active young man who had no physical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As a hobby he enjoyed woodworking, and in the summer of 1996, while visiting his mother in Calgary, he laid a hardwood floor in the kitchen of his mother's newly purchased heritage home. In July, 1997, after the accident, he moved to Calgary and attempted some temporary general labour work for Sean Gilstrum, a carpenter friend living in Calgary, but was unable to continue with the work due to his injuries. He said he had a dream to some day have a home renovation business with Mr. Gilstrum. Mr. Kahle and Mr. Gilstrum even had some discussions about together forming a company to start a maintenance business. The business would have involved small renovation projects, yard work, and construction work such as retainer walls, floors, fences, etc. When he was physically unable to do the work after the accident, these discussions ended.</w:t>
      </w:r>
      <w:r>
        <w:rPr>
          <w:rFonts w:ascii="arial" w:eastAsia="arial" w:hAnsi="arial" w:cs="arial"/>
          <w:sz w:val="20"/>
          <w:lang w:val="en-US" w:eastAsia="en-US" w:bidi="ar-SA"/>
        </w:rPr>
        <w:cr/>
      </w:r>
    </w:p>
    <w:p>
      <w:pPr>
        <w:numPr>
          <w:numId w:val="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Immediately following the accident, Mr. Kahle started experiencing pain in his neck and lower back. Dr. Sperling's locum conducted a physical examination of Mr. Kahle about five days after the accident and recorded both subjective and objective evidence of soft tissue injuries to his neck and back. She noted in the clinical records that Mr. Kahle had advised her he had continued to experience low back pain, about once a month, following the February 29, 1992, accident. Mr. Kahle stated that the pain was usually triggered by heavy lifting but was generally resolved with massage therapy. He also reported that he had not experienced any ongoing neck pain from that earlier accident. The locum advised Mr. Kahle to use heat and ice for pain relief, attend massage therapy on a weekly basis, and to start swimming for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At trial, Mr. Kahle did not recall these comments. He confirmed his evidence at his Examination for Discovery where he stated "that I was pretty well recovered [from the February 29, 1992, accident] because I never sought any therapy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By November, 1996, Mr. Kahle was experiencing significant pain in his neck, middle and lower back from prolonged sitting during classes and while studying. He was also having trouble sleeping. He did not participate in any sporting activities because he said he could not do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Sperling examined Mr. Kahle on November 6, 1996. She noted symptoms of a cervical strain, upper back strain and lower thoracic and lumber strain. Mr. Kahle complained to her that his symptoms worsened with prolonged sitting and that his sporting activities had been impacted by his injuries. At that time, Dr. Sperling was of the opinion that Mr. Kahle would gradually recover from his injuries over a period of several months. She recommended that he continue with his exercises and attempt to gradually increase his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Kahle did not see Dr. Sperling again until June, 1997. On that occasion, he advised her that his symptoms were not improving and he continued to have low back pain that worsened with periods of prolonged sitting. He could not do any heavy physical work or drive for extended periods without exacerbating his back pain. He also had concerns about whether he could adequately perform his work as a Biomedical Technologist. Dr. Sperling assured him he could physically do the work but she again recommended he become involved in an active rehabilitation program to strengthen his neck and lower back along with continuing massage therapy and physiotherapy treatments. It was her opinion after Mr. Kahle's June, 1997, visit that his back injury had developed into chronic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her CL-19 report to I.C.B.C. dated August 5, 1997, Dr. Sperling diagnosed Mr. Kahle's injuries as "chronic muscular pain [of the] lower back". She was of the view that Mr. Kahle had an ongoing partial disability from the low back pain and he was still restricted from doing heavy work, including lifting. She recommended he continue with physiotherapy and/or an active rehabilitation program such as the one offered by the Canadian Back Institute.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At trial, Dr. Sperling described Mr. Kahle's health before the accident as generally good. She stated, in her experience, he never sought medical treatment for minor problems. Dr. Sperling said that prior to the accident she last saw Mr. Kahle for pain in his neck or back on May 4,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Kahle did not implement a swimming regime as was recommended. However, he did attend for massage therapy treatments but found they provided only temporary relief. He also continued with the home exercises he had previously been taught. He said he focused all his energy into keeping up with his studies as he wanted to graduate on schedule. He attended school eight hours a day during the week and studied nights and weekends. He stated he was overwhelmed by school and his need to graduate as originally planned.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On June 19, 1997, Mr. Kahle graduated from B.C.I.T. He looked for work as a Biomedical Technologist in British Columbia. However, at that time the market was flooded and jobs were scarce. He stated that between June and September, 1997, he could have applied for work as a forklift operator. He needed the money and believed he likely would be successful in obtaining such work because of his past work experience. However, he stated he did not apply for the job because he felt his back pain prevented him from physically doing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Kahle's job hunt in B.C. was unsuccessful. In July, 1997, he moved to Alberta to look for work. He stayed with his mother and step-father for about three months while he looked for work. During that period his friend Mr. Gilstrum had a construction sub-contract and offered to hire Mr. Kahle at $13 an hour for eight hours a day to assist him for the duration of the sub-contract. However, after some attempts, both acknowledged that Mr. Kahle was physically unable to do the work. Mr. Gilstrum estimated that Mr. Kahle could have earned about $5,000 in that three month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By September, 1997, Mr. Kahle decided to look for work as a Biomedical Equipment Technologist on a full-time basis. On December 8, 1997, Mr. Kahle succeeded in obtaining employment as a Biomedical Equipment Technologist with the Calgary Regional Health Authority ("C.R.H.A.") at the Peter Lougheed Centre Hospital. He remains in that position to this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His duties include the repair and maintenance of medical equipment in the hospital. The equipment ranges from small items such as hand held infusion pumps which may weigh less than a pound, to large items such as anesthesia equipment weighing up to 500 pounds, moved by a trolley. The job demands are varied and include lifting items up to 100 pounds, prolonged sitting, standing, crouching, and working in awkward positions (such as under patients' beds).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Lawrence Hadikin who has worked with Mr. Kahle since he started with this job confirmed the requirements and demands of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Kahle continues to experience back and neck pain in his work environment. He finds prolonged sitting gives him back pain. He has difficulty lifting larger equipment and must obtain the assistance of a colleague for that activity. He is interested in working with larger operating room equipment but is concerned that his back pain will preclude him from performing the more demanding lifting that is required with larger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Kahle has had to take time off work in order to attend medical, physiotherapy, and chiropractic appointments. He is concerned that future time off work because of back pain may result in a deduction to his wages as his collective agreement only permits eight or nine sick leave days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On September 21, 1997, Mr. Kahle saw a general practitioner in Calgary for complaints of low back pain and insomnia. Dr. Zapasnik became his family doctor and continued to see him thereafter on a periodic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Between December 12, 1997, and March 20, 1998, Mr. Kahle attended the Canadian Back Institute Rehabilitation Program in Calgary. The physiotherapist diagnosed him as having mechanical low back and cervical pain. The six week active treatment program involved one to two hour sessions for two or three days a week. It focused on pain control, posture correction, the restoration of cervical and lumbar spine movement and strengthening.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Kahle was reported to have been compliant with the program but passive in his approach to the strengthening portion of the treatment and specifically with the work conditioning. At the conclusion of the program he continued to experience constant pain in his low back and pain with certain neck movements. He stated that the strengthening exercises assisted in dealing with the muscle spasms when they occurred but there was no change in his symptoms. Although the therapist was of the view Mr. Kahle was functionally able to do his job, as well as other normal daily living activities, she also felt his focus on pain created a barrier to his full functional recovery. Mr. Kahle was discharged with a comprehensive home exercise plan which he states he does on a regular basis. He also uses a lumbar support which he finds beneficial.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During a visit to Vancouver in October, 1998, Mr. Kahle arranged to see Dr. Sperling. He complained to her of persistent low back pain that was aggravated by periods of prolonged sitting or heavy lifting. He advised Dr. Sperling that he continued with the home exercises on a regular basis and swam two to three times a week. He said he found those activities beneficial. However, in spite of exercising regularly he continued to experience ongoing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It was Dr. Sperling's impression Mr. Kahle was experiencing chronic mechanical low back pain. She ordered an X-ray of his lumbarsacral spine which was taken on October 8, 1998. The radiologist's report noted "[S]ix lumbar type vertebrae demonstrated L-6 is transitional showing sacralization on the left with sclerosis to the pseudo joint at this level". It was Dr. Sperling's opinion that Mr. Kahle's low back pain was chronic and was likely to be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her medical-legal report of December 27, 2000, it was her opinion that in October, 1998, some two years post accident, Mr. Kahle's ongoing symptoms indicated a chronic condition. In her opinion, "there was a high likelihood that the patient would have some ongoing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Calgary, Mr. Kahle continued to complain to Dr. Zapasnik of muscle spasms in his lower back. Upon examination, Dr. Zapasnik noted tenderness on palpation, a decreased range of motion and at times stiffness. He prescribed analgesics, a muscle relaxant, physiotherapy and chiropractic treatment to deal with the chronicity of Mr. Khale's low back pain. More recently, Dr. Zapasnik prescribed an increased dosage of a strong anti-inflammatory medication for muscle inflammation, usually prescribed for patients with chronic pain, along with Tylenol #4, also for pain. He also referred Mr. Kahle for massage therapy and to an orthopedic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Hunter, an orthopedic surgeon, examined Mr. Kahle on March 1, 1999, and July 20, 1999. On the latter date he had another set of X-rays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After reviewing both sets of X-rays, Dr. Hunter noted the small spinal anomaly of a "partial sacralization of the L-5 vertebrae". He also noted a slight wedging deformity of the L-1 vertebrae which he felt was likely developmental as opposed to traumatic. In his view, the July 1999, X-rays were otherwise "normal". It was his opinion that as Mr. Kahle had suffered pain for over 36 months, he might expect a slight degree of permanent damage in his lower back. He was also of the view that Mr. Kahle's recovery might be prolonged because he had injured both his neck and back and the protection of one area sometimes resulted in more of a strain on the other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Between January, 1999, and February 7, 2001, Mr. Kahle received a number of chiropractic treatments from Dr. Kevin Nevison. Beginning April 15, 2000, he also received a number of massage therapy treatments. Again, the treatments appeared to provide only temporary relief for Mr. Kahle's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Nevison reviewed Mr. Kahle's X-rays from October, 1998, and July, 1999. He noted the partial sacralization of the L-5 vertebrae was not completely fused with the sacrum. In his opinion, this spinal anomaly was a congenital defect that could be a source of instability or pain if subjected to trauma. He was also of the view that it might make Mr. Kahle more vulnerable to injury and therefore impede his recovery. He disagreed with Dr. Hunter's interpretation of the radiological evidence, that Mr. Kahle's partial sacralization of the L-5 vertebrae, and his 13 thoracic vertebrae (instead of the "normal" complement of 12), were of little significance and should not impede his recovery. In Dr. Nevison's opinion, Mr. Kahle's prognosis was guarded because of Mr. Kahle's spinal anomalies.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Hunter was not available for cross-examination at trial due to health reasons. Consequently, another orthopedic consultant was retained, Dr. George Aitken. Dr. Aitken was to review the pertinent clinical records, reports, and X-rays and provide an independent opinion regarding the conflict in the evidence of Dr. Nevison and Dr. Hunter as to the interpretation and significance of Mr. Kahle's spinal X-rays.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the end, Dr. Aitken both agreed and disagreed with different aspects of Dr. Hunter's and Dr. Nevison's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Aitken agreed that Mr. Kahle's thoracic spine has 13 thoracic vertebrae instead of the "normal" complement of 12, that he has "partial sacralization" of the L-5 vertebrae which is potentially more unstable than if the L-5 vertebra was totally fused to the sacrum (the norm) and, given these anatomical variants in his spine, Mr. Kahle would be more susceptible to trauma. Dr. Aitken was of the view that the partial sacralization of the L-5 vertebrae would not be a cause of Mr. Kahle's symptoms per se "unless some other disease process or injury is superimposed". His diagnosis was that Mr. Kahle's condition had become chronic, and he would continue to suffer from residual symptoms consisting of occasional to intermittent, moderate lumbosacral pain and stiffness.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He summarized his diagnosis regarding the injuries suffered by Mr. Kahle as a result of the accident as follows: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New low back strain involving the posterior lumbar muscles and lumbar fascia attaching to the iliac crests;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neck sprain superimposed upon previous injuries;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thoracic spine strain superimposed upon previous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Aitken's opinion as to the chronic nature of Mr. Kahle's condition was consistent with the opinions of Dr. Sperling and Dr. Nevison.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r>
        <w:rPr>
          <w:rFonts w:ascii="arial" w:eastAsia="arial" w:hAnsi="arial" w:cs="arial"/>
          <w:sz w:val="20"/>
          <w:lang w:val="en-US" w:eastAsia="en-US" w:bidi="ar-SA"/>
        </w:rPr>
        <w:cr/>
      </w:r>
    </w:p>
    <w:p>
      <w:pPr>
        <w:numPr>
          <w:numId w:val="1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A determination of whether Mr. Kahle's ongoing chronic pain condition was caused or materially contributed to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accident requires a review of the principles laid down by the Supreme Court of Canada in Athey v. Leonati </w:t>
      </w:r>
      <w:hyperlink r:id="rId111" w:history="1">
        <w:r>
          <w:rPr>
            <w:rFonts w:ascii="arial" w:eastAsia="arial" w:hAnsi="arial" w:cs="arial"/>
            <w:i/>
            <w:color w:val="0077CC"/>
            <w:sz w:val="20"/>
            <w:u w:val="single"/>
            <w:shd w:val="clear" w:color="auto" w:fill="FFFFFF"/>
            <w:lang w:val="en-US" w:eastAsia="en-US" w:bidi="ar-SA"/>
          </w:rPr>
          <w:t>(1996), 140 D.L.R. (4th) 235</w:t>
        </w:r>
      </w:hyperlink>
      <w:r>
        <w:rPr>
          <w:rFonts w:ascii="arial" w:eastAsia="arial" w:hAnsi="arial" w:cs="arial"/>
          <w:color w:val="000000"/>
          <w:sz w:val="20"/>
          <w:lang w:val="en-US" w:eastAsia="en-US" w:bidi="ar-SA"/>
        </w:rPr>
        <w:t>. At para. 17 Major J. summarized the causation test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There will frequently be a myriad of other background events which were necessary preconditions to the injury occurring. ... As long as a defendant is part of the cause of an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At para. 19, the court held that it was contrary to tort law to apportion liability between tortious and non-tortious causes merely because other causal factors for which the defendants were not responsible also assisted in producing the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court further distinguished between the "thin skull" doctrine and the "crumbling skull" doctrine. The former doctrine encompasses the principle that the tortfeasor must take his victim as he finds him. Therefore, if the victim's injuries are more severe or dramatic than they would be for an average person owing to a pre-existing condition, then the tortfeasor remains liable for those injuries. The latter doctrine recognizes that where a victim has a pre-existing condition he would have experienced in any event, the tortfeasor need only compensate the victim for the additional damage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not the pre-existing damage. If there is a measurable risk that the pre-existing condition would have adversely affected the victim in the future, then the overall award can be reduced. In other words, the victim, as the court noted at para. 35, "must be returned to the position he would have been in, with all of its attendant risks and shortcomings, and not a better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On the facts of this case, it is clear that Mr. Kahle's pre-existing low back injuries from the February 29, 1992, accident place him in the category of the "thin skull" victim. After the February 29, 1992 accident, Mr. Kahle exhibited no signs or symptoms of ongoing low back or neck pain such that he required treatment. While he may have admittedly experienced some low back pain attendant upon heavy lifting, that did not prevent him from continuing with his forklift operator job which required some heavy physical labour. Nor did it interfere with his active recreational or social life. In short, Mr. Kahle did not experience any functional limitations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same cannot be said of his life since the September 6, 1996 accident. Mr. Kahle experienced immediate pain in his neck and back following the accident and to this date continues to suffer from chronic occasional neck pain and chronic ongoing back pain. The medical evidence from Dr. Nevison and Dr. Aitken regarding the significance of Mr. Kahle's spinal anomalies suggest that Mr. Kahle may have been more vulnerable to suffering from chronic problems with an injury to his back because of his spinal anomalies. Furthermore, there is no medical evidence that Mr. Kahle would have suffered chronic low back or neck pain in any event, but for the accident. There is also no evidence of any measurable risk that Mr. Kahle would have experienced such symptoms or pain had the September 6, 1996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On all of the evidence, I am satisfied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Mr. Kahle's injuries and his current chronic pain condition. Applying the "thin skull" doctrine, Mr. Kahle is entitled to compensation for his continuing pattern of chronic pain.</w:t>
      </w:r>
      <w:r>
        <w:rPr>
          <w:rFonts w:ascii="arial" w:eastAsia="arial" w:hAnsi="arial" w:cs="arial"/>
          <w:sz w:val="20"/>
          <w:lang w:val="en-US" w:eastAsia="en-US" w:bidi="ar-SA"/>
        </w:rPr>
        <w:cr/>
      </w:r>
    </w:p>
    <w:p>
      <w:pPr>
        <w:numPr>
          <w:numId w:val="1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In order to reduce an award of damages based on the defence of failure to mitigate, the defendants have the burden of proving that Mr. Kahle failed to take all reasonable steps to recover from his injuries: Janiuik v. Ippolito, </w:t>
      </w:r>
      <w:hyperlink r:id="rId270"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xml:space="preserve">; and, Red Deer College v. Michaels etc., </w:t>
      </w:r>
      <w:hyperlink r:id="rId271" w:history="1">
        <w:r>
          <w:rPr>
            <w:rFonts w:ascii="arial" w:eastAsia="arial" w:hAnsi="arial" w:cs="arial"/>
            <w:i/>
            <w:color w:val="0077CC"/>
            <w:sz w:val="20"/>
            <w:u w:val="single"/>
            <w:shd w:val="clear" w:color="auto" w:fill="FFFFFF"/>
            <w:lang w:val="en-US" w:eastAsia="en-US" w:bidi="ar-SA"/>
          </w:rPr>
          <w:t>[1975] 5 W.W.R. 575</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Immediately following the accident, Mr. Kahle did not implement a swimming regime as was recommended by his family doctor. His explanation for not doing so was his intense focus on completing his diploma program as planned. As well, the Canadian Back Institute suggested that he could have been more active in his back strengthening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However, while Mr. Kahle might be criticized for not following through with the recommended activity at the time, there is no medical evidence offered by the defendants that had he implemented a swimming regime immediately following the accident, or was more aggressive in his treatment at the Canadian Back Institute, he would not have suffered from the chronic pain he is currently experiencing. Furthermore, it is arguable that his failure to follow through with certain recommended activities was not unreasonable. Although the medical experts encouraged Mr. Kahle to remain active in the sporting activities he enjoyed before the accident, when he did attempt those activities they further aggravated his pain and caused him some temporary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Given the lack of evidence on this issue, I am not satisfied the defendants have met the burden of proof in establishing that Mr. Kahle failed to mitigate his injuries by not following through with certain recommended treatment.</w:t>
      </w:r>
      <w:r>
        <w:rPr>
          <w:rFonts w:ascii="arial" w:eastAsia="arial" w:hAnsi="arial" w:cs="arial"/>
          <w:sz w:val="20"/>
          <w:lang w:val="en-US" w:eastAsia="en-US" w:bidi="ar-SA"/>
        </w:rPr>
        <w:cr/>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for pain and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medical evidence supports a finding that Mr. Kahle, five years after the accident, has developed a continuing pattern of chronic pain and discomfort in his neck and low back that will likely remain with him for the rest of his life. Most of the medical experts agree that his condition has developed into a permanent state that involves occasional, fluctuating and intermittent episodes of back pain initiated by the accident, and of neck pain exacerbated by the accident. The combination of the two injuries has prolonged his recovery to the extent that his pain is now chronic. It is further aggravated by his work responsibilities, sporting activities, woodworking hobbies, and normal biological degeneration.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However, as noted by Dr. Aitken in his letter of November 27, 2001, one must distinguish between impairment and disability.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Impairment, however, is not the same as disability. In a back intensive occupation, however, the impairment would translate into a much greater disability than in a less back intensive occupation. In my opinion it would not necessarily prevent Mr. Kahle from performing typical renovation work or engaging in exercises or sports, although it may result in some post-activity pain and discomfort requiring simple painkillers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Thus, while Mr. Kahle will likely continue to suffer from low back and neck pain, he is not disabled from continuing with his work, recreational activities, and hobbies although he may experience episodic, fluctuating, and intermittent pain from these endeavours.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Counsel for Mr. Kahle submits his injuries are severe and have significantly impacted on his past and future enjoyment of life. He submits they fall within the range of $50,000 to $60,000 for non-pecuniary damages. In support of this range he relies on the following authorities: Witzer v. Soderlund, </w:t>
      </w:r>
      <w:hyperlink r:id="rId272" w:history="1">
        <w:r>
          <w:rPr>
            <w:rFonts w:ascii="arial" w:eastAsia="arial" w:hAnsi="arial" w:cs="arial"/>
            <w:i/>
            <w:color w:val="0077CC"/>
            <w:sz w:val="20"/>
            <w:u w:val="single"/>
            <w:shd w:val="clear" w:color="auto" w:fill="FFFFFF"/>
            <w:lang w:val="en-US" w:eastAsia="en-US" w:bidi="ar-SA"/>
          </w:rPr>
          <w:t>[2000] B.C.J. No. 1637</w:t>
        </w:r>
      </w:hyperlink>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2000 BCSC 1199</w:t>
        </w:r>
      </w:hyperlink>
      <w:r>
        <w:rPr>
          <w:rFonts w:ascii="arial" w:eastAsia="arial" w:hAnsi="arial" w:cs="arial"/>
          <w:color w:val="000000"/>
          <w:sz w:val="20"/>
          <w:lang w:val="en-US" w:eastAsia="en-US" w:bidi="ar-SA"/>
        </w:rPr>
        <w:t xml:space="preserve">; Heartt v. Royal, </w:t>
      </w:r>
      <w:hyperlink r:id="rId273" w:history="1">
        <w:r>
          <w:rPr>
            <w:rFonts w:ascii="arial" w:eastAsia="arial" w:hAnsi="arial" w:cs="arial"/>
            <w:i/>
            <w:color w:val="0077CC"/>
            <w:sz w:val="20"/>
            <w:u w:val="single"/>
            <w:shd w:val="clear" w:color="auto" w:fill="FFFFFF"/>
            <w:lang w:val="en-US" w:eastAsia="en-US" w:bidi="ar-SA"/>
          </w:rPr>
          <w:t>[2000] B.C.J. No. 1691</w:t>
        </w:r>
      </w:hyperlink>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2000 BCSC 1122</w:t>
        </w:r>
      </w:hyperlink>
      <w:r>
        <w:rPr>
          <w:rFonts w:ascii="arial" w:eastAsia="arial" w:hAnsi="arial" w:cs="arial"/>
          <w:color w:val="000000"/>
          <w:sz w:val="20"/>
          <w:lang w:val="en-US" w:eastAsia="en-US" w:bidi="ar-SA"/>
        </w:rPr>
        <w:t xml:space="preserve">; Coleman v. Lee, </w:t>
      </w:r>
      <w:hyperlink r:id="rId274" w:history="1">
        <w:r>
          <w:rPr>
            <w:rFonts w:ascii="arial" w:eastAsia="arial" w:hAnsi="arial" w:cs="arial"/>
            <w:i/>
            <w:color w:val="0077CC"/>
            <w:sz w:val="20"/>
            <w:u w:val="single"/>
            <w:shd w:val="clear" w:color="auto" w:fill="FFFFFF"/>
            <w:lang w:val="en-US" w:eastAsia="en-US" w:bidi="ar-SA"/>
          </w:rPr>
          <w:t>[1999] B.C.J. No. 2189</w:t>
        </w:r>
      </w:hyperlink>
      <w:r>
        <w:rPr>
          <w:rFonts w:ascii="arial" w:eastAsia="arial" w:hAnsi="arial" w:cs="arial"/>
          <w:color w:val="000000"/>
          <w:sz w:val="20"/>
          <w:lang w:val="en-US" w:eastAsia="en-US" w:bidi="ar-SA"/>
        </w:rPr>
        <w:t xml:space="preserve"> (S.C.); Bradley v. Dymond, </w:t>
      </w:r>
      <w:hyperlink r:id="rId275" w:history="1">
        <w:r>
          <w:rPr>
            <w:rFonts w:ascii="arial" w:eastAsia="arial" w:hAnsi="arial" w:cs="arial"/>
            <w:i/>
            <w:color w:val="0077CC"/>
            <w:sz w:val="20"/>
            <w:u w:val="single"/>
            <w:shd w:val="clear" w:color="auto" w:fill="FFFFFF"/>
            <w:lang w:val="en-US" w:eastAsia="en-US" w:bidi="ar-SA"/>
          </w:rPr>
          <w:t>[2000] B.C.J. No. 229</w:t>
        </w:r>
      </w:hyperlink>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2000 BCSC 83</w:t>
        </w:r>
      </w:hyperlink>
      <w:r>
        <w:rPr>
          <w:rFonts w:ascii="arial" w:eastAsia="arial" w:hAnsi="arial" w:cs="arial"/>
          <w:color w:val="000000"/>
          <w:sz w:val="20"/>
          <w:lang w:val="en-US" w:eastAsia="en-US" w:bidi="ar-SA"/>
        </w:rPr>
        <w:t xml:space="preserve">; and, Prevette v. Cusano, </w:t>
      </w:r>
      <w:hyperlink r:id="rId276" w:history="1">
        <w:r>
          <w:rPr>
            <w:rFonts w:ascii="arial" w:eastAsia="arial" w:hAnsi="arial" w:cs="arial"/>
            <w:i/>
            <w:color w:val="0077CC"/>
            <w:sz w:val="20"/>
            <w:u w:val="single"/>
            <w:shd w:val="clear" w:color="auto" w:fill="FFFFFF"/>
            <w:lang w:val="en-US" w:eastAsia="en-US" w:bidi="ar-SA"/>
          </w:rPr>
          <w:t>[2001] B.C.J. No. 640</w:t>
        </w:r>
      </w:hyperlink>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2001 BCSC 489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Counsel for the defendants submits that Mr. Kahle's injuries fall more into the category of a mild to moderate soft tissue injury. She submits the range for non-pecuniary damages is between $20,000 to $35,000. In support of her position she points to the dearth of medical attendances by Mr. Kahle after his initial visit to Dr. Sperling's office following the accident. Counsel also points to the 18 month hiatus between attendances at Dr. Zapatnik's office after his initial consultation. However, the chronicity of Mr. Kahle's present condition is not disputed or its affect on his lifestyle. Counsel relies on the following authorities to support her suggested range: Bednarek v. Kaila, </w:t>
      </w:r>
      <w:hyperlink r:id="rId277" w:history="1">
        <w:r>
          <w:rPr>
            <w:rFonts w:ascii="arial" w:eastAsia="arial" w:hAnsi="arial" w:cs="arial"/>
            <w:i/>
            <w:color w:val="0077CC"/>
            <w:sz w:val="20"/>
            <w:u w:val="single"/>
            <w:shd w:val="clear" w:color="auto" w:fill="FFFFFF"/>
            <w:lang w:val="en-US" w:eastAsia="en-US" w:bidi="ar-SA"/>
          </w:rPr>
          <w:t>[1999] B.C.J. No. 1042</w:t>
        </w:r>
      </w:hyperlink>
      <w:r>
        <w:rPr>
          <w:rFonts w:ascii="arial" w:eastAsia="arial" w:hAnsi="arial" w:cs="arial"/>
          <w:color w:val="000000"/>
          <w:sz w:val="20"/>
          <w:lang w:val="en-US" w:eastAsia="en-US" w:bidi="ar-SA"/>
        </w:rPr>
        <w:t xml:space="preserve"> (S.C.); Haycock v. Jacyna, </w:t>
      </w:r>
      <w:hyperlink r:id="rId278" w:history="1">
        <w:r>
          <w:rPr>
            <w:rFonts w:ascii="arial" w:eastAsia="arial" w:hAnsi="arial" w:cs="arial"/>
            <w:i/>
            <w:color w:val="0077CC"/>
            <w:sz w:val="20"/>
            <w:u w:val="single"/>
            <w:shd w:val="clear" w:color="auto" w:fill="FFFFFF"/>
            <w:lang w:val="en-US" w:eastAsia="en-US" w:bidi="ar-SA"/>
          </w:rPr>
          <w:t>[1999] B.C.J. No. 316</w:t>
        </w:r>
      </w:hyperlink>
      <w:r>
        <w:rPr>
          <w:rFonts w:ascii="arial" w:eastAsia="arial" w:hAnsi="arial" w:cs="arial"/>
          <w:color w:val="000000"/>
          <w:sz w:val="20"/>
          <w:lang w:val="en-US" w:eastAsia="en-US" w:bidi="ar-SA"/>
        </w:rPr>
        <w:t xml:space="preserve"> (S.C.); McIntyre v. Collyer </w:t>
      </w:r>
      <w:hyperlink r:id="rId279" w:history="1">
        <w:r>
          <w:rPr>
            <w:rFonts w:ascii="arial" w:eastAsia="arial" w:hAnsi="arial" w:cs="arial"/>
            <w:i/>
            <w:color w:val="0077CC"/>
            <w:sz w:val="20"/>
            <w:u w:val="single"/>
            <w:shd w:val="clear" w:color="auto" w:fill="FFFFFF"/>
            <w:lang w:val="en-US" w:eastAsia="en-US" w:bidi="ar-SA"/>
          </w:rPr>
          <w:t>(1999), 42 M.V.R. (3d) 99</w:t>
        </w:r>
      </w:hyperlink>
      <w:r>
        <w:rPr>
          <w:rFonts w:ascii="arial" w:eastAsia="arial" w:hAnsi="arial" w:cs="arial"/>
          <w:color w:val="000000"/>
          <w:sz w:val="20"/>
          <w:lang w:val="en-US" w:eastAsia="en-US" w:bidi="ar-SA"/>
        </w:rPr>
        <w:t xml:space="preserve"> (B.C.S.C.); Sahl v. Yu, </w:t>
      </w:r>
      <w:hyperlink r:id="rId280" w:history="1">
        <w:r>
          <w:rPr>
            <w:rFonts w:ascii="arial" w:eastAsia="arial" w:hAnsi="arial" w:cs="arial"/>
            <w:i/>
            <w:color w:val="0077CC"/>
            <w:sz w:val="20"/>
            <w:u w:val="single"/>
            <w:shd w:val="clear" w:color="auto" w:fill="FFFFFF"/>
            <w:lang w:val="en-US" w:eastAsia="en-US" w:bidi="ar-SA"/>
          </w:rPr>
          <w:t>[1998] B.C.J. No. 3234</w:t>
        </w:r>
      </w:hyperlink>
      <w:r>
        <w:rPr>
          <w:rFonts w:ascii="arial" w:eastAsia="arial" w:hAnsi="arial" w:cs="arial"/>
          <w:color w:val="000000"/>
          <w:sz w:val="20"/>
          <w:lang w:val="en-US" w:eastAsia="en-US" w:bidi="ar-SA"/>
        </w:rPr>
        <w:t xml:space="preserve"> (S.C.); Walker v. Webb, </w:t>
      </w:r>
      <w:hyperlink r:id="rId281" w:history="1">
        <w:r>
          <w:rPr>
            <w:rFonts w:ascii="arial" w:eastAsia="arial" w:hAnsi="arial" w:cs="arial"/>
            <w:i/>
            <w:color w:val="0077CC"/>
            <w:sz w:val="20"/>
            <w:u w:val="single"/>
            <w:shd w:val="clear" w:color="auto" w:fill="FFFFFF"/>
            <w:lang w:val="en-US" w:eastAsia="en-US" w:bidi="ar-SA"/>
          </w:rPr>
          <w:t>[2001] B.C.J. No. 218</w:t>
        </w:r>
      </w:hyperlink>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2001 BCSC 216</w:t>
        </w:r>
      </w:hyperlink>
      <w:r>
        <w:rPr>
          <w:rFonts w:ascii="arial" w:eastAsia="arial" w:hAnsi="arial" w:cs="arial"/>
          <w:color w:val="000000"/>
          <w:sz w:val="20"/>
          <w:lang w:val="en-US" w:eastAsia="en-US" w:bidi="ar-SA"/>
        </w:rPr>
        <w:t xml:space="preserve">; Hicks v. GMAC Leasco Limited et al, </w:t>
      </w:r>
      <w:hyperlink r:id="rId282" w:history="1">
        <w:r>
          <w:rPr>
            <w:rFonts w:ascii="arial" w:eastAsia="arial" w:hAnsi="arial" w:cs="arial"/>
            <w:i/>
            <w:color w:val="0077CC"/>
            <w:sz w:val="20"/>
            <w:u w:val="single"/>
            <w:shd w:val="clear" w:color="auto" w:fill="FFFFFF"/>
            <w:lang w:val="en-US" w:eastAsia="en-US" w:bidi="ar-SA"/>
          </w:rPr>
          <w:t>[2001] B.C.J. No. 1547</w:t>
        </w:r>
      </w:hyperlink>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2001 BCSC 1091</w:t>
        </w:r>
      </w:hyperlink>
      <w:r>
        <w:rPr>
          <w:rFonts w:ascii="arial" w:eastAsia="arial" w:hAnsi="arial" w:cs="arial"/>
          <w:color w:val="000000"/>
          <w:sz w:val="20"/>
          <w:lang w:val="en-US" w:eastAsia="en-US" w:bidi="ar-SA"/>
        </w:rPr>
        <w:t xml:space="preserve">; and Cannone v. Tang, </w:t>
      </w:r>
      <w:hyperlink r:id="rId283" w:history="1">
        <w:r>
          <w:rPr>
            <w:rFonts w:ascii="arial" w:eastAsia="arial" w:hAnsi="arial" w:cs="arial"/>
            <w:i/>
            <w:color w:val="0077CC"/>
            <w:sz w:val="20"/>
            <w:u w:val="single"/>
            <w:shd w:val="clear" w:color="auto" w:fill="FFFFFF"/>
            <w:lang w:val="en-US" w:eastAsia="en-US" w:bidi="ar-SA"/>
          </w:rPr>
          <w:t>[1999] B.C.J. No. 811</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am satisfied that as a result of the injuries he sustained from the accident, which have developed into a chronic pain condition, Mr. Kahle has suffered a significant and lasting impact to his lifestyle. While he may still attempt to participate in his pre-accident activities, his enjoyment of them will likely be considerably diminished if they are always associated with ongoing episodic neck and back pain. Similarly, while his injuries have not prevented him from pursuing his career as a Biomedical Equipment Technologist, his ability to participate in the more physically demanding aspects of his work has been affected. Based on this evidence, I have concluded that an award of $50,000 for non-pecuniary damages is fair compensation for Mr. Kahle's pain and suffering.</w:t>
      </w:r>
      <w:r>
        <w:rPr>
          <w:rFonts w:ascii="arial" w:eastAsia="arial" w:hAnsi="arial" w:cs="arial"/>
          <w:sz w:val="20"/>
          <w:lang w:val="en-US" w:eastAsia="en-US" w:bidi="ar-SA"/>
        </w:rPr>
        <w:cr/>
      </w:r>
    </w:p>
    <w:p>
      <w:pPr>
        <w:numPr>
          <w:numId w:val="1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income loss/loss of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Kahle's loss of opportunity claim arises in part as a result of his failure to pursue a temporary summer position as a forklift operator after obtaining his diploma in Biomedical Engineering but before his move to Alberta in July 1997. He did not apply for the summer position because he felt his injuries would make the physical demands of the job too onerous. However, he felt that he could have obtained such temporary full-time work as he had in previous summers while attending school. He estimates his income from that employment would have been at about $12/hour or $9,000 for the period between June and mid-September 1997, as that was what he had previously earned for the same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Kahle also points to the job offered to him by his friend Sean Gilstrum for a three month period between July and September 1997. That work would have involved building decks and other general contracting and/or carpentry work at an hourly rate of approximately $13 or $14. Again, Mr. Kahle was unable to do the work because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Proof of a loss of opportunity claim requires a plaintiff to establish on a balance of probabilities a causal connection between the injuries sustained in the accident and the loss of opportunity: York v. Johnston </w:t>
      </w:r>
      <w:hyperlink r:id="rId284" w:history="1">
        <w:r>
          <w:rPr>
            <w:rFonts w:ascii="arial" w:eastAsia="arial" w:hAnsi="arial" w:cs="arial"/>
            <w:i/>
            <w:color w:val="0077CC"/>
            <w:sz w:val="20"/>
            <w:u w:val="single"/>
            <w:shd w:val="clear" w:color="auto" w:fill="FFFFFF"/>
            <w:lang w:val="en-US" w:eastAsia="en-US" w:bidi="ar-SA"/>
          </w:rPr>
          <w:t>(1997), 37 B.C.L.R. (3d) 235</w:t>
        </w:r>
      </w:hyperlink>
      <w:r>
        <w:rPr>
          <w:rFonts w:ascii="arial" w:eastAsia="arial" w:hAnsi="arial" w:cs="arial"/>
          <w:color w:val="000000"/>
          <w:sz w:val="20"/>
          <w:lang w:val="en-US" w:eastAsia="en-US" w:bidi="ar-SA"/>
        </w:rPr>
        <w:t xml:space="preserve"> (C.A.) and Thorpe v. Insurance Corp. of British Columbia </w:t>
      </w:r>
      <w:hyperlink r:id="rId285" w:history="1">
        <w:r>
          <w:rPr>
            <w:rFonts w:ascii="arial" w:eastAsia="arial" w:hAnsi="arial" w:cs="arial"/>
            <w:i/>
            <w:color w:val="0077CC"/>
            <w:sz w:val="20"/>
            <w:u w:val="single"/>
            <w:shd w:val="clear" w:color="auto" w:fill="FFFFFF"/>
            <w:lang w:val="en-US" w:eastAsia="en-US" w:bidi="ar-SA"/>
          </w:rPr>
          <w:t>(1998), 45 B.C.L.R. (3d) 25</w:t>
        </w:r>
      </w:hyperlink>
      <w:r>
        <w:rPr>
          <w:rFonts w:ascii="arial" w:eastAsia="arial" w:hAnsi="arial" w:cs="arial"/>
          <w:color w:val="000000"/>
          <w:sz w:val="20"/>
          <w:lang w:val="en-US" w:eastAsia="en-US" w:bidi="ar-SA"/>
        </w:rPr>
        <w:t xml:space="preserve"> (C.A.). Past income loss is not an assessment of a hypothetical or future event which is based on a real and substantial possibility of its occurrence (the test for future or hypothetical event), but rather is proof on a balance of probabilities that the injuries caused the loss of opportunity. In short, the issue is whether Mr. Kahle has established on a balance of probabilities that but for the accident he would have realized this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Kahle did not apply for the job as forklift operator and therefore has not established he would have obtained that job or would not have been able to perform all or part of the duties associated with it. I am not satisfied that he has met the causation test for this claim before moving to Calgary in July,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However, after moving to Calgary, but before embarking on his search for full time employment in September, 1997, he was offered general labour employment by his friend Mr. Gilstrum for a three month period. He attempted the work but found he could not physically do it. Although the job was full-time for eight hours a day at $13 an hour, Mr. Gilstrum estimated that Mr. Kahle could reasonably have expected to earn $5,000 during that three month period. I am satisfied, on a balance of probabilities, but for the accident, Mr. Kahle would have earned monies working for Mr. Gilstrum and accordingly he is awarded $5,000 for past loss of income based on loss of opportunity.</w:t>
      </w:r>
      <w:r>
        <w:rPr>
          <w:rFonts w:ascii="arial" w:eastAsia="arial" w:hAnsi="arial" w:cs="arial"/>
          <w:sz w:val="20"/>
          <w:lang w:val="en-US" w:eastAsia="en-US" w:bidi="ar-SA"/>
        </w:rPr>
        <w:cr/>
      </w:r>
    </w:p>
    <w:p>
      <w:pPr>
        <w:numPr>
          <w:numId w:val="1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Kahle has incurred out of pocket expenses for medical treatment and travel expenses attendant upon receiving that treatment. These amounts are not in dispute. Accordingly, he is entitled to recover the following sums: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9"/>
        <w:gridCol w:w="240"/>
        <w:gridCol w:w="5003"/>
        <w:gridCol w:w="1251"/>
        <w:gridCol w:w="30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massage therapy expenses</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$280.00</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chiropractic expenses</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231.00</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medications</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50.00</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w:t>
            </w:r>
          </w:p>
        </w:tc>
        <w:tc>
          <w:tcPr>
            <w:tcW w:w="20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mileage @ .30 to and from treatment</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620.70</w:t>
            </w:r>
          </w:p>
        </w:tc>
        <w:tc>
          <w:tcPr>
            <w:tcW w:w="297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37"/>
        <w:gridCol w:w="3660"/>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58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$1,181.70</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While some of Mr. Kahle's ongoing medical expenses are covered by his employment extended care plan, he will continue to incur additional costs for prescription and non-prescription medications, chiropractic, physiotherapy, and massage therapy treatments. In the past, such treatments have temporarily helped alleviate his chronic pain symptoms. Attendant with these medical treatments will be the cost of travelling to and from the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the current political and economic climate there is considerable uncertainty as to whether his present coverage will continue. Furthermore, in determining a reasonable allowance for future care costs, the chronicity of Mr. Kahle's symptoms as well as his relatively young age of 30, are important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Given his past medical treatments I am satisfied that a reasonable sum for future care expenses is $10,000.</w:t>
      </w:r>
      <w:r>
        <w:rPr>
          <w:rFonts w:ascii="arial" w:eastAsia="arial" w:hAnsi="arial" w:cs="arial"/>
          <w:sz w:val="20"/>
          <w:lang w:val="en-US" w:eastAsia="en-US" w:bidi="ar-SA"/>
        </w:rPr>
        <w:cr/>
      </w:r>
    </w:p>
    <w:p>
      <w:pPr>
        <w:numPr>
          <w:numId w:val="1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Impaired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spite of his injuries, Mr. Kahle has continued to be employed. However, his capacity to perform a variety of work-related activities has been limited by reason of his back and/or neck pain. His physical limitations prevent him from lifting equipment over a certain weight. He has used a number of his allowable sick days, provided in his collective agreement, for medical treatment or for time off work because of back and/or neck pain. As a result, if he is required to take more time off than is permitted under the collective agreement, because of his pain, he may lose wages for missed work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 am satisfied that Mr. Kahle's overall income earning capacity has been impaired. He has been rendered less able to earn income from all types of employment, is less marketable or attractive as an employee to potential employers, has lost the ability to take advantage of a broad range of job opportunities, or has become less valuable to himself as a person capable of earning income in a competitive market: Brown v. Golaiy </w:t>
      </w:r>
      <w:hyperlink r:id="rId19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This loss is compensable even in the absence of any actual loss of income: see Palmer v. Goodall </w:t>
      </w:r>
      <w:hyperlink r:id="rId286"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(C.A.); Pallos v. Insurance Corp. of British Columbia </w:t>
      </w:r>
      <w:hyperlink r:id="rId287"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The more difficult issue is the quantification of this loss. In Andrews v. Grand &amp; Toy Alta. Ltd., </w:t>
      </w:r>
      <w:hyperlink r:id="rId288"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Dickson J. described it as "crystal ball" gazing. This description was adopted by Southin J.A. in Palmer, at p. 59, who described quantifying the loss as "the task of prophecy".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At page 59 Southin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it is impairment that is being redressed, even a plaintiff who is apparently going to be able to earn as much as he could have earned if not injured or who, with retraining, on the balance of probabilities will be able to do so, is entitled to some compensation for the impairment. He is entitled to it because for the rest of his life some occupations will be closed to him and it is impossible to say that over his working life the impairment will not harm his income earning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Pallos, Finch J.A. (now C.J.B.C.) referred to several methods of assessing this loss. At para. 43 he referred to a formula that calculates the present value of the minimum annual income loss for the plaintiff's remaining year of work multiplied over the number of years of work remaining. Another method is to award the plaintiff his entire annual income for one or more years. Yet another is to award a plaintiff the present value of a nominal percentage loss per annum applied against the plaintiff's expected annual income. All of these methods were described as "arbitrary".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In Rosvold v. Dunlop </w:t>
      </w:r>
      <w:hyperlink r:id="rId289" w:history="1">
        <w:r>
          <w:rPr>
            <w:rFonts w:ascii="arial" w:eastAsia="arial" w:hAnsi="arial" w:cs="arial"/>
            <w:i/>
            <w:color w:val="0077CC"/>
            <w:sz w:val="20"/>
            <w:u w:val="single"/>
            <w:shd w:val="clear" w:color="auto" w:fill="FFFFFF"/>
            <w:lang w:val="en-US" w:eastAsia="en-US" w:bidi="ar-SA"/>
          </w:rPr>
          <w:t>(2001), 84 B.C.L.R. (3d) 158</w:t>
        </w:r>
      </w:hyperlink>
      <w:r>
        <w:rPr>
          <w:rFonts w:ascii="arial" w:eastAsia="arial" w:hAnsi="arial" w:cs="arial"/>
          <w:color w:val="000000"/>
          <w:sz w:val="20"/>
          <w:lang w:val="en-US" w:eastAsia="en-US" w:bidi="ar-SA"/>
        </w:rPr>
        <w:t xml:space="preserve"> (C.A.), the Court of Appeal attempted to provide further guidance on the standard by which such an award should be made. At para. 9, Huddart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Because damage awards are made as lump sums, an award for loss of future earning capacity must deal to some extent with the unknowable. The standard of proof to be applied when evaluating hypothetical events that may affect an award is simple probability, not the balance of probabilities: Athey v. Leonati, </w:t>
      </w:r>
      <w:hyperlink r:id="rId11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Possibilities and probabilities, chances and opportunities, and risks must all be considered, so long as they are a real and substantial possibility and not mere speculation. These possibilities are to be given weight according to the percentage chance they would have happened or will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am satisfied that a fair award for Mr. Kahle's impaired earning capacity is an amount equal to two years of annual employment income or $80,000. Taking into account Mr. Kahle's age and the remaining years of work he has to retirement, the evidence supports a finding of a real and substantial possibility that he might have started a maintenance or construction business with Mr. Gilstrum at some point in time. As a result of the injuries he received in the accident, Mr. Kahle, in my view, has lost the choice of pursuing the dream of a renovation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summary, I have determined that Mr. Kahle is entitled to the following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764"/>
        <w:gridCol w:w="2510"/>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$50,000.00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915"/>
        <w:gridCol w:w="1359"/>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income loss/loss of opportunity</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3450"/>
        <w:gridCol w:w="2823"/>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1,181.70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764"/>
        <w:gridCol w:w="2510"/>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496"/>
        <w:gridCol w:w="1778"/>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impaired future earning capacity</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80,000.00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033"/>
        <w:gridCol w:w="3973"/>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89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$146,181.70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There will be court order interest on the award for special damages and 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Subject to submissions, the plaintiff is awarded taxable costs and disbursements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D.M.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4"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96" w:history="1">
        <w:r>
          <w:rPr>
            <w:rFonts w:ascii="arial" w:eastAsia="arial" w:hAnsi="arial" w:cs="arial"/>
            <w:b/>
            <w:bCs/>
            <w:i/>
            <w:color w:val="0077CC"/>
            <w:kern w:val="32"/>
            <w:sz w:val="28"/>
            <w:szCs w:val="32"/>
            <w:u w:val="single"/>
            <w:shd w:val="clear" w:color="auto" w:fill="FFFFFF"/>
            <w:lang w:val="en-US" w:eastAsia="en-US" w:bidi="ar-SA"/>
          </w:rPr>
          <w:t>Kennedy v. Coe, [2014] B.C.J. No. 126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 Fisher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2-6 and 9-13,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27,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S110018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2014 BCSC 120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10 C.C.L.T. (4th) 15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61 B.C.L.R. (5th) 390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237 A.C.W.S. (3d) 1085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2014 CarswellBC 190</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Elizabeth Ann Kennedy, Plaintiff, and Adrian Coe,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5"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0" w:name="Keywords_11"/>
      <w:bookmarkEnd w:id="80"/>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Standard of care — Gratuitous undertakings — Action by plaintiff for damages under Family Compensation Act dismissed — Plaintiff's husband died on guided backcountry ski trip when he fell into tree well and suffocated — Defendant was skier assigned to be husband's buddy — He noticed husband's absence at bottom of run, notified guides who located husband's body using avalanche transceiver — No duty of care existed due to absence of sufficient proximity — Had duty existed, defendant met standard of care through prompt notification to guides — Ski buddy relationship did not give rise to contractual obligations, and any such obligations were met through prompt notification.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Fatal Accidents Acts — Dependant's claim — Action by plaintiff for damages under Family Compensation Act dismissed — Plaintiff's husband died on guided backcountry ski trip when he fell into tree well and suffocated — Defendant was skier assigned to be husband's buddy — He noticed husband's absence at bottom of run, notified guides who located husband's body using avalanche transceiver — No duty of care existed due to absence of sufficient proximity — Had duty existed, defendant met standard of care through prompt notification to guides — Ski buddy relationship did not give rise to contractual obligations, and any such obligations were met through prompt notification.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1" w:name="Case Summary_10"/>
            <w:bookmarkEnd w:id="8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Kennedy, against the defendant, Coe, for damages pursuant to the Family Compensation Act. The plaintiff's husband died in a backcountry skiing accident when he fell into a tree well and suffocated. The husband was part of a guided group of skiers and snowboarders. The defendant was assigned by the guide to be the husband's ski buddy in a logged area. The buddy system was regularly used in recognition of the natural hazards associated with backcountry skiing. Buddies were told to keep in contact with their partners. Both men were experienced skiers who acknowledged the assignment with mutual nods. The defendant reached the bottom of the run and was unable to see the plaintiff's husband on the slope. He informed the guides who initiated a headcount and then called for a search using a helicopter and avalanche transceivers. The plaintiff's husband was located in a tree-well within a short period of time, but was unable to be revived. The plaintiff claimed that the defendant owed a duty of care to her husband that required immediately alerting the guides to her husband's absence. The plaintiff alleged that the defendant breached that duty, resulting in a delay in rescuing her husband that caused his death. Alternatively, the plaintiff claimed under contract law principles. The defendant denied the existence of a duty of care between ski buddies, or alternatively, that he met any standard of care required in the circumstances. The defendant claimed that any liability as a ski buddy was covered by the release and waiver of liability signed by the plaintiff's husband. He denied that his conduct caused or contributed to the husband's death, as the husband was responsible for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2" w:name="Holdings of Court_9"/>
            <w:bookmarkEnd w:id="82"/>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did not owe a duty of care to the plaintiff's husband. The husband voluntarily sought to engage in a sport with full knowledge of its attendant risks. He paid a third party for the opportunity and signed a waiver of liability. He participated in a buddy system that was flexibly applied depending on the terrain, the conditions, and the instructions of the guides. The circumstances were thus distinguished from the volunteer line of cases in which a duty of care was imposed. Under the Anns test, no prima facie duty of care arose. Although it was reasonably foreseeable that a failure to perform an alleged ski buddy's duty to report a buddy's absence could lead to injury, the relationship was not one of sufficient proximity to impose a positive duty of care. A ski buddy was not materially implicated in controlling the risks inherent in the activity, nor did buddies rely on one another to minimize those risks. Ski buddies remained, on whole, autonomous actors while skiing. Alternatively, if a duty of care existed, the defendant met the standard of care and was not negligent. The defendant notified the guide of the husband's absence within one to three minutes, a reasonable time in the circumstances. Once the guides were notified, the defendant had no further role to play. The nature of any obligations assumed by the defendant and the plaintiff's husband was not contractual. In any event, there was no basis for finding the defendant breached any obligation to alert the guides to the husband's absence within a reasonable time.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3" w:name="Legislation Cited_10"/>
      <w:bookmarkEnd w:id="8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6"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Family Compensation Act, </w:t>
      </w:r>
      <w:hyperlink r:id="rId298" w:history="1">
        <w:r>
          <w:rPr>
            <w:rFonts w:ascii="arial" w:eastAsia="arial" w:hAnsi="arial" w:cs="arial"/>
            <w:i/>
            <w:color w:val="0077CC"/>
            <w:sz w:val="20"/>
            <w:u w:val="single"/>
            <w:shd w:val="clear" w:color="auto" w:fill="FFFFFF"/>
            <w:lang w:val="en-US" w:eastAsia="en-US" w:bidi="ar-SA"/>
          </w:rPr>
          <w:t>RSBC 1996, c 126, s. 2</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4" w:name="Counsel_11"/>
      <w:bookmarkEnd w:id="8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7" style="position:absolute;z-index:2517729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D.R. Clark, Q.C., M. Zanetti, A/Student, A.D. Cochran.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P.J. Roberts, J.E. Forman.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5" w:name="Judgment_11"/>
      <w:bookmarkEnd w:id="85"/>
      <w:r>
        <w:pict>
          <v:line id="_x0000_s1088" style="position:absolute;z-index:2518241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6" w:name="B. FISHER J."/>
            <w:bookmarkEnd w:id="86"/>
            <w:r>
              <w:rPr>
                <w:rFonts w:ascii="arial" w:eastAsia="arial" w:hAnsi="arial" w:cs="arial"/>
                <w:b/>
                <w:color w:val="000000"/>
                <w:sz w:val="30"/>
                <w:lang w:val="en-US" w:eastAsia="en-US" w:bidi="ar-SA"/>
              </w:rPr>
              <w:t>B. FISHER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January 11, 2009, the plaintiff's husband, Mark Kennedy, died tragically while heli-skiing with a guided group of skiers and snowboarders in the back-country mountains of British Columbia. He fell into a tree well, became immersed in snow, and suffocated. The plaintiff brings this action 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 for the loss of financial support of Mark Kennedy.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is a novel claim. The defendant, Adrian Coe, was another skier who had been assigned as Mr. Kennedy's "ski buddy". The plaintiff claims that Mr. Coe owed a duty of care to Mr. Kennedy to immediately alert the guides as soon as he knew that Mr. Kennedy had disappeared. She says that he failed in that duty, that his failure resulted in a delay in the rescue, and that this delay caused Mr. Kennedy's death. In the alternative, she claims that Mr. Coe breached a term of an express or implied contract with Mr. Kennedy.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Coe defends this action on numerous grounds. He says that there is no duty of care at law between ski buddies while heli-skiing, and even if there is a duty of care, he met the standard of care required of him in the circumstances. He claims that his role as a ski buddy is one that is covered by the release and waiver of liability signed by Mr. Kennedy. He says that in any event, nothing he did or did not do caused or contributed to Mr. Kennedy's death and Mr. Kennedy himself was entirely or mostly responsible for the accident. Finally, he says that the plaintiff has suffered no financial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faces many hurdles in this action. On liability alone, her claim that one skier owes a duty of care to another in these circumstances is not one that has been recognized in Canada, and the evidence as to timing and causation is not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For the reasons that follow, I have concluded that the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be dismissed on the basis that Mr. Coe did not owe a duty of care to Mr. Kennedy, and even if he did, he met the standard of care in the circumstances and was not negligent. I have also concluded that the action in contract must also be dismissed on the basis that the plaintiff failed to prove the existence of a contract or that Mr. Coe breached any terms of a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 - evidence and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lives in Colorado. She and Mark Kennedy were avid skiers. Mr. Kennedy often took multi-day heli-skiing vacations on his own. At the time of his death on January 11, 2009, he was on his fifth heli-skiing vacation with Mike Wiegele Helicopter Skiing at Blue River, B.C. (Wiegele's).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Adrian Coe lives in England. He is also an avid skier who, before January 2009, had been heli-skiing 10 to 15 times on one-day trips only. He had been at Wiegele's once before for a day, and this was his first multi-day heli-skiing vacation.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Both Mr. Kennedy and Mr. Coe were on their own at Wiegele's for this week of skiing, which commenced on January 10, 2009. They did not know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Wiegele's employs trained ski guides on all heli-ski trips, who accompany each group of skiers in the back-country. On arrival, all guests are required to read and sign a "Release of All Claims, Waiver of Liability and Acceptance of Inherent Risks" (the Release) and attend a safety briefing that includes a safety video. The safety video describes the many hazards encountered in the back-country, including avalanches, crevasses, snow cornices, snow mushrooms, creek beds, snow conditions and tree wells. It also describes the "buddy system" and the use of transceivers to locate missing skiers.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 safety video that was in use in January 2009, guests were told that as Wiegele's could not guarantee their full safety, they were to recognize potential hazards, follow their guide's instructions, and ski with their buddies and keep a watch on each other, especially when in the trees, narrow chutes, gullies, creek beds or very deep powder. They were told about the dangers of tree wells and how a skier falling head first into one can suffocate, and they were shown how to dig a person out. They were told to use the buddy system in the trees, stay in contact with their partners, and keep their guide's tracks in sight. If lost, they were told to stop, stay where they were and shout out so the guide could find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next morning, before setting out, the guests were given another safety briefing that included training on how to use a transceiver.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Mike Wiegele has been the owner and operator of Wiegele's for 43 years. He testified that the buddy system operates as a "gentleman's agreement" in that guests generally choose who they want to ski with, and the expectation is that buddies will support and look out for each other so that if one is lost the other can give the guides an idea of where his buddy may have gone. He pointed out that guests are not professionals: "we try to educate them but can't make them experts". He said that there had been numerous incidents in his operation where people fell into tree wells but, prior to January 11, 2009, in only one case did a skier die.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Kennedy and Mr. Coe were in a group of 10 guests and two guides. Barry Widas was the lead guide for this group and Scott Streadwick was the tail guide. As lead guide, Mr. Widas was responsible for managing the hazards on the runs, selecting the lines of descent and regroup spots, and advising the guests about the particular terrain they will encounter. The lead guide always descends first. As tail guide, Mr. Streadwick was responsible for ensuring that the guests followed the general direction set by the lead guide, spacing the guests, and assisting guests if they fall on the run. The tail guide always descends last, conducts a sweep of the slope, and is usually the first on the scene if there are any incidents. At every regroup spot the guides do a head count to make sure that everyone in the group is present. A final head count is not done until the tail guide arrives but the two guides are able to communicate by radio at all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January 11, 2009 was the first day of skiing for the week. The incident occurred just before lunch on a run known as Norbert's Nose. This was the group's third run on Norbert's Nose, which had three sections: alpine at the top, old growth forest in the middle, and a log cut at the bottom. The top of the log cut was about 200 meters above the helicopter pick-up spot and area where the group was to meet for lunch. It was considered an intermediate run. It was more open than the forest but there were trees of varying heights scattered throughout the slope.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forest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When the group reached the top of the old growth forest, Mr. Widas paired everyone up for the first time. Neither Mr. Kennedy nor Mr. Coe was skiing with friends. Although they had not met each other before this, they were assigned as ski buddies. Both were considered to be expert skiers. Mr. Coe said that they acknowledged this assignment by gestures and neither ever spoke to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is some conflicting evidence as to whether Mr. Widas paired everyone up on the first or second tree run, but this is immaterial. There is no question that Mr. Kennedy and Mr. Coe were paired together before the incident occurred. Mr. Coe testified that he followed Mr. Kennedy through the forest on the last two runs before lunch.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evidence is not entirely clear as to what instructions were given to the guests when they were first paired up as buddies. According to Mr. Coe, Mr. Widas instructed them to ski in pairs in the forested section and to try to keep each other in vision and to make noise. He said that he and Mr. Kennedy were in the middle of the group and he kept Mr. Kennedy in visual contact by skiing two to three turns behind him through the forest.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Widas said that he did not talk much that day about what buddies were supposed to do, and when he paired everyone up at the top of the forest, he did not give the group any specific instructions about the buddy system. He could not recall what he said to the group but acknowledged that he normally tells them to yodel or ski either in front of each other or side by side, depending on the terrain. He said that they generally ski with partners "only in the forest".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Streadwick did not recall what specific instructions were given to the group that day about the buddy system, but he said that at the time, the concept of skiing with a buddy was introduced when they skied the trees, and the guides always reiterated to the guests to ski with their buddies.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When ski buddies were assigned at the top of the forest, I find that the guests were given general instructions to ski in pairs through the forested section by trying to keep each other in visual or vocal contact, and that Mr. Coe followed those instructions by skiing behind Mr. Kennedy through that section of the run.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log cut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When the guests regrouped at the top of the log cut, they were instructed only to ski to the lunch spot, which was about 200 metres below and visible from the regroup site. Mr. Coe did not understand this to mean that he was to ski with Mr. Kennedy down that cut, and he did not do so. He said that the departure of the guests was not regulated and everyone pushed off around the same time. Dr. Scott Negri, another skier in the group, had the same understanding. He testified that no one in the group appeared to be skiing in pairs, in that people were split up 10, 20 or 30 turns apart on the run in a random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Widas did not recall if he told the group to ski with their partners down the log cut but he did not expect anyone to have difficulty with that section of the run. Mr. Streadwick did not recall what instructions were given at the top of the log cut other than that they were skiing to the lunch spot, which was visible at the bottom of the run. He said that the terrain was not particularly difficult, they had been there before, and there was no confusion about where they were 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says that the buddy system continued to apply in the log cut, as tree hazards continued to exist, and the guests were not instructed that the buddy system no longer applied. She submitted that there is no practical distinction between a thick forest and a log cut, where there are trees large enough to create fatal tree wells.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is no question that there are tree well hazards in log cuts as well as thick forest areas. However, the terrain and visibility are quite different on a slope like a log cut. According to Mr. Wiegele, there is a common understanding among expert skiers that each is capable of skiing on his own to a visible and obvious location, whether or not hazards such a tree wells continue to be present on a run. This makes common sense, whether or not one considers that the "buddy system" continues to apply in a general sense throughout the day. Tree wells and many other hazards may be present anywhere on the mountain. As Mr. Streadwick said, every tree has a tree well and thousands are encountered by skiers every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expert evidence is consistent with this approach. Larry Heywood, a snow and ski safety consultant, opined that the buddy system is most commonly used when skiing trees with fresh, deep, unconsolidated snow, given hazards such as tree wells. Colin Zacharias, an experienced ski guide and trainer, opined that skiing with partners "is encouraged by guides in open terrain and emphasized in forested terrain" but the more open the terrain, the less the buddy system becomes a priority and the less likely guests will want to partner-ski. In the circumstances here, he would have expected guests to make their way down the log cut to the lunch site in accordance with the guide's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evidence does not establish a formal "buddy system" that prescribes how people are to ski together outside forested runs. The practice to keep the other skier in visual or vocal contact while in forested sections makes sense because of the obvious dangers of tree wells and the limited visibility in such terrain. What may be required in other types of terrain is not well defined and will depend on the instructions of the guides. Mr. Streadwick emphasized that every run is different and the guides will focus on the main concerns for the particular section of terrain.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find that the guests were not instructed to ski with their assigned buddies down the log cut in the same manner as they had skied together in the forest, and consequently, Mr. Coe and other guests skied on their own down that run to the regroup site at the lunch spot.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last run down the log cut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Coe said that he last saw Mr. Kennedy at the top of the log cut. As he started skiing, he recalled seeing two to three people to his right and thought one of them was Mr. Kennedy. He estimated Mr. Kennedy to have been three to five turns behind him at the top of the cut.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 said that he skied down the log cut in a tracked area with trees to the right and left. He thought most of the others skied in that same area. He did not stop until he reached the bottom. He thought it took him at most two minutes. At the bottom, he took his skis off, turned around and looked up the slope, as was his habit, and noticed immediately that Mr. Kennedy was not skiing the pitch behind him. He said that he mentioned this to some skiers standing there and called out to Mr. Widas, who walked towards him. He thought that Mr. Streadwick appeared at about the same time. He said that Mr. Widas then began counting everyone, noted that Mr. Kennedy was missing, and asked Mr. Coe who his buddy was. Mr. Coe identified Mr. Kennedy as his buddy and told Mr. Widas he had last seen him four to five turns from the top of the cut. He thought that two minutes and a "fraction" had passed from the top of the log cut to when he alerted Mr. Widas to Mr. Kennedy's absence.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Widas did not have clear recollection of what he did when he got to the bottom of the log cut, other than to take his skis off. He said that he saw people from his group come down the hill and he thought Mr. Streadwick also arrived fairly quickly. He said he did a head count almost right away after Mr. Streadwick arrived and he recalled walking over to Mr. Coe and asking him when he last saw Mr. Kennedy. He called a search very quickly. He thought he had also talked to Crosby Johnson, the lead guide for the group that was immediately behind, and he asked the pilot of a helicopter that happened to be in the vicinity to fly over and do a quick visual search.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the tail guide, Mr. Streadwick was the last of the group to arrive at the bottom. He did so after shadowing a slow snowboarder for a few turns, assisting someone who had fallen near a tree well, and sweeping the slope to see if any guests were on the pitch. He estimated that it took him "a couple of minutes" to get down. He, too, said that he and Mr. Widas did a group count and discovered they were one guest short. He said that the group behind them was also skiing into the lunch spot and he recalled asking Mr. Johnston if he had seen Mr. Kennedy on their descent. He thought that less than a minute had passed after he arrived at the lunch spot before he knew Mr. Kennedy was missing.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Johnston confirmed that he spoke to Mr. Widas on the radio, having received a call while he was still on the hill (although close to the lunch spot). Mr. Widas said something about missing a skier and Mr. Johnston contacted the tail guide of his group who was still on the slope and instructed her to start looking. After he confirmed that all of his guests were at the bottom, he began searching as well.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search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Streadwick quickly began to climb back up the slope, taking off his skis to make faster progress. Using his transceiver, he was able to locate Mr. Kennedy within a very short period of time. He first saw a ski tip and then a patch of a red jacket inside a tree well. He found Mr. Kennedy's head and cleared the snow away. By then, Mr. Widas, a doctor and another guide had arrived and together they were able to pull Mr. Kennedy from the tree well and administer CPR. Unfortunately, Mr. Kennedy was hypoxic and unresponsive.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Johnston thought he was about 20 metres from the lunch spot when he began his search. He made is way up the hill but soon learned from Mr. Streadwick and Mr. Widas, who were within shouting distance, that they had found Mr. Kennedy.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There is no question that Mr. Kennedy was found very quickly after Mr. Widas initiated the search. The radio logs establish that Barbara Quinn, the base radio operator, received his call for the rescue at 13:39 and Mr. Kennedy was found at approximately 13:43 - a period of about four minutes. Ms. Quinn testified that her notation of "approximately 13:43" was an estimate within that one minute. She was certain of the times because she had a digital clock in front of her when she made her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Timing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issue, according to the plaintiff, is the period of time that elapsed from when Mr. Coe reached the bottom of the log cut to when he alerted Mr. Widas that Mr. Kennedy was missing. She says that he did not act immediately and only after being asked by the guide. She submitted that this was an unreasonable delay in the circumstances. Had Mr. Widas been alerted sooner, he would have been able to alert Mr. Streadwick, as well as the guides of the group behind, while they were still up the hill, thus enabling an easier search from above rather than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There is no evidence which establishes with any precision when Mr. Kennedy fell and when he died.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An autopsy determined the cause of death to be asphyxiation and the coroner classified the death as accidental. Dr. John Butt, a forensic pathologist, provided an expert report about the survival time for snow immersion victims. He stated that the range of time reported in the literature was 15 to 30 minutes. He also stated that a victim would lose consciousness within 15 to 20 seconds after an obstruction to ventilation, and after four to six minutes there is a serious threat of brain swelling, which leads to depression of centres in the brain stem that control vital functions such as respiration and heartbeat. Without cardiopulmonary resuscitation after a four-minute "down time", recovery is inversely related to time so that with each minute beyond four minutes there is about a 10% reduction in survival.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Butt also stated that the following factors would influence when a person in Mr. Kennedy's position would first experience an oxygen reduced environment:</w:t>
      </w:r>
      <w:r>
        <w:rPr>
          <w:rFonts w:ascii="arial" w:eastAsia="arial" w:hAnsi="arial" w:cs="arial"/>
          <w:sz w:val="20"/>
          <w:lang w:val="en-US" w:eastAsia="en-US" w:bidi="ar-SA"/>
        </w:rPr>
        <w:cr/>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posture of person in the snow mass;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depth of immersion of victim notably as related to the density i.e. weight of the snow pack (as related to water content) including weight of snow limiting breathing movements/excursion of the chest i.e. traumatic asphyxia;</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composition of snow: wet snow contains less air/oxygen;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conscious level and wariness of victim e.g. ability to assume a posture and to make an air pocket versus random struggling;</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size of air pocket (also related to density snow);</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blunt trauma to victim especially blood loss or head injury;</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panic increasing pulse and respiratory rate;</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aspiration of foreign material (debris, blood, vomit);</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ice forming on the face (ice mask) from water condensate on warm skin;</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rescue.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understand this evidence to mean that a person's chance of survival diminishes quickly after four minutes of unconsciousness due to lack of ventilation, and the average survival range of 15 to 30 minutes depends on multiple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Streadwick found Mr. Kennedy at a location measured by Mr. Widas to be 138 vertical feet above the lunch spot, which was about one-third to one-half the way down the run. He was inside the cone of the tree well on his back with his head buried one to two feet. The snow was loose and unconsolidated. Mr. Kennedy's hands were not by his face and there was nothing in his airway. His lips were blue, his face was pale grey and he was not breathing. There is evidence that the amount of water content in the snow in the area was 71 kg per cubic metre.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asserts that Dr. Butt's evidence establishes at least a 15 minute window for survival and an unaccounted for period of about seven minutes. Reasoning backwards from the time Mr. Kennedy was found and CPR was first initiated, she says that the evidence demonstrates the following time line: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13:30 - 13:32 (2 minutes)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Coe skis down the log cut. Within this period Mr. Kennedy falls into the tree well.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13:32 - 13:39 (7 minutes)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Streadwick sweeps the slope and assists guests. Dr. Negri and then Mr. Streadwick reach the bottom of the cut. Mr. Widas counts the group, questions Mr. Coe and Mr. Negri, and radios Mr. Johnston and a helicopter.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13:39 - 13:43 (4 minutes)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Widas calls in the search and Mr. Streadwick finds Mr. Kennedy.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13:43 - 13:45 (2 minutes)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rescue team extricates Mr. Kennedy and begins to perform resuscitation.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With respect, it is my view that the evidence does not establish any precise time frame. First, as I indicated above, there is no evidence which establishes when Mr. Kennedy fell and when he died. Mr. Heywood gave evidence about the speed of a skier in deep powder snow, which I found quite speculative given the various factors that would affect this. Dr. Butt's opinion about the 15 to 30 minute range for survival was a general one in response to a question about survival times suggested by the literature. He did not explain how the factors shown in the evidence would have affected Mr. Kennedy. His evidence provides general information only and does not opine as to how long Mr. Kennedy would likely have survived given the specific factors applicable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Second, and not surprisingly, none of the witnesses were able to provide a precise measure of the time between the group's departure from the top of the log cut, their arrival at the bottom, and Mr. Coe's notification to the guide of Mr. Kennedy's absence.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Coe testified that it took him two minutes at most to ski down the log cut and it was two minutes and a "fraction" from the top of the log cut to when he alerted Mr. Widas. Dr. Negri, one of the last skiers to arrive at the bottom, thought it took him five to six minutes to get down, as he was taking his time. Mr. Streadwick, who was the last of the group to arrive at the lunch spot, estimated that it took a "couple of minutes" to get down. None of this provides anything more than general estimates based on each witness' after-the-fact perception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fact, the tenor of the evidence from all witnesses is that each perceived the entire sequence of events to have occurred very quickly. Mr. Coe said that all the events at the bottom "seemed to flow instantly". Mr. Widas said that Mr. Streadwick "came fairly quickly right away" and that "it seemed like we all came together quite quickly" at the bottom of the log cut. There is no reliable evidence which establishes a precise time frame as to when Mr. Coe and the other skiers left the top of the log cut, arrived at the bottom, and when Mr. Kennedy's absence was made known to Mr. Widas, but it was all a matter of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is clear that the run was relatively short, 200 metres. I find that Dr. Negri and Mr. Streadwick were not far behind the others in the group, and the entire time frame from Mr. Coe's departure from the top of the log cut to Mr. Streadwick's arrival at the bottom was within a range of about three to six minutes. I also find that both Dr. Negri and Mr. Streadwick became aware that Mr. Kennedy was missing when or very shortly after they arrived at the bottom of the log cut. Dr. Negri said that as he arrived, Mr. Widas asked him if he had seen Mr. Kennedy. Mr. Streadwick said that he became aware that Mr. Kennedy was missing less than a minute after he arrived. This shows, and I find, that Mr. Coe notified Mr. Widas about Mr. Kennedy's absence before either of these two arrived at the lunch spot. Given the overall time frame, this likely occurred within about one to three minutes after he reached the bottom. However, it was not until Mr. Streadwick arrived (which was very quickly) that the guides were able to confirm, through a head count of the guests, that Mr. Kennedy was in fact missing.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Summary of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Kennedy and Mr. Coe did not know each other and never spoke to each other. When they were assigned to be ski buddies at the top of the forest, they acknowledged each other by gestures only. Mr. Widas instructed the guests to ski in pairs though the forest by trying to keep each other in visual or vocal contact. Mr. Coe followed those instructions and skied behind Mr. Kennedy through that section of the run.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At the top of the log cut, Mr. Widas did not instruct the guests to ski with their assigned buddies in the same manner as they had skied together in the forest. Mr. Coe did not ski with Mr. Kennedy down that run, but rather, like other guests, skied on his own to the regroup site at the lunch spot.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After he reached the lunch spot and took off his skis, Mr. Coe noticed that Mr. Kennedy was not on the slope and notified Mr. Widas. This likely occurred within about one to three minutes after he reached the bottom. Mr. Widas proceeded to make inquiries about Mr. Kennedy until Mr. Streadwick appeared. At that point, the two guides did a head count and confirmed Mr. Kennedy's absence. Mr. Widas then sought the assistance of a nearby helicopter to conduct a quick visual search of the slope, and when it was confirmed that Mr. Kennedy was not visible, he called a formal search. Mr. Streadwick began his ascent up the slope and located Mr. Kennedy within about four minutes of the formal search being recorded in the radio log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in s. 2, permits a person in the position of the plaintiff to bring an action where the death of a person is caused by "wrongful act, neglect or default" and such act, neglect or default would have entitled the person to maintain an action had death not resulted. The plaintiff essentially steps into the shoes of Mr. Kennedy. To found a wrongful death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must first establish that Mr. Coe owed a duty of care to Mr. Kennedy.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This is the primary issue for determination: whether Mr. Coe, in the particular circumstances here, owed a duty of care to Mr. Kennedy as a ski buddy while participating in guided, back-country heli-skiing. If he did not, it is unnecessary to consider the other issues related to liability in tort or the question of damages. However, given my findings of fact and the novelty of this issue, I have also considered whether, assuming there is a duty of care, Mr. Coe met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plaintiff also makes an alternative claim for breach of contract. It not clear to me whether such a claim is one that is contemplated 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as causing death by wrongful act, neglect or default would not usually include a breach of contract. However, this issue was not raised at trial, so I have considered whether Mr. Coe breached a contractual duty to Mr. Kennedy.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1.</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Establishing a duty of care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modern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based on "the general public sentiment of moral wrongdoing for which the offender must pay" but legal duties are distinguished from moral obligations: </w:t>
      </w:r>
      <w:r>
        <w:rPr>
          <w:rFonts w:ascii="arial" w:eastAsia="arial" w:hAnsi="arial" w:cs="arial"/>
          <w:i/>
          <w:color w:val="000000"/>
          <w:sz w:val="20"/>
          <w:lang w:val="en-US" w:eastAsia="en-US" w:bidi="ar-SA"/>
        </w:rPr>
        <w:t>Donoghue v Stevenson</w:t>
      </w:r>
      <w:r>
        <w:rPr>
          <w:rFonts w:ascii="arial" w:eastAsia="arial" w:hAnsi="arial" w:cs="arial"/>
          <w:color w:val="000000"/>
          <w:sz w:val="20"/>
          <w:lang w:val="en-US" w:eastAsia="en-US" w:bidi="ar-SA"/>
        </w:rPr>
        <w:t xml:space="preserve">, [1932] AC 562 (HL) at p. 580. The concept of a legal duty extending to a "neighbour" as established in </w:t>
      </w:r>
      <w:r>
        <w:rPr>
          <w:rFonts w:ascii="arial" w:eastAsia="arial" w:hAnsi="arial" w:cs="arial"/>
          <w:i/>
          <w:color w:val="000000"/>
          <w:sz w:val="20"/>
          <w:lang w:val="en-US" w:eastAsia="en-US" w:bidi="ar-SA"/>
        </w:rPr>
        <w:t>Donoghue</w:t>
      </w:r>
      <w:r>
        <w:rPr>
          <w:rFonts w:ascii="arial" w:eastAsia="arial" w:hAnsi="arial" w:cs="arial"/>
          <w:color w:val="000000"/>
          <w:sz w:val="20"/>
          <w:lang w:val="en-US" w:eastAsia="en-US" w:bidi="ar-SA"/>
        </w:rPr>
        <w:t xml:space="preserve"> was discussed by Chief Justice McLachlin in </w:t>
      </w:r>
      <w:r>
        <w:rPr>
          <w:rFonts w:ascii="arial" w:eastAsia="arial" w:hAnsi="arial" w:cs="arial"/>
          <w:i/>
          <w:color w:val="000000"/>
          <w:sz w:val="20"/>
          <w:lang w:val="en-US" w:eastAsia="en-US" w:bidi="ar-SA"/>
        </w:rPr>
        <w:t>Childs v Desormeaux</w:t>
      </w:r>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2006 SCC 18</w:t>
        </w:r>
      </w:hyperlink>
      <w:r>
        <w:rPr>
          <w:rFonts w:ascii="arial" w:eastAsia="arial" w:hAnsi="arial" w:cs="arial"/>
          <w:color w:val="000000"/>
          <w:sz w:val="20"/>
          <w:lang w:val="en-US" w:eastAsia="en-US" w:bidi="ar-SA"/>
        </w:rPr>
        <w:t xml:space="preserve"> at para.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neighbourhood is "restricted" to "persons who are so closely and directly affected by my act that I ought reasonably to have them in contemplation as being so affected when I am directing my mind to the acts or omissions which are called in question" ([</w:t>
      </w:r>
      <w:r>
        <w:rPr>
          <w:rFonts w:ascii="arial" w:eastAsia="arial" w:hAnsi="arial" w:cs="arial"/>
          <w:i/>
          <w:color w:val="000000"/>
          <w:sz w:val="20"/>
          <w:lang w:val="en-US" w:eastAsia="en-US" w:bidi="ar-SA"/>
        </w:rPr>
        <w:t>Donoghue</w:t>
      </w:r>
      <w:r>
        <w:rPr>
          <w:rFonts w:ascii="arial" w:eastAsia="arial" w:hAnsi="arial" w:cs="arial"/>
          <w:color w:val="000000"/>
          <w:sz w:val="20"/>
          <w:lang w:val="en-US" w:eastAsia="en-US" w:bidi="ar-SA"/>
        </w:rPr>
        <w:t xml:space="preserve"> at] p. 580). This concept, sometimes referred to as proximity, remains the foundation of the modern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determining whether a duty of care should be imposed, the court is not being asked to adjudicate on the morality of the defendant's conduct. Rather, it is being asked to determine, as a matter of law, whether it is fair and just to impose the cost of the plaintiff's loss (assuming there is a loss) on the defendant: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(HL) established a two-part test for determining whether a duty of care arises, which was adopted and re-cast by the Supreme Court of Canada in </w:t>
      </w:r>
      <w:r>
        <w:rPr>
          <w:rFonts w:ascii="arial" w:eastAsia="arial" w:hAnsi="arial" w:cs="arial"/>
          <w:i/>
          <w:color w:val="000000"/>
          <w:sz w:val="20"/>
          <w:lang w:val="en-US" w:eastAsia="en-US" w:bidi="ar-SA"/>
        </w:rPr>
        <w:t>Kamloops (City of) v. Nielsen</w:t>
      </w:r>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and described in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 xml:space="preserve"> as follows (at para. 11):</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sufficiently close relationship between the parties" or "proximity" to justify imposition of a duty and, if so,</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there policy considerations which ought to negative or limit the scope of the duty, the class of persons to whom it is owed or the damages to which breach may give 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first stage focuses on factors arising from the relationship between the parties while the second is concerned with the effect of recognizing a duty of care on other legal obligations, the legal system and society more generally: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at paras. 30, 37.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the court posed these questions (at para. 37) in respect of the second stage: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Does the law already provide a remedy? Would recognition of the duty of care create the spectre of unlimited liability to an unlimited class? Are there other reasons of broad policy that suggest that the duty of care should not be recognized?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plaintiff bears the burden of establishing a duty of care, but once she establishes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under the first part of the test, the evidentiary burden shifts to the defendant to show that there are policy considerations that negative or limit the scope of the duty: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 xml:space="preserve">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the court indicated that where a relationship was within one of the recognized categories of relationships previously found to give rise to a duty of care, it is not necessary to conduct a full analysis under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In particular, the court pointed out that the second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generally arises only where the duty of care asserted does not fall within a recognized category of recovery. The categories in which proximity has been recognized were described at para. 36. They include situations where a defendant's act foreseeably causes physical harm to a plaintiff or a plaintiff's property (including nervous shock); negligent misstatement; misfeasance in public office; a duty to warn of the risk of danger; negligent inspection of housing developments by municipalities; negligent road maintenance by governmental authorities; and relational economic loss (related to a contract's performance) in certain situations.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plaintiff did not suggest that this case falls within one of the categories described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but submitted that it falls within "volunteer" or assumption of responsibility cases, where liability has been imposed on parties who voluntarily undertake to do something they are not otherwise obligated to do. This principle was summarized by Newbury J.A. (concurring) in </w:t>
      </w:r>
      <w:r>
        <w:rPr>
          <w:rFonts w:ascii="arial" w:eastAsia="arial" w:hAnsi="arial" w:cs="arial"/>
          <w:i/>
          <w:color w:val="000000"/>
          <w:sz w:val="20"/>
          <w:lang w:val="en-US" w:eastAsia="en-US" w:bidi="ar-SA"/>
        </w:rPr>
        <w:t>Goodwin v Mainroad North Island Contracting Ltd</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2007 BCCA 81</w:t>
        </w:r>
      </w:hyperlink>
      <w:r>
        <w:rPr>
          <w:rFonts w:ascii="arial" w:eastAsia="arial" w:hAnsi="arial" w:cs="arial"/>
          <w:color w:val="000000"/>
          <w:sz w:val="20"/>
          <w:lang w:val="en-US" w:eastAsia="en-US" w:bidi="ar-SA"/>
        </w:rPr>
        <w:t xml:space="preserve"> at para. 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is a long and respectable line of authorities which have imposed liability where an actor, particularly one with public duties, has voluntarily undertaken to provide some kind of assistance to another, but does so negligently and causes foreseeable harm to that other person. The authorities go back as far as </w:t>
      </w:r>
      <w:r>
        <w:rPr>
          <w:rFonts w:ascii="arial" w:eastAsia="arial" w:hAnsi="arial" w:cs="arial"/>
          <w:i/>
          <w:color w:val="000000"/>
          <w:sz w:val="20"/>
          <w:lang w:val="en-US" w:eastAsia="en-US" w:bidi="ar-SA"/>
        </w:rPr>
        <w:t>Coggs v. Bernard</w:t>
      </w:r>
      <w:r>
        <w:rPr>
          <w:rFonts w:ascii="arial" w:eastAsia="arial" w:hAnsi="arial" w:cs="arial"/>
          <w:color w:val="000000"/>
          <w:sz w:val="20"/>
          <w:lang w:val="en-US" w:eastAsia="en-US" w:bidi="ar-SA"/>
        </w:rPr>
        <w:t xml:space="preserve"> (1703) 2 Ld. Raym. 909, 92 E.R. 107 (K.B.), where Gould J.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a man may warrant a thing without any consideration. And therefore when I have reposed a trust in you, upon your undertaking, if I suffer, when I have so relied upon you, I shall have my action. [At 108.]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Low J.A. noted in </w:t>
      </w:r>
      <w:r>
        <w:rPr>
          <w:rFonts w:ascii="arial" w:eastAsia="arial" w:hAnsi="arial" w:cs="arial"/>
          <w:i/>
          <w:color w:val="000000"/>
          <w:sz w:val="20"/>
          <w:lang w:val="en-US" w:eastAsia="en-US" w:bidi="ar-SA"/>
        </w:rPr>
        <w:t>Wiens v. Serene Lea Farms Ltd.</w:t>
      </w:r>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2001 BCCA 739</w:t>
        </w:r>
      </w:hyperlink>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(2001) 97 B.C.L.R. (3d) 282</w:t>
        </w:r>
      </w:hyperlink>
      <w:r>
        <w:rPr>
          <w:rFonts w:ascii="arial" w:eastAsia="arial" w:hAnsi="arial" w:cs="arial"/>
          <w:color w:val="000000"/>
          <w:sz w:val="20"/>
          <w:lang w:val="en-US" w:eastAsia="en-US" w:bidi="ar-SA"/>
        </w:rPr>
        <w:t xml:space="preserve">, the principle established by </w:t>
      </w:r>
      <w:r>
        <w:rPr>
          <w:rFonts w:ascii="arial" w:eastAsia="arial" w:hAnsi="arial" w:cs="arial"/>
          <w:i/>
          <w:color w:val="000000"/>
          <w:sz w:val="20"/>
          <w:lang w:val="en-US" w:eastAsia="en-US" w:bidi="ar-SA"/>
        </w:rPr>
        <w:t>Coggs v. Bernard</w:t>
      </w:r>
      <w:r>
        <w:rPr>
          <w:rFonts w:ascii="arial" w:eastAsia="arial" w:hAnsi="arial" w:cs="arial"/>
          <w:color w:val="000000"/>
          <w:sz w:val="20"/>
          <w:lang w:val="en-US" w:eastAsia="en-US" w:bidi="ar-SA"/>
        </w:rPr>
        <w:t xml:space="preserve"> was usefully restated in </w:t>
      </w:r>
      <w:r>
        <w:rPr>
          <w:rFonts w:ascii="arial" w:eastAsia="arial" w:hAnsi="arial" w:cs="arial"/>
          <w:i/>
          <w:color w:val="000000"/>
          <w:sz w:val="20"/>
          <w:lang w:val="en-US" w:eastAsia="en-US" w:bidi="ar-SA"/>
        </w:rPr>
        <w:t>Skelton v. London and North Western Railway Co</w:t>
      </w:r>
      <w:r>
        <w:rPr>
          <w:rFonts w:ascii="arial" w:eastAsia="arial" w:hAnsi="arial" w:cs="arial"/>
          <w:color w:val="000000"/>
          <w:sz w:val="20"/>
          <w:lang w:val="en-US" w:eastAsia="en-US" w:bidi="ar-SA"/>
        </w:rPr>
        <w:t xml:space="preserve">. (1867) L.R. 2 C.P. 631: "If a person undertakes to perform a voluntary act, he is liable if he performs it improperly, but not if he neglects to perform it." (At 636.) Low J.A. also noted that the principle had been restated by McLachlin J. as a trial judge in </w:t>
      </w:r>
      <w:r>
        <w:rPr>
          <w:rFonts w:ascii="arial" w:eastAsia="arial" w:hAnsi="arial" w:cs="arial"/>
          <w:i/>
          <w:color w:val="000000"/>
          <w:sz w:val="20"/>
          <w:lang w:val="en-US" w:eastAsia="en-US" w:bidi="ar-SA"/>
        </w:rPr>
        <w:t>Wise v. Courtney</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[1985] B.C.J. No. 777</w:t>
        </w:r>
      </w:hyperlink>
      <w:r>
        <w:rPr>
          <w:rFonts w:ascii="arial" w:eastAsia="arial" w:hAnsi="arial" w:cs="arial"/>
          <w:color w:val="000000"/>
          <w:sz w:val="20"/>
          <w:lang w:val="en-US" w:eastAsia="en-US" w:bidi="ar-SA"/>
        </w:rPr>
        <w:t>,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clear that where one person undertakes an activity the law does not ordinarily impose on another the duty to assist him in that regard; however, where a promise is given by one person that he will assist, performance of that promise is embarked on, and the other person relies on that performance, liability may lie: </w:t>
      </w:r>
      <w:r>
        <w:rPr>
          <w:rFonts w:ascii="arial" w:eastAsia="arial" w:hAnsi="arial" w:cs="arial"/>
          <w:i/>
          <w:color w:val="000000"/>
          <w:sz w:val="20"/>
          <w:lang w:val="en-US" w:eastAsia="en-US" w:bidi="ar-SA"/>
        </w:rPr>
        <w:t>Coggs v. Bernard</w:t>
      </w:r>
      <w:r>
        <w:rPr>
          <w:rFonts w:ascii="arial" w:eastAsia="arial" w:hAnsi="arial" w:cs="arial"/>
          <w:color w:val="000000"/>
          <w:sz w:val="20"/>
          <w:lang w:val="en-US" w:eastAsia="en-US" w:bidi="ar-SA"/>
        </w:rPr>
        <w:t xml:space="preserve"> (1703). [At para.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Therefore, the first question is whether the plaintiff's claim falls within a relationship previously recognized as giving rise to a duty of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Does this case fall within a relationship previously recognized as giving rise to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plaintiff relies primarily on </w:t>
      </w:r>
      <w:r>
        <w:rPr>
          <w:rFonts w:ascii="arial" w:eastAsia="arial" w:hAnsi="arial" w:cs="arial"/>
          <w:i/>
          <w:color w:val="000000"/>
          <w:sz w:val="20"/>
          <w:lang w:val="en-US" w:eastAsia="en-US" w:bidi="ar-SA"/>
        </w:rPr>
        <w:t>Wiens v. Serene Lea Farms Ltd</w:t>
      </w:r>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2001 BCCA 739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Goodwin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Brown v Port Edward (District of)</w:t>
      </w:r>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[1996] B.C.J. No. 2465</w:t>
        </w:r>
      </w:hyperlink>
      <w:r>
        <w:rPr>
          <w:rFonts w:ascii="arial" w:eastAsia="arial" w:hAnsi="arial" w:cs="arial"/>
          <w:color w:val="000000"/>
          <w:sz w:val="20"/>
          <w:lang w:val="en-US" w:eastAsia="en-US" w:bidi="ar-SA"/>
        </w:rPr>
        <w:t xml:space="preserve"> (SC). In </w:t>
      </w:r>
      <w:r>
        <w:rPr>
          <w:rFonts w:ascii="arial" w:eastAsia="arial" w:hAnsi="arial" w:cs="arial"/>
          <w:i/>
          <w:color w:val="000000"/>
          <w:sz w:val="20"/>
          <w:lang w:val="en-US" w:eastAsia="en-US" w:bidi="ar-SA"/>
        </w:rPr>
        <w:t>Wiens</w:t>
      </w:r>
      <w:r>
        <w:rPr>
          <w:rFonts w:ascii="arial" w:eastAsia="arial" w:hAnsi="arial" w:cs="arial"/>
          <w:color w:val="000000"/>
          <w:sz w:val="20"/>
          <w:lang w:val="en-US" w:eastAsia="en-US" w:bidi="ar-SA"/>
        </w:rPr>
        <w:t xml:space="preserve">, a person who voluntarily undertook to secure a ladder was found to owe a duty of care to the ladder's user. In </w:t>
      </w:r>
      <w:r>
        <w:rPr>
          <w:rFonts w:ascii="arial" w:eastAsia="arial" w:hAnsi="arial" w:cs="arial"/>
          <w:i/>
          <w:color w:val="000000"/>
          <w:sz w:val="20"/>
          <w:lang w:val="en-US" w:eastAsia="en-US" w:bidi="ar-SA"/>
        </w:rPr>
        <w:t>Goodwin</w:t>
      </w:r>
      <w:r>
        <w:rPr>
          <w:rFonts w:ascii="arial" w:eastAsia="arial" w:hAnsi="arial" w:cs="arial"/>
          <w:color w:val="000000"/>
          <w:sz w:val="20"/>
          <w:lang w:val="en-US" w:eastAsia="en-US" w:bidi="ar-SA"/>
        </w:rPr>
        <w:t xml:space="preserve">, a highway maintenance contractor who represented that it would alert a crew to black ice on an area of road over which it had no responsibility was found to owe a duty of care to third party users of the road.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 defendant who volunteered to clean up an oil spill on a road was found to owe a duty of care to persons using the road. In all of these cases, the volunteer failed to carry out the undertaking or did so negligently; in </w:t>
      </w:r>
      <w:r>
        <w:rPr>
          <w:rFonts w:ascii="arial" w:eastAsia="arial" w:hAnsi="arial" w:cs="arial"/>
          <w:i/>
          <w:color w:val="000000"/>
          <w:sz w:val="20"/>
          <w:lang w:val="en-US" w:eastAsia="en-US" w:bidi="ar-SA"/>
        </w:rPr>
        <w:t>Goodwin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the undertakings resulted in the authority or individual legally responsible for maintaining or cleaning up the road taking no action due to reliance on those undertakings.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While these "volunteer" cases bear some similarities here, they are distinguishable primarily because in each there was a clear undertaking made to perform a specific task in circumstances very different from those in this case. I note that in </w:t>
      </w:r>
      <w:r>
        <w:rPr>
          <w:rFonts w:ascii="arial" w:eastAsia="arial" w:hAnsi="arial" w:cs="arial"/>
          <w:i/>
          <w:color w:val="000000"/>
          <w:sz w:val="20"/>
          <w:lang w:val="en-US" w:eastAsia="en-US" w:bidi="ar-SA"/>
        </w:rPr>
        <w:t>Goodwin</w:t>
      </w:r>
      <w:r>
        <w:rPr>
          <w:rFonts w:ascii="arial" w:eastAsia="arial" w:hAnsi="arial" w:cs="arial"/>
          <w:color w:val="000000"/>
          <w:sz w:val="20"/>
          <w:lang w:val="en-US" w:eastAsia="en-US" w:bidi="ar-SA"/>
        </w:rPr>
        <w:t xml:space="preserve">, Prowse J.A. (for the majority) did not find the circumstances in other "undertaking" cases (including </w:t>
      </w:r>
      <w:r>
        <w:rPr>
          <w:rFonts w:ascii="arial" w:eastAsia="arial" w:hAnsi="arial" w:cs="arial"/>
          <w:i/>
          <w:color w:val="000000"/>
          <w:sz w:val="20"/>
          <w:lang w:val="en-US" w:eastAsia="en-US" w:bidi="ar-SA"/>
        </w:rPr>
        <w:t>Coggs v Bernard</w:t>
      </w:r>
      <w:r>
        <w:rPr>
          <w:rFonts w:ascii="arial" w:eastAsia="arial" w:hAnsi="arial" w:cs="arial"/>
          <w:color w:val="000000"/>
          <w:sz w:val="20"/>
          <w:lang w:val="en-US" w:eastAsia="en-US" w:bidi="ar-SA"/>
        </w:rPr>
        <w:t xml:space="preserve"> (1703), 92 ER 107 (KB) and </w:t>
      </w:r>
      <w:r>
        <w:rPr>
          <w:rFonts w:ascii="arial" w:eastAsia="arial" w:hAnsi="arial" w:cs="arial"/>
          <w:i/>
          <w:color w:val="000000"/>
          <w:sz w:val="20"/>
          <w:lang w:val="en-US" w:eastAsia="en-US" w:bidi="ar-SA"/>
        </w:rPr>
        <w:t>Wiens</w:t>
      </w:r>
      <w:r>
        <w:rPr>
          <w:rFonts w:ascii="arial" w:eastAsia="arial" w:hAnsi="arial" w:cs="arial"/>
          <w:color w:val="000000"/>
          <w:sz w:val="20"/>
          <w:lang w:val="en-US" w:eastAsia="en-US" w:bidi="ar-SA"/>
        </w:rPr>
        <w:t xml:space="preserve">) to be sufficiently analogous to dispense with the need for a full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analysis to determine whether a duty of care existed there (see para. 43). Newbury J.A. (who wrote concurring reasons) found those cases analogous but in the context of a full analysis under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(see paras. 30-32).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same applies here. The circumstances in these cases are not sufficiently analogous to those where a person volunteers to be a ski buddy in the context of a high-risk sport that is organized with professional guides and where the expectations and duties of a ski buddy may not be clearly articulated and vary with the circumstances on the mountain. It is important to note, as did the court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 39) that if an alleged duty fits within an established category, generally that is taken as sufficient proof that there are no overriding policy considerations which would negate it. Consequently, the court must be persuaded that the "volunteer" cases have adequately canvassed the type of policy concerns that arise on these facts. In my view, they do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Here, Mr. Kennedy voluntarily sought to engage in a high-risk sport with full knowledge of its attendant risks. He paid a third party for the opportunity to participate in that sport, and signed a waiver of liability. He participated in a buddy system that was flexibly applied depending on the terrain, the conditions and the instructions of the guides. By contrast, none of the plaintiffs in the "volunteer" cases were involved in high risk sports where the scope of their undertakings varied with the circumstances, nor did they did seek out or rely on the expertise of a third party to regulate their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These differences are germane to the policy issues at play. They bear on the law's allocation of risk when it comes to high-risk and thrill-seeking sports. As a "jealous guardian of individual autonomy"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 xml:space="preserve"> at para. 31), the law does not prevent us from participating in inherently risky endeavours, and there are competing policy issues pertaining to the mitigation and allocation of risk. On the one hand, establishing a duty of care as between ski buddies may result in skiers performing that role with greater diligence, thus enhancing safety, as suggested by the plaintiff. On the other hand, establishing such a duty of care may discourage skiers from agreeing to be ski buddies at all, thus diminishing safety, as suggested by the defendant. Mitigation and allocation of risk in activities such as back-country skiing are issues that do not arise in the "volunteer" cases relied upon by the plaintiff. Accordingly, I consider it necessary to conduct an analysis under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to determine whether Mr. Coe owed a duty of care to Mr. Kennedy in the circumstances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Stage one of the </w:t>
      </w:r>
      <w:r>
        <w:rPr>
          <w:rFonts w:ascii="arial" w:eastAsia="arial" w:hAnsi="arial" w:cs="arial"/>
          <w:b/>
          <w:i/>
          <w:color w:val="000000"/>
          <w:sz w:val="20"/>
          <w:lang w:val="en-US" w:eastAsia="en-US" w:bidi="ar-SA"/>
        </w:rPr>
        <w:t>Anns</w:t>
      </w:r>
      <w:r>
        <w:rPr>
          <w:rFonts w:ascii="arial" w:eastAsia="arial" w:hAnsi="arial" w:cs="arial"/>
          <w:b/>
          <w:color w:val="000000"/>
          <w:sz w:val="20"/>
          <w:lang w:val="en-US" w:eastAsia="en-US" w:bidi="ar-SA"/>
        </w:rPr>
        <w:t xml:space="preserve"> test: a </w:t>
      </w:r>
      <w:r>
        <w:rPr>
          <w:rFonts w:ascii="arial" w:eastAsia="arial" w:hAnsi="arial" w:cs="arial"/>
          <w:b/>
          <w:i/>
          <w:color w:val="000000"/>
          <w:sz w:val="20"/>
          <w:lang w:val="en-US" w:eastAsia="en-US" w:bidi="ar-SA"/>
        </w:rPr>
        <w:t>prima facie</w:t>
      </w:r>
      <w:r>
        <w:rPr>
          <w:rFonts w:ascii="arial" w:eastAsia="arial" w:hAnsi="arial" w:cs="arial"/>
          <w:b/>
          <w:color w:val="000000"/>
          <w:sz w:val="20"/>
          <w:lang w:val="en-US" w:eastAsia="en-US" w:bidi="ar-SA"/>
        </w:rPr>
        <w:t xml:space="preserve">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At the first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the plaintiff must prove that there is a sufficiently close relationship between the parties, or "proximity,"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 xml:space="preserve"> at paras. 11,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Foreseeability and proximity are considered at the first stage. In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the court referred to foreseeability and proximity as separate elements, but in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 xml:space="preserve"> this was considered not to change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but rather to clarify that proximity will not always be satisfied by reasonable foreseeability; "foreseeability and factors going to the relationship between the parties must be considered with a view to determining whether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arises"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Where an overt act of the defendant has directly caused foreseeable physical harm to the plaintiff, foreseeability alone may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but where the allegation is that the defendant failed to act, "something more" is usually required: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 xml:space="preserve"> at para. 31; see also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 29. This is because a duty to take positive action "in the face of risk or danger" is not free-standing. As the Chief Justice said in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 xml:space="preserve">, "the mere fact that a person faces danger, or has become a danger to others, does not itself impose any kind of duty on those in a position to become involved" (at para. 31). This distinction was recognized by Prowse J.A. in </w:t>
      </w:r>
      <w:r>
        <w:rPr>
          <w:rFonts w:ascii="arial" w:eastAsia="arial" w:hAnsi="arial" w:cs="arial"/>
          <w:i/>
          <w:color w:val="000000"/>
          <w:sz w:val="20"/>
          <w:lang w:val="en-US" w:eastAsia="en-US" w:bidi="ar-SA"/>
        </w:rPr>
        <w:t>Goodwin</w:t>
      </w:r>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Both parties approached the allegation against the defendant as a failure to act. The defendant submitted that any failure to act did not give rise to foreseeable harm to Mr. Kennedy and there is nothing in the relationship between them sufficient to give rise to a positive duty of care. The plaintiff submitted that the relationship between the defendant and Mr. Kennedy meets the requirements of foreseeability and proximity sufficient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this case, the difference between a failure to act and an overt act directly causing physical harm is an important distinction in the proximity analysis. In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 the proposed duty was to take care to prevent harm caused to the plaintiff by a third party. Here, the proposed duty is to take care to prevent harm caused to Mr. Kennedy by a risk inherent in a sport in which he chose to participate.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As reviewed in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 xml:space="preserve"> (at paras. 34-37), three situations have been identified where courts have imposed a positive duty to act in the face of an alleged failure to act: (1) where a defendant intentionally attracts and invites third parties to an inherent and obvious risk that he or she has created or controls; (2) in the context of paternalistic relationships of supervision and control; and (3) where a defendant exercises a public function or engages in a commercial enterprise that includes implied responsibilities to the public at large.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These situations are not strict legal categories but simply factors which can lead to the conclusion that sufficient proximity exists to give rise to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positive duty to act: see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 xml:space="preserve"> at para. 34; </w:t>
      </w:r>
      <w:r>
        <w:rPr>
          <w:rFonts w:ascii="arial" w:eastAsia="arial" w:hAnsi="arial" w:cs="arial"/>
          <w:i/>
          <w:color w:val="000000"/>
          <w:sz w:val="20"/>
          <w:lang w:val="en-US" w:eastAsia="en-US" w:bidi="ar-SA"/>
        </w:rPr>
        <w:t>Fullowka v. Pinkerton's of Canada Ltd</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2010 SCC 5</w:t>
        </w:r>
      </w:hyperlink>
      <w:r>
        <w:rPr>
          <w:rFonts w:ascii="arial" w:eastAsia="arial" w:hAnsi="arial" w:cs="arial"/>
          <w:color w:val="000000"/>
          <w:sz w:val="20"/>
          <w:lang w:val="en-US" w:eastAsia="en-US" w:bidi="ar-SA"/>
        </w:rPr>
        <w:t xml:space="preserve"> at para. 35. However, in all of these situations, the defendant is materially implicated in the creation of the risk or his control of a risk created by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There are two further concerns. The first relates to the autonomy of those affected by the positive action proposed, as discussed at para. 39 of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does not impose a duty to eliminate risk. It accepts that competent people have the right to engage in risky activities. Conversely, it permits third parties witnessing risk to decide not to become rescuers or otherwise intervene. It is only when these third parties have a special relationship to the person in danger or a material role in the creation or management of the risk that the law may impinge on autonomy ... The autonomy of risk takers or putative rescuers is not absolutely protected, but, at common law, it is always respected.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second is "the theme of reasonable reliance", described at para. 40 of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person who creates or invites others into a dangerous situation, like the high-risk sports operator, may reasonably expect that those taking up the invitation will rely on the operator to ensure that the risk is a reasonable one or to take appropriate rescue action if the risk materializes. Similarly, a teacher will understand that the child or the child's parents rely on the teacher to avoid and minimize risk. Finally, there is a reasonable expectation on the part of the public that a person providing public services, often under licence, will take reasonable precautions to reduce the risk of the activity, not merely to immediate clients, but to the general public.</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Foreseeability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defendant submitted that agreeing to be designated as a ski buddy did not foreseeably raise the possible harm that Mr. Kennedy would die by asphyxiation in a tree well, as this was a rare event that had occurred only once before at Wiegele's. I think this approach is too narrow. While the risk of death in this manner was not high, the risk of falling into a tree well was, and the question with respect to foreseeability is not whether the specific injury suffered by Mr. Kennedy was reasonably foreseeable, but whether it was reasonably foreseeable to a person in Mr. Coe's position that carelessness on his part in reporting Mr. Kennedy's absence would likely cause some injury to Mr. Kennedy. I take this from the following passage in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at 751-2: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duty of care analysis] [f]irst one has to ask whether, as between the alleged wrongdoer and the person who has suffered damage there is a sufficient relationship of proximity or neighbourhood such that, in the reasonable contemplation of the former, carelessness on his part may be likely to cause </w:t>
      </w:r>
      <w:r>
        <w:rPr>
          <w:rFonts w:ascii="arial" w:eastAsia="arial" w:hAnsi="arial" w:cs="arial"/>
          <w:color w:val="000000"/>
          <w:sz w:val="20"/>
          <w:u w:val="single"/>
          <w:lang w:val="en-US" w:eastAsia="en-US" w:bidi="ar-SA"/>
        </w:rPr>
        <w:t>damage</w:t>
      </w:r>
      <w:r>
        <w:rPr>
          <w:rFonts w:ascii="arial" w:eastAsia="arial" w:hAnsi="arial" w:cs="arial"/>
          <w:color w:val="000000"/>
          <w:sz w:val="20"/>
          <w:lang w:val="en-US" w:eastAsia="en-US" w:bidi="ar-SA"/>
        </w:rPr>
        <w:t xml:space="preserve"> to the latter -- in which case a prima facie duty of care arises.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my view, it was reasonably foreseeable that if Mr. Coe failed to perform his alleged duty as a ski buddy to report Mr. Kennedy's absence, or did so negligently, Mr. Kennedy would likely have suffered some injury as a result of a delay in his rescue. The defendant appears to concede this in his submission where he states, "[a]t best, it can be argued that a failure to act by Mr. Coe may foreseeably result in Mr. Kennedy not being rescued from harm in a timely way". Where time is of the essence in the backcountry, it is reasonably foreseeable that a delay in commencing a search and rescue operation would likely contribute to the injury or death of a person who becomes buried in snow.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this circumstance, however, foreseeability alone is insufficient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The plaintiff must also establish a relationship of sufficient proximity between Mr. Coe and Mr. Kennedy.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Proximity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Referring to the three factors identified in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 xml:space="preserve"> (risk-control, reasonable preservation of autonomy, and reasonable reliance), the plaintiff submitted that (1) Mr. Coe specifically undertook to assume the duties associated with being Mr. Kennedy's buddy and in this way was implicated in and exacerbated the risk of tree wells by inviting Mr. Kennedy to rely on him as a potential rescuer; (2) recognizing a positive duty to act would not unjustifiably impinge on either Mr. Coe's or Mr. Kennedy's autonomy because they both voluntarily agreed to assume the responsibility of skiing as buddies; and (3) the fact that Mr. Kennedy in fact skied with Mr. Coe rather than someone else, indicates that he relied on Mr. Coe's undertaking.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defendant submitted that this case does not fit into any of the factors identified in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 More particularly, Mr. Coe did not create or control the risk of tree wells, nor did he entice Mr. Kennedy to heli-ski, and the risk that caused Mr. Kennedy's death had nothing to do with him. The defendant stressed that he and Mr. Kennedy did not have a close relationship in that they did not know each other before being assigned as ski buddies and did not discuss their mutual expectations of their duties as buddies. He further submitted that there is no evidence that Mr. Kennedy had any expectation that Mr. Coe would be responsible for his safety on the mountain. He relied on the fact that Mr. Kennedy, by signing the Release, acknowledged the risks associated with heli-skiing, including the conduct of "other guests" and that there was risk of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first factor, risk-control, requires the defendant to have been materially implicated in the creation or control of a risk to which others have been invited: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 xml:space="preserve"> at para. 38. In this case, it is clear that Mr. Coe cannot be said to have been implicated at all in the creation of the risk, but the question is whether he is materially implicated in the control of it. In my view, he is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Agreeing to participate as a ski buddy for the purpose of mitigating risks does not mean that the participant is able to control those risks - clearly Mr. Coe could not control what Mr. Kennedy did on the mountain and what hazards he encountered. All a ski buddy can do is assist in minimizing the potential harm that may result from those risks. By keeping track of each other, ski buddies may be able to directly assist each other if they witness a problem or indirectly assist each other by notifying others responsible for searching and rescuing. In the context of guided heli-skiing, a skier who fails to notify the guide of his partner's absence in a timely way is not materially implicated in the control of the risk itself. He is implicated only in the potential consequences resulting from the risk (here falling into a tree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Child</w:t>
      </w:r>
      <w:r>
        <w:rPr>
          <w:rFonts w:ascii="arial" w:eastAsia="arial" w:hAnsi="arial" w:cs="arial"/>
          <w:color w:val="000000"/>
          <w:sz w:val="20"/>
          <w:lang w:val="en-US" w:eastAsia="en-US" w:bidi="ar-SA"/>
        </w:rPr>
        <w:t xml:space="preserve"> s, hosting a house party where alcohol is served, without more, was not considered sufficient to implicate the host in the creation or enhancement of the risk of injury to third parties as a result of the conduct of a guest. The "more" could involve the following situation, discussed at para. 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might be argued that a host who continues to serve alcohol to a visibly inebriated person knowing that he or she will be driving home has become implicated in the creation or enhancement of a risk sufficient to give rise to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to third parties, which would be subject to contrary policy considerations at the second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This indicates that the host would have to be materially implicated in both the risk itself (continuing to serve alcohol to a visibly inebriated guest) and the risk of harm to third parties who may be injured by the intoxicated guest (knowing the inebriated guest will be driving home). A ski buddy who fails to notify the guide of his partner's absence in a timely way may affect the speed with which his partner can be found, but he has only a limited control over the potential consequences of the risk itself. In a guided situation, it is the primary responsibility of the guides to keep track of their group. While a tail guide can be alerted by radio to a missing skier while he is still on the slope, confirmation that a skier is in fact missing is usually done when the tail guide arrives at a regroup site. In such circumstances, it cannot be said that a ski buddy is </w:t>
      </w:r>
      <w:r>
        <w:rPr>
          <w:rFonts w:ascii="arial" w:eastAsia="arial" w:hAnsi="arial" w:cs="arial"/>
          <w:i/>
          <w:color w:val="000000"/>
          <w:sz w:val="20"/>
          <w:lang w:val="en-US" w:eastAsia="en-US" w:bidi="ar-SA"/>
        </w:rPr>
        <w:t>materially</w:t>
      </w:r>
      <w:r>
        <w:rPr>
          <w:rFonts w:ascii="arial" w:eastAsia="arial" w:hAnsi="arial" w:cs="arial"/>
          <w:color w:val="000000"/>
          <w:sz w:val="20"/>
          <w:lang w:val="en-US" w:eastAsia="en-US" w:bidi="ar-SA"/>
        </w:rPr>
        <w:t xml:space="preserve"> implicated in the control of the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Goodwin</w:t>
      </w:r>
      <w:r>
        <w:rPr>
          <w:rFonts w:ascii="arial" w:eastAsia="arial" w:hAnsi="arial" w:cs="arial"/>
          <w:color w:val="000000"/>
          <w:sz w:val="20"/>
          <w:lang w:val="en-US" w:eastAsia="en-US" w:bidi="ar-SA"/>
        </w:rPr>
        <w:t xml:space="preserve">, the defendant contractor was not implicated in the creation of the risk of black ice on the road, but was found to have effectively taken control over that risk (which it knew had already materialized) and undertaken to manage it. Moreover, because the contractor prevented the danger from being controlled or eliminated by virtue of its undertaking, the third party was left in a worse position: see paras. 53 and 55. Therefore, the first factor in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 xml:space="preserve"> was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same cannot be said in this case, where it was the role and responsibility of the guides to do their part to mitigate the risk of injury or death from tree wells by alerting skiers to the risk, keeping track of the group, and managing a search and rescue where required. Unlike the contractor in </w:t>
      </w:r>
      <w:r>
        <w:rPr>
          <w:rFonts w:ascii="arial" w:eastAsia="arial" w:hAnsi="arial" w:cs="arial"/>
          <w:i/>
          <w:color w:val="000000"/>
          <w:sz w:val="20"/>
          <w:lang w:val="en-US" w:eastAsia="en-US" w:bidi="ar-SA"/>
        </w:rPr>
        <w:t>Goodwin</w:t>
      </w:r>
      <w:r>
        <w:rPr>
          <w:rFonts w:ascii="arial" w:eastAsia="arial" w:hAnsi="arial" w:cs="arial"/>
          <w:color w:val="000000"/>
          <w:sz w:val="20"/>
          <w:lang w:val="en-US" w:eastAsia="en-US" w:bidi="ar-SA"/>
        </w:rPr>
        <w:t>, Mr. Coe did not take effective control over or undertake primary responsibility to manage or mitigate the risk and consequences of Mr. Kennedy falling into a tree well. Moreover, he did not know that the risk had actually materialized. Nor can it be said that Mr. Coe's agreement to be Mr. Kennedy's ski buddy put Mr. Kennedy in a worse position. It may have prevented Mr. Kennedy from being paired with another skier but any other skier would have been in the same circumstances and subject to the same directions from the guides as Mr. Coe.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When Mr. Coe agreed to be Mr. Kennedy's ski buddy in the circumstances here, he did not invite Mr. Kennedy to rely primarily on him to mitigate the potential risk of injury or death resulting from the hazards inherent in back-country skiing. Mr. Coe could neither control the inherent risks nor Mr. Kennedy's conduct. Any role that Mr. Coe played did not place him in a position where he was materially implicated in the control of the risk of Mr. Kennedy falling into a tree well and dying from asphyxiation. He did not assume responsibility for Mr. Kennedy's safety. He was not responsible for calling a search and conducting a rescue operation. This was the role of the experienced guides and support staff employed by Wiegele's.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second factor, reasonable preservation of autonomy, may be satisfied where the defendant has a special relationship to the person in danger or a material role in the management of the risk. While Mr. Coe was not simply another skier on the mountain, I do not agree with the plaintiff that because he agreed to assume the responsibility of being Mr. Kennedy's buddy knowing the risks of heli-skiing, he put himself into a special relationship with Mr. Kennedy. Whatever relationship was created when the two agreed to be ski buddies, it was defined by the guide's instructions to the group at the top of the forest (to keep each other in visual and vocal contact in the forest) and more generally by the instructions provided in the safety video (to use the buddy system in the trees, stay in contact with their partners and keep the guide's tracks in sight). Mr. Coe and Mr. Kennedy never spoke to each other. There is no evidence of any mutual understanding as to what their roles as ski buddies entailed outside of this context. Moreover, Mr. Coe did not have a material role in managing the risk, as discussed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my view, a skier who accepts a buddy relationship does not park his autonomy at the bottom of the mountain, and remains responsible for his own actions. Applying what the Chief Justice said in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 xml:space="preserve"> at para. 45, "short of active implication in the creation or enhancement of the risk", one ski buddy is entitled to respect the autonomy of the other. I do not accept the view that Mr. Coe and Mr. Kennedy voluntarily surrendered all of their autonomy by agreeing to be ski buddies. They did so to a limited extent. Except when Mr. Coe followed Mr. Kennedy through the forest, each continued to ski as and where he wished without reference to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plaintiff drew an analogy to </w:t>
      </w:r>
      <w:r>
        <w:rPr>
          <w:rFonts w:ascii="arial" w:eastAsia="arial" w:hAnsi="arial" w:cs="arial"/>
          <w:i/>
          <w:color w:val="000000"/>
          <w:sz w:val="20"/>
          <w:lang w:val="en-US" w:eastAsia="en-US" w:bidi="ar-SA"/>
        </w:rPr>
        <w:t>Fullowka</w:t>
      </w:r>
      <w:r>
        <w:rPr>
          <w:rFonts w:ascii="arial" w:eastAsia="arial" w:hAnsi="arial" w:cs="arial"/>
          <w:color w:val="000000"/>
          <w:sz w:val="20"/>
          <w:lang w:val="en-US" w:eastAsia="en-US" w:bidi="ar-SA"/>
        </w:rPr>
        <w:t xml:space="preserve">, where the court held that a private security firm hired by a mine owner to provide security services owed a positive duty of care to the miners to take reasonable precautions to reduce the risk of a third party planting a bomb (with devastating results) during a long and violent strike. In doing so, it found that the security firm had surrendered much of its autonomy by its contractual undertaking with the employer to become involved. I do not find this analogy particularly helpful in the first stage analysis. This case is not one founded on a contractual undertaking (as I have concluded below) and the facts </w:t>
      </w:r>
      <w:r>
        <w:rPr>
          <w:rFonts w:ascii="arial" w:eastAsia="arial" w:hAnsi="arial" w:cs="arial"/>
          <w:i/>
          <w:color w:val="000000"/>
          <w:sz w:val="20"/>
          <w:lang w:val="en-US" w:eastAsia="en-US" w:bidi="ar-SA"/>
        </w:rPr>
        <w:t>in Fullowka</w:t>
      </w:r>
      <w:r>
        <w:rPr>
          <w:rFonts w:ascii="arial" w:eastAsia="arial" w:hAnsi="arial" w:cs="arial"/>
          <w:color w:val="000000"/>
          <w:sz w:val="20"/>
          <w:lang w:val="en-US" w:eastAsia="en-US" w:bidi="ar-SA"/>
        </w:rPr>
        <w:t xml:space="preserve"> are remarkably unique and distinguishable. Further, the discussion about autonomy was in the context of policy considerations under the second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not the proximity analysis under the first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With respect to the third factor, reasonable reliance, there is little evidence about Mr. Kennedy's expectations.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 submitted that the nature of the buddy system made it reasonable for Mr. Kennedy to rely on Mr. Coe to minimize the risks associated with heli-skiing because he agreed to be Mr. Kennedy's ski buddy in circumstances where both parties had full knowledge of the seriousness and content of that role. She also submitted that Mr. Kennedy in fact relied on Mr. Coe as shown by the evidence that they skied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defendant countered this by referring to the lack of evidence of any expectation by Mr. Kennedy that Mr. Coe would be responsible for his safety on the mountain, as well as evidence of the opposite: by signing the Release, Mr. Kennedy acknowledged and assumed the risks of heli-skiing, including risks posed by the conduct of "other guests".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While it may have been reasonable for Mr. Kennedy to rely on Mr. Coe to ski with him as his buddy in the forest, there is no evidence which suggests that Mr. Kennedy's expectations went further than that. As noted above, the two men never spoke to one another. The only evidence of a mutual agreement to ski as partners is Mr. Coe's acknowledgement that this was so (apparently through a mutual nod) at the time Mr. Widas assigned buddies at the start of the forest.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There is some evidence of what Mr. Kennedy understood about the danger of tree wells and the use of the buddy system prior to January 2009. In an email he sent to the plaintiff in 2008 during a previous trip to Wiegele's, Mr. Kennedy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was reminded today that [skiing in the trees] is not without dangers. As you know, there are two big risks. Hitting a tree, which isn't too dangerous because most are pine trees covered with snow. The real danger, and it can be deadly, is tree wells. ... To minimize the dangers, the practice is to ski with a buddy so your partner can dig </w:t>
      </w:r>
      <w:r>
        <w:rPr>
          <w:rFonts w:ascii="arial" w:eastAsia="arial" w:hAnsi="arial" w:cs="arial"/>
          <w:color w:val="000000"/>
          <w:sz w:val="20"/>
          <w:u w:val="single"/>
          <w:lang w:val="en-US" w:eastAsia="en-US" w:bidi="ar-SA"/>
        </w:rPr>
        <w:t>and let other people know of the situation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Well I found out today that practice does save lives. </w:t>
      </w:r>
      <w:r>
        <w:rPr>
          <w:rFonts w:ascii="arial" w:eastAsia="arial" w:hAnsi="arial" w:cs="arial"/>
          <w:color w:val="000000"/>
          <w:sz w:val="20"/>
          <w:u w:val="single"/>
          <w:lang w:val="en-US" w:eastAsia="en-US" w:bidi="ar-SA"/>
        </w:rPr>
        <w:t>I was paired up with a boarder for a few runs this afternoon.</w:t>
      </w:r>
      <w:r>
        <w:rPr>
          <w:rFonts w:ascii="arial" w:eastAsia="arial" w:hAnsi="arial" w:cs="arial"/>
          <w:color w:val="000000"/>
          <w:sz w:val="20"/>
          <w:lang w:val="en-US" w:eastAsia="en-US" w:bidi="ar-SA"/>
        </w:rPr>
        <w:t xml:space="preserve"> ... Ten or 15 turns down the hill, I heard a scream to my left and made a hard turn and stopped to be able to hear. ... The guy was hanging down head-first, on his back in a tree well. It took me over 10 minutes to remove the board and dig the guy out. ... The boarder is truly thankful for me saving him from a really dangerous situation. If I had not found him, it could have taken us hours to locate him in a search.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underlined passages show that Mr. Kennedy's understanding of the buddy system was that it applied on runs in which he was specifically paired with a buddy, and in this context the buddy's responsibility included notifying others when his partner got into trouble. The rest of the message shows that Mr. Kennedy was well aware of the risks of skiing in the trees and that if he fell into a tree well in circumstances where his partner had not seen or found him, it could take a long time for others to find him. There is no evidence which suggests that Mr. Kennedy relied on Mr. Coe to do more than ski as his buddy in the trees or that he expected this to continue down the log cut. To the contrary, there is evidence from both Mr. Coe and Dr. Negri that they did not expect to ski with their assigned buddies down that run, which is consistent with the evidence of the guides that no such instruction was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There is no basis on which to find that Mr. Kennedy reasonably relied on Mr. Coe to do anything more than ski with him through the forest in accordance with the instructions of the guides.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 relied on an admission of Mr. Coe that he was required to notify the guide immediately if his buddy disappeared, submitting that this admission defined the duty of care. However, this admission was made by Mr. Coe in an examination for discovery (which answers he confirmed were true) in response to questions that were posed regarding the guide's instructions about keeping his buddy in sight at all times. The evidence and my findings establish that these instructions were given in the context of skiing through the forest run only. Therefore, such an admission does not define the duty of care of a ski buddy outside that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There is no question that there are many inherent risks in back-country heli-skiing such that all skiers and snowboarders who agree to be buddies should look out for each other so far as is practicable in whatever circumstances they may find themselves. However, translating a moral obligation into a legal one requires as a first step a relationship of proximity that meets the factors established in the jurisprudence I have reviewed. For the reasons I have outlined, I conclude that none of the three factors in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 xml:space="preserve"> support the imposition of a positive duty to act in the circumstances of this case, and the plaintiff has failed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 skier participating in guided, back-country skiing who agrees to be assigned as a ski buddy with another skier on a particular run is not, without more, in a relationship of sufficient proximity to give rise to a duty of care to the other skier when they are not skiing as buddies on other runs. The "more" may require clear instructions from the guides or a clearly defined mutual understanding between ski buddies of their roles and responsibilities to each other in varying terrain, snow conditions and other circumstances, which would be subject to an analysis of the contrary policy considerations at stage two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Given this conclusion, it is not necessary to consider the second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2.</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The standard of care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light of the findings I have made and the novelty of the issue of proximity, I consider it appropriate to address the question of whether Mr. Coe met the standard of care, assuming that he did owe a duty of care to Mr. Kennedy.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evidence and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Despite the fact that Mr. Coe had not skied the log cut with Mr. Kennedy, he nevertheless looked out for him once he reached the regroup spot at the bottom. He testified that when he reached the bottom and took off his skis, he looked up the slope "as I always do" and immediately noticed Mr. Kennedy's absence, at which point he alerted Mr. Widas.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plaintiff submitted that Mr. Coe's evidence about this should not be accepted because it is inconsistent with the evidence of the guides, neither of whom said that Mr. Coe approached them, and it is inconsistent with two prior written statements Mr. Coe made about these events. I do not accept this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As outlined above, I have found that Mr. Coe told Mr. Widas of Mr. Kennedy's absence after he noticed that Mr. Kennedy was not visible on the slope above the lunch spot, and that this occurred before either Dr. Negri or Mr. Streadwick arrived. Mr. Widas did not have a clear recollection of the sequence of events before he called the search. He said that they did a head count as soon as Mr. Streadwick arrived and he remembered asking Mr. Coe when he last saw Mr. Kennedy. This is not inconsistent with Mr. Coe's assertion that he had already notified Mr. Widas before Mr. Streadwick arrived. Mr. Streadwick simply noted that they would not know they were one person short until he, as the tail guide, arrived at the pick-up, or lunch spot.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Mr. Coe's first statement, made on January 14, 2009, he did not mention that he called Mr. Widas over but rather stated that Mr. Widas asked who was missing, and he answered "Mark". In his second statement, made March 24, 2011, Mr. Coe stated that he discussed Mr. Kennedy's absence with others in the group and notified the "rear guide".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Coe quite candidly acknowledged that his prior statements differed from his testimony but maintained that he called Mr. Widas over to say that Mr. Kennedy was missing, adding that Mr. Streadwick appeared as this conversation was going on. I found Mr. Coe's evidence to be consistent with the evidence of Mr. Streadwick, who said that he knew Mr. Kennedy was missing less than a minute after he arrived, and with the evidence of Dr. Negri, who said that Mr. Widas asked him if he had seen Mr. Kennedy as he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As discussed above, the evidence does not establish with any precision how long it took Mr. Coe to notify Mr. Widas once he reached the lunch spot. However, I accept Mr. Coe's evidence that he did so shortly after he took off his skis, looked up the slope, and noticed that he could not see Mr. Kennedy. This likely occurred within about one to three minutes in light of my finding that the entire time frame from Mr. Coe's departure from the top of the log cut to Mr. Streadwick's arrival at the bottom was within a range of about three to six minutes.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The standard of care in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Both counsel referred to the description of the standard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set out in </w:t>
      </w:r>
      <w:r>
        <w:rPr>
          <w:rFonts w:ascii="arial" w:eastAsia="arial" w:hAnsi="arial" w:cs="arial"/>
          <w:i/>
          <w:color w:val="000000"/>
          <w:sz w:val="20"/>
          <w:lang w:val="en-US" w:eastAsia="en-US" w:bidi="ar-SA"/>
        </w:rPr>
        <w:t>Ryan v Victoria (City of)</w:t>
      </w:r>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xml:space="preserve">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Conduct is negligent if it creates an objectively unreasonable risk of harm. To avoid liability, a person must exercise the standard of care that would be expected of an ordinary, reasonable and prudent person in the same circumstances. The measure of what is reasonable depends on the facts of each case, including the likelihood of a known or foreseeable harm, the gravity of that harm, and the burden or cost which would be incurred to prevent the injury. In addition, one may look to external indicators of reasonable conduct, such as custom, industry practice, and statutory or regulatory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plaintiff submitted that the standard of care of a reasonable and prudent ski buddy required Mr. Coe to maintain contact with Mr. Kennedy and to alert the guides as soon as he determined that Mr. Kennedy was missing. She did not rely on a failure to maintain contact but argued that Mr. Coe breached the standard of care by failing to immediately notify the guides, as any delay in the context of back-country skiing is unacceptable.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my view, in the context of guided, back-country skiing, there cannot be a strict requirement of immediacy in notifying the guides of a missing skier. Timing will depend on the circumstances and the information available to a skier.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evidence of the guides and the expert witnesses shows that skiers often become separated from their partners or their group for a variety of reasons. Mr. Widas noted the difficulties of keeping in contact due to the terrain, the various hazards, trees, shrubs or rocks. Mr. Streadwick said that it is common for ski buddies to become separated on almost every forest run, as it is virtually impossible to keep in constant visual or vocal contact. If someone is late arriving at a regroup spot, it is a matter of common sense to wait several minutes before assuming that a search needs to be called. His description that "it is not black and white in the mountains" is an apt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This was demonstrated earlier in the day on January 11, 2009. At the top of the log cut, one of the guests arrived at the regroup site without his buddy, and the group waited some time for the buddy to arrive, possibly between 5 and 10 minutes according to Mr. Coe and Dr. Negri.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 Zacharias' view was consistent with Mr. Streadwick's observations that maintaining visual or vocal contact can be difficult and frequently skiers arrive at regroup sites without their partners. In his opinion, unless a skier witnesses his partner falling, a temporarily missed partner is assumed to be en route to the next regroup site, and it is reasonable to expect people to wait several minutes for their partner to appear before informing the guide. He also pointed out that the seriousness of any situation will be more apparent to an experienced guide than it will be to a guest. Mr. Heywood advocated a more proactive approach, but agreed that it is human nature to wait a few moments before notifying the guide.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All of these comments were made in the context of skiers who become separated from their buddies while partner skiing, but they are nonetheless relevant in any situation where a skier notices that another skier with whom he or she has skied is missing.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log cut was described by the guides as intermediate terrain and they did not expect any of the skiers in the group to have difficulty with it. At the same time, it was reasonably easy to see the skiers as they descended the slope. In this context, I have found that Mr. Coe notified Mr. Widas of Mr. Kennedy's absence shortly after he reached the bottom of the log cut, within about one to three minutes. In my opinion, this was a reasonable period of time in the circumstances. Mr. Coe also told Mr. Widas where he thought he last saw Mr. Kennedy. I agree with the defendant's submission that this was all that was expected of him. Once the guides were aware of the situation, the obligation to assess the situation and institute a search was theirs, and Mr. Coe had no further role to 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Therefore, if there is a duty of care, I am satisfied that Mr. Coe met the standard of care required of him and was not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3.</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Breach of contract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plaintiff submitted that the requisite elements of offer, acceptance and consideration are present on the facts of this case: Mr. Coe agreed to be Mr. Kennedy's ski buddy and in exchange, Mr. Kennedy agreed to be Mr. Coe's ski buddy. She says that at a minimum, the terms of the contract between the two included the duties of a ski buddy, which in turn included the duty to ski in close proximity to each other and to immediately alert the guides if the other needed assistance or disappeared.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It is my view that the nature of any obligations assumed by Mr. Coe and Mr. Kennedy was not contractual. There is no basis on which to find the existence of a contract or any contractual intention. Even if there was an agreement that included the terms asserted by the plaintiff, such terms could only have applied in the forest, given my finding that Mr. Kennedy did not reasonably rely on Mr. Coe to do anything more than ski with him through the forest in accordance with the instructions of the guides. Moreover, there is no basis on which to find that Mr. Coe was in default of any obligation to immediately alert the guides, given my finding that Mr. Coe notified Mr. Widas of Mr. Kennedy's absence within a reasonable time after he reached the bottom of the log cut.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Accordingly, the claim in contract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Given these conclusions, it is unnecessary to consider the issue of causation, the defences raised or the question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plaintiff's claim is dismissed. It is indeed very sad that Mr. Kennedy met a tragic and untimely death, but he did so after a terrible accident while participating in a high-risk sport and responsibility for his death cannot be placed on Mr. Coe.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Neither party made submissions on costs nor sought a later opportunity to do so. As the successful party, the usual rule applies and the defendant is entitled to his costs, which I will set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FISHER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9"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King v. Horth, [2009] B.C.J. No. 1634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 Johnston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9-12, April 2-3, 14-17 and May 27,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14,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07-5070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1634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1114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2164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181 A.C.W.S. (3d) 712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Michael Harold King, Plaintiff, and Genevieve Brigitte Horth, Janis Lynn Thomas and Gary Terrence Thomas,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0"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7" w:name="Keywords_12"/>
      <w:bookmarkEnd w:id="87"/>
      <w:r>
        <w:rPr>
          <w:rFonts w:ascii="arial" w:eastAsia="arial" w:hAnsi="arial" w:cs="arial"/>
          <w:b/>
          <w:color w:val="000000"/>
          <w:sz w:val="20"/>
          <w:lang w:val="en-US" w:eastAsia="en-US" w:bidi="ar-SA"/>
        </w:rPr>
        <w:t>Damages — Physical and psychological injuries — Physical injuries — Body injuries — Neck — Action for damages for personal injuries allowed — Plaintiff suffered moderate soft tissue injuries to his neck and shoulder in a motor vehicle accident, resulting in headaches — He was able to continue with most of his recreational activities at a reduced level — Plaintiff awarded $35,000 in non-pecuniary damages, $5,000 for lost future earning capacity, $240 for lost past earnings, and $1,957 in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Loss of earning capacity — Non-pecuniary loss — Action for damages for personal injuries allowed — Plaintiff suffered moderate soft tissue injuries to his neck and shoulder in a motor vehicle accident, resulting in headaches — He was able to continue with most of his recreational activities at a reduced level — Plaintiff awarded $35,000 in non-pecuniary damages, $5,000 for lost future earning capacity, $240 for lost past earnings, and $1,957 in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Stopping — Action for damages for personal injuries allowed — The plaintiff and the defendant Thomas were stopped at stop signs on either side of a street being travelled by the defendant Horth — Thomas turned into Horth's path, was struck from behind, and then struck the plaintiff's stationary vehicle — Thomas was entirely to blame for the accident — Although she had been allowed a gap in the southbound traffic she entered the northbound lane without stopping when either her vision was obscured or it was not safe to do so.</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8" w:name="Case Summary_11"/>
            <w:bookmarkEnd w:id="8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Claim for damages for injuries arising out of a three-vehicle motor vehicle accident. The plaintiff argued the collision was caused or contributed to by the joint or several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Horth and Janis Thomas, and that the defendant Gary Thomas was at law responsible for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Janis Thomas. All defendants denied liability, and in the end, the claim against Janis Horth was dismissed. The plaintiff claimed to have suffered soft tissue injuries to his neck, upper back and left shoulder, plus regular and debilitating headaches and a tingling sensation in his left arm. He claimed the injuries had dramatically affected his enjoyment of life, had affected his income-earning capacity, and would lead to costs and expenses in the future. He claimed upwards of $110,000 in non-pecuniary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9" w:name="Holdings of Court_10"/>
            <w:bookmarkEnd w:id="89"/>
            <w:r>
              <w:rPr>
                <w:rFonts w:ascii="arial" w:eastAsia="arial" w:hAnsi="arial" w:cs="arial"/>
                <w:color w:val="000000"/>
                <w:sz w:val="20"/>
                <w:lang w:val="en-US" w:eastAsia="en-US" w:bidi="ar-SA"/>
              </w:rPr>
              <w:t>HELD: Plaintiff awarded $42,197 in damages against the defendant J.</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Thomas. The defendant Janis Thomas was entirely to blame for the accident. She left a stop sign when it was not safe to do so, and although she had been allowed a gap in the southbound traffic, entered the northbound lane of Wilkinson Road without stopping when either her vision was obscured or, at minimum, it was not safe to enter that lane. The plaintiff, who was stopped properly at the stop sign controlling his direction of travel on Roy Road, bore no responsibility for the accident. Based on the evidence, the plaintiff sustained a soft tissue injury to the region of his neck and left shoulder in the accident. He had some headaches which were likely caused by those injuries. However, the severity of the injury was not as bad as the plaintiff claimed. It had not significantly reduced the time he had spent at work. He had been able to continue with most of his recreational activities at a reduced level. He was awarded $35,000 in non-pecuniary damages. He was awarded $240 for loss of the first week of work after the accident. The injuries he had suffered would not significantly interfere with his ability to do either of his present jobs, so long as he modified the type of gardening work he took on and tolerated possible additional discomfort from prolonged sitting. His work options had been somewhat reduced, and he was awarded $5,000 for future loss of income. No order was made for cost of future care. Special damages of $1,957 were awarded, including physiotherapy and chiropractic treatments for 2006-2007, plus amounts for medications and travel. No failure to mitigate had been proven.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0" w:name="Legislation Cited_11"/>
      <w:bookmarkEnd w:id="9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1"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314" w:history="1">
        <w:r>
          <w:rPr>
            <w:rFonts w:ascii="arial" w:eastAsia="arial" w:hAnsi="arial" w:cs="arial"/>
            <w:i/>
            <w:color w:val="0077CC"/>
            <w:sz w:val="20"/>
            <w:u w:val="single"/>
            <w:shd w:val="clear" w:color="auto" w:fill="FFFFFF"/>
            <w:lang w:val="en-US" w:eastAsia="en-US" w:bidi="ar-SA"/>
          </w:rPr>
          <w:t>RSBC 1996, CHAPTER 318, s. 84</w:t>
        </w:r>
      </w:hyperlink>
      <w:r>
        <w:rPr>
          <w:rFonts w:ascii="arial" w:eastAsia="arial" w:hAnsi="arial" w:cs="arial"/>
          <w:color w:val="000000"/>
          <w:sz w:val="20"/>
          <w:lang w:val="en-US" w:eastAsia="en-US" w:bidi="ar-SA"/>
        </w:rPr>
        <w:t>, s. 249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1" w:name="Counsel_12"/>
      <w:bookmarkEnd w:id="9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2" style="position:absolute;z-index:2517739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D.A. Acheson, Q.C. and K.D. Duncan.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Genevieve Horth: S. Finn.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Janis Thomas and Gary Thomas: S.J. Harper.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2" w:name="Judgment_12"/>
      <w:bookmarkEnd w:id="92"/>
      <w:r>
        <w:pict>
          <v:line id="_x0000_s1093" style="position:absolute;z-index:2518251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3" w:name="R. JOHNSTON J."/>
            <w:bookmarkEnd w:id="93"/>
            <w:r>
              <w:rPr>
                <w:rFonts w:ascii="arial" w:eastAsia="arial" w:hAnsi="arial" w:cs="arial"/>
                <w:b/>
                <w:color w:val="000000"/>
                <w:sz w:val="30"/>
                <w:lang w:val="en-US" w:eastAsia="en-US" w:bidi="ar-SA"/>
              </w:rPr>
              <w:t>R. JOHNSTON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claim for damages for injuries arising out of a motor vehicle accident involving three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Michael Harold King, has pleaded that the collision was caused or contributed to by the joint or several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Genevieve Brigitte Horth and/or Janis Lynn Thomas, and that the defendant Gary Terrence Thomas is at law responsible for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Janis Lynn Thomas. The trial proceeded on that basis, as all defendants denied liability. In final argument, Mr. King abandoned any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Ms. Horth.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Both the liability of the defendants Thomas and quantum of any damages are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asserts that he suffered soft tissue injuries to his neck, upper back, and left shoulder, together with regular and debilitating headaches and a tingling sensation in his left arm. The plaintiff says that these injuries have dramatically affected his enjoyment of life, have affected his income-earning capacity, and will lead to costs and expense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January 16, 2006, Mr. King was stopped at a stop sign on Roy Road where it intersects with Wilkinson Road in Saanich, B.C. Mr. King intended to turn right onto Wilkinson Road. He was looking to his right when his vehicle was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King's evidence as to whether he had seen the vehicle that struck him before the impact is inconsistent.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Neither of the defendant drivers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Constable Williams of the Saanich Police was one of two police officers who investigated the accident. He had no recollection of any of the details and his evidence was based almost entirely on a Motor Vehicle Accident Occurrence Report form that he and a fellow officer completed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accident report is required by s. 249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Some of the information recorded on the form was provided by the three drivers of the three vehicles involved, as they were obliged to do pursuant to s. 84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combined duties, of the police to record and the drivers to cooperate, tend to enhance the reliability of the information recorded.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Testifying with the assistance of the form, Constable Williams said that one of the vehicles involved in the accident was a 1998 Nissan operated by Ms. Thomas. That vehicle was damaged on its right rear corner and left rear bumper.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other vehicle involved, a 1998 Volkswagen, was operated by Ms. Horth. That vehicle had damage to its front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third vehicle, driven by Mr. King, was damaged in the area of its driver's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King read in certain discovery evidence of Ms. Thomas. According to the discovery evidence, Ms. Thomas had been stopped at a stop sign on Roy Road where it intersects with Wilkinson Road just prior to the accident. Mr. King was stopped at the stop sign across the intersection from Ms. Thomas. Ms. Thomas intended to cross Wilkinson Road, which was the through road in this intersection. Both streets have two lanes, one in each direction. Although the directions are at best a generalization, for the purpose of this decision, Wilkinson Road is considered as running in a north-south direction, while Roy Road is considered as east-west. Ms. Thomas said that the traffic on Wilkinson Road that had been moving from her left to her right in the first lane and that she would have to cross had stopped, and that a driver had left a gap to permit her to enter onto Wilkinson Road. She drove onto Wilkinson Road, first moving slowly across the southbound lane and then, without stopping, she entered the northbound lane of Wilkinson Road. Ms. Thomas said she was struck by Ms. Horth's vehicle, which was travelling northbound on Wilkinson Road, when she was almost completely across Wilkinson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Thomas gave a very similar statement in a telephone interview recorded by an adjuster employed by the Insurance Corporation of British Columbia (ICBC) shortly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King also read in discovery evidence from Ms. Horth. Ms. Horth testified that she was driving northbound on Wilkinson Road at between 45 km/h and 50 km/h when Ms. Thomas' vehicle, which was on her left, drove away from the stop sign on Roy Road, came through a gap in the stopped traffic in the southbound lane, and into her path. Ms. Horth said that when Ms. Thomas entered the intersection Ms. Horth did not have sufficient time or distance in which she could avoid colliding with Ms. Thomas.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This evidence is consistent with the description of damage to the vehicles given by Constable Williams.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After she was struck by Ms. Horth, Ms. Thomas lost control of her vehicle and collided with Mr. King's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find that Ms. Thomas is entirely to blame for the accident. She left a stop sign when it was not safe to do so and, although she had been allowed a gap in the southbound traffic, she entered the northbound lane of Wilkinson Road without stopping when either her vision was obscured or, at minimum, it was not safe to enter that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King, who was stopped properly at the stop sign controlling his direction of travel on Roy Road, bears no responsibility for the accident. Liability is assessed as 100% against Ms. Thomas.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Throughout the trial, the defendants mounted a concerted attack on Mr. King's credibility. Because of that, the decision of McEachern C.J.S.C. in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decided in 1982, and reported in </w:t>
      </w:r>
      <w:hyperlink r:id="rId315" w:history="1">
        <w:r>
          <w:rPr>
            <w:rFonts w:ascii="arial" w:eastAsia="arial" w:hAnsi="arial" w:cs="arial"/>
            <w:i/>
            <w:color w:val="0077CC"/>
            <w:sz w:val="20"/>
            <w:u w:val="single"/>
            <w:shd w:val="clear" w:color="auto" w:fill="FFFFFF"/>
            <w:lang w:val="en-US" w:eastAsia="en-US" w:bidi="ar-SA"/>
          </w:rPr>
          <w:t>(1986), 70 B.C.L.R. 397</w:t>
        </w:r>
      </w:hyperlink>
      <w:r>
        <w:rPr>
          <w:rFonts w:ascii="arial" w:eastAsia="arial" w:hAnsi="arial" w:cs="arial"/>
          <w:color w:val="000000"/>
          <w:sz w:val="20"/>
          <w:lang w:val="en-US" w:eastAsia="en-US" w:bidi="ar-SA"/>
        </w:rPr>
        <w:t xml:space="preserve">, pp. 398-399, </w:t>
      </w:r>
      <w:hyperlink r:id="rId315" w:history="1">
        <w:r>
          <w:rPr>
            <w:rFonts w:ascii="arial" w:eastAsia="arial" w:hAnsi="arial" w:cs="arial"/>
            <w:i/>
            <w:color w:val="0077CC"/>
            <w:sz w:val="20"/>
            <w:u w:val="single"/>
            <w:shd w:val="clear" w:color="auto" w:fill="FFFFFF"/>
            <w:lang w:val="en-US" w:eastAsia="en-US" w:bidi="ar-SA"/>
          </w:rPr>
          <w:t>13 A.C.W.S. (2d) 318</w:t>
        </w:r>
      </w:hyperlink>
      <w:r>
        <w:rPr>
          <w:rFonts w:ascii="arial" w:eastAsia="arial" w:hAnsi="arial" w:cs="arial"/>
          <w:color w:val="000000"/>
          <w:sz w:val="20"/>
          <w:lang w:val="en-US" w:eastAsia="en-US" w:bidi="ar-SA"/>
        </w:rPr>
        <w:t>, are apposite: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Perhaps no injury has been the subject of so much judicial consideration as the whiplash. Human experience tells us that these injuries normally resolve themselves within six months to a year or so. Yet every physician knows some patients whose complaint continues for years, and some apparently never recover. For this reason, it is necessary for a court to exercise caution and to examine all the evidence carefully so as to arrive at fair and reasonable compensation. Previously decided cases are some help (but not much, because obviously every case is different).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Butler v. Blaylock,</w:t>
      </w:r>
      <w:r>
        <w:rPr>
          <w:rFonts w:ascii="arial" w:eastAsia="arial" w:hAnsi="arial" w:cs="arial"/>
          <w:color w:val="000000"/>
          <w:sz w:val="20"/>
          <w:lang w:val="en-US" w:eastAsia="en-US" w:bidi="ar-SA"/>
        </w:rPr>
        <w:t xml:space="preserve"> </w:t>
      </w:r>
      <w:hyperlink r:id="rId316"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 decided 7th October 1981, Vancouver No. B781505 (unreported), I referred to counsel's argument that a defendant is often at the mercy of a plaintiff in actions for damages for personal injuries because complaints of pain cannot easily be disproved. I then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not stating any new principle when I say that the court should be exceedingly careful when there is little or no objective evidence of continuing injury and when complaints of pain persist for long periods extending beyond the normal or usual recovery.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 that his complaints of pain are true reflections of a continuing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Although there is medical support for some of the plaintiff's assertions respecting his injuries, there is also good reason to closely examine the plaintiff's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first reason to approach the plaintiff's evidence with caution arises out of another motor accident that Mr. King was involved in, which occurred in 1993. Mr. King was driving an automobile that left the roadway and went over a steep embankment. His former wife was a passenger in the vehicle at the time. When the vehicle went over the embankment, the plaintiff managed to jump free, but his former wife was significantly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King's former wife claimed for either accident benefits or damages arising out of the accident. Mr. King admitted at trial that he exaggerated the manner in which the accident occurred in a statement that he gave to an ICBC adjuster following that accident. He did so in order to appear more negligent and, thus, enhance his then wife's claim for damages arising out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well, the circumstances of that accident gave rise to criminal charges. Mr. King was charged with attempting to murder his former wife, was convicted by a jury, and his appeal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 second concern respecting Mr. King's credibility relates to his claim for loss of earning capacity arising out of this accident. This claim centers around his assertion that he would have been capable of earning greater income as a gardener had he not been injured in this accident. Prior to this accident the plaintiff did not record, in any fashion, the income he claims that he earned as a gardener, nor did he declare that income on his income tax returns. There is some evidence from a former employer that he had employed Mr. King as a gardener before the accident, however, that employer kept no record of the plaintiff's work hours or his wages.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a document he submitted to ICBC in February 2006, the plaintiff stated his occupation as a surveyor. He did not mention any work as a gardener. Mr. King testified that he felt it was advisable not to refer to his gardening income in his dealings with ICBC, at least in the beginning, because that income had been earned "under the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Third, in his evidence in chief, Mr. King testified that he did not see either of the two vehicles involved in the accident before the accident occurred. He also testified that he did not recall details of the two other vehicles involved in the accident or, specifically, the make of either vehicle. After the lunch break, Mr. King returned to the witness stand and said that he did recall seeing Ms. Thomas' motor vehicle (a Nissan) stopped at the stop sign on Roy Road across from him. He then said that after the accident he recalled seeing a Nissan off to the side of the road and assumed it was the same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When asked what had led to this improvement in his memory over the lunch break, Mr. King said that he had been thinking it over while eating lunch and talking, and he recalled that he had given more detail during his examination for discovery. Counsel did not pursue who Mr. King had been talking to or whether he had some help in remembering more details of the accident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Another issue is Mr. King's inconsistency respecting his estimate of hours worked at his telephone surveying job. At the time of the accident, Mr. King was employed to conduct telephone surveys at a company called Malatest. His hours were sufficiently flexible that he could fit in his gardening work around the telephone survey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the February 2006 document that he completed for ICBC, he estimated that he worked 34 hours per week as a telephone surveyor. At trial, he said a more accurate estimate of his hours before the accident would be 20 hours per week. Mr. King testified that because of the injuries from the accident he had difficulty working more than 14 hours a week as a telephone surveyor. In an email he sent to Dr. Parenteau, his chiropractor, in November 2008, he estimated that he spent 26 hours a week at the survey job, and 14 hours as a gardener.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records of Malatest show that in the first six months of 2005, Mr. King worked around four hours a day, three or four days a week. In the last six months of 2005, Mr. King worked mostly four days a week, and in the last three months, his hours ranged from about 25 hours to just over 30 hours a week, with two weeks at 34 and 35 hours, respectively. Overall, for that employer, Mr. King worked 1,018 hours in 2004, 742.25 hours in 2005, 646.5 hours in 2006, 699.75 hours in 2007, and 719.5 hours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work at Malatest is sufficiently flexible that Mr. King can request as many or as few hours as he wishes or feels able to work. He may structure his hours so as to be able to do gardening work in the morning, then go to Malatest in the afternoon and evening. Further, part of the explanation for the drop in hours worked in 2006, as compared to 2005, may lay in the fact that Malatest's records show that Mr. King did not work at all between August 10 and November 5 of that year. Mr. King could not explain this gap in his work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Following the accident, Mr. King said he did not think he was injured, but that when he got home he started to feel "rough" with an ache in his shoulder. He says he woke up at 3:00 a.m. the following morning with what he described as a shattering headache and a feeling in his neck as though it was seizing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King saw Dr. Duvenage, his regular doctor, the following morning, and was advised to start physiotherapy, which he did within a day or so. He was also prescribed Tylenol 3 and an anti-inflammatory.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King says he was off work for about a week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About a week after the accident, Mr. King returned to gardening. He said that he found it difficult to lift items, and he would feel pain if he got down on his hands and knees and had to lean on his left arm. Additionally, his neck was quite uncomfortable.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When he resumed working at Malatest, he said that he had difficulty sitting for five to six-and-a-half hour shifts.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Over the first several months following the accident, Mr. King took physiotherapy. Later on, in the spring of 2006, he started a pool therapy program, which he said was fairly effective and enjoyable. He says that so long as he kept doing the pool therapy, his pain hovered between 4 and 6 or 7 on a scale of 10, but that when he got extreme headaches at night, his pain would be in the range of 8 out of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King often worked until 8:00p.m. or 9:00 p.m. conducting telephone surveys, and he testified that he found that it was difficult to get to sleep when he got home. If he got a headache, it would wake him up at around 3:00 a.m. He would take Tylenol 3 to get back to sleep, and when he tried to get up at 6:30 a.m., his usual wake-up time, he would feel groggy from the effect of the pills and the lack of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December 2006, Mr. King started treatment with Dr. Parenteau, a chiropractor. He says he found chiropractic treatment beneficial, reducing his discomfort from a six level to a four level for two to three weeks following each treatment. Dr. Parenteau's opinion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King has suffered a sprain/strain injury to the neck and upper back region as a result of the January 16, 2006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Parenteau also concluded that Mr. King's injuries were complicated by the fact that he had his head turned to the right when he was struck. The doctor also says that the accident contributed to the occurrence of Mr. King's complaints of numbness in both hands. Dr. Parenteau treated Mr. King and recommended that Mr. King continue treatment on an as-needed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Parenteau spent considerable time under cross-examination. He had provided drafts of his opinion to Mr. King and to counsel, and this aroused suspicion that he was seeking the approval of the plaintiff or his counsel regarding the contents of the draft report. Dr. Parenteau testified that he wanted to ensure that he had not misunderstood what Mr. King had told him, and that nothing in the exchange of messages that followed in any way influenced or altered his opinion. I am satisfied that Dr. Parenteau was seeking confirmation that he had correctly understood what Mr. King had told him, and was not inviting input into his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Throughout 2006, Mr. King says that he had pain primarily in the left side of the back of his neck, down his shoulders to the middle of his shoulder blades and into his left arm. He would get headaches on an average of three or four times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November 2006, Mr. King saw Dr. MacKean, a specialist in physical medicine and rehabilitation. Dr. MacKean's examination revealed a full range of motion of the plaintiff's shoulders. Mr. King described pulling sensations during cervical spine motion and said that he felt the most discomfort in the upper neck and into the left upper shoulder and shoulder blade region on the doctor's palpation of his upper body. Dr. MacKean's impression, at that time, was that Mr. King had suffered a whiplash type of injury, which, in turn, had contributed to his headache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June 2008, Mr. King changed doctors from Dr. Duvenage to Dr. Coburn. Dr. Coburn's report is in evidence and it is very brief. His diagnosis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Persistent neck pain following a motor vehicle accident clinically diagnosed as:</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neck strain/whiplash type injury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There is then a diagnosis of disc herniation, which all counsel agreed at trial arose from an artefact appearing on a diagnostic image that was not actually present, and should be disregarded.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Coburn's opinion is of limited utility, partly because of its brevity, but more because of the lack of facts or because the assumptions upon which the diagnosis is based, by way of examination results, observations or the like, are not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There was no opinion tendered from Dr. Duvenage, the physician initially consulted by Mr. King and the doctor who presumably treated him from the time of the accident until June 2008. Quite apart from any opinion, there was no evidence of any observations Dr. Duvenage may have had relating to Mr. King's condition in the first year and a half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September 2008, Mr. King saw Dr. Vincent, a specialist in anaesthesiology with a particular interest in pain management. Dr. Vincent recommended nerve block injections to the cervical spine. Mr. King was very reluctant to have that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Vincent's report refers to a bulging disc at the C-7 level of Mr. King's neck and, by admission, the parties agree that the disc bulge is not really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King eventually overcame his reluctance and had a nerve block injection from Dr. Vincent. Mr. King reported immediate improvement in pain and his neck range of motion. Dr. Vincent's opinion was that Mr. King had a strain to his upper left neck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King was referred to a neurologist by Dr. Coburn. There was no opinion or report from that neurologist.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Additionally, Mr. King was seen by another neurologist at the request of one of the defendants. That neurologist's opinion or report was not tendered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accept that Mr. King sustained a soft tissue injury to the region of his neck and left shoulder in the accident. I accept his evidence that he has had some headaches, and I accept Dr. MacKean's opinion that the headaches are likely caused by the soft tissue injuries to the neck and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so doing, I have relied on the opinions of Dr. MacKean, Dr. Vincent, Dr. Parenteau and, to a lesser extent because I do not really know the basis of his opinion, Dr. Coburn.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As to the severity of the injury, I have not been persuaded that it has been as bad as Mr. King testified. It does not seem to have significantly reduced the time he has spent at work, at least work that is capable of independent verification.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King seeks an award for non-pecuniary damages for chronic soft tissue injuries and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purpose of non-pecuniary damage awards is to compensate the plaintiff for "pain, suffering, loss of enjoyment of life and loss of amenities": </w:t>
      </w:r>
      <w:r>
        <w:rPr>
          <w:rFonts w:ascii="arial" w:eastAsia="arial" w:hAnsi="arial" w:cs="arial"/>
          <w:i/>
          <w:color w:val="000000"/>
          <w:sz w:val="20"/>
          <w:lang w:val="en-US" w:eastAsia="en-US" w:bidi="ar-SA"/>
        </w:rPr>
        <w:t>Jackson v. Lai,</w:t>
      </w:r>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2007 BCSC 1023</w:t>
        </w:r>
      </w:hyperlink>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[2007] B.C.J. No. 1535</w:t>
        </w:r>
      </w:hyperlink>
      <w:r>
        <w:rPr>
          <w:rFonts w:ascii="arial" w:eastAsia="arial" w:hAnsi="arial" w:cs="arial"/>
          <w:color w:val="000000"/>
          <w:sz w:val="20"/>
          <w:lang w:val="en-US" w:eastAsia="en-US" w:bidi="ar-SA"/>
        </w:rPr>
        <w:t xml:space="preserve">, at para. 134;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83 D.L.R. (3d) 452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King's evidence was that he could not do what he used to be able to do at work, at home, or in his leisure activities. His wife corroborated some of Mr. King's evidence. She described his interrupted sleep patterns since the accident, and said that Mr. King is restricted from doing the kind of heavier work around their apartment that he did routinely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and Ms. King continue to go hiking, camping and kayaking since the accident. However, Ms. King says that she now does many of the things Mr. King used to do when they go camping, and that their hiking and kayaking outings are shorter than they were before the accident, with Mr. King carrying lighter loads on the hikes.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bear in mind that the injuries from this accident are part of a chain of injuries, which include low back strain from working as a stone mason, getting hit on the head by a golf ball, and one or more falls. Each of these incidents has caused some form of injury, although none have been shown to have had any significant lasting effect. These incidents do show, however, that at age 53, the outdoor portions of Mr. King's employment have exposed him to the risk of injuries, and those injuries have, in turn, exposed him to the risk of having some portion of his income interrupted. I have not been persuaded that any changes in the frequency of those activities or the enjoyment derived from them have been caused by injuries suffered in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King has been able to continue with most of his recreational activities, at a reduced level. He has become moody and irritable, according to his wife. She connects most of the changes she has observed to her husband's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has put forward authorities that establish a range of non-pecuniary damages between $50,000 and $110,000. Those authorities arose from claims involving plaintiffs with fewer and less serious questions concerning credibility. In addition, I am concerned about the lack of evidence from the treating doctor in the period immediately after the accident. Doing the best I can with the evidence before me, I conclude that Mr. King's injuries are on the mild side of moderate soft tissue injuries, and I award $35,000.00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income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King claims an award for past and future loss of income earning capacity/opportunity from both his employment at Malatest and his job as a self-employed landscaper. Mr. King suggests that an award of $35,000 for past lost wages would be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A claim for past wage loss is a claim for the "loss of the value of work that the plaintiff would have performed but was unable to perform because of the injury":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shd w:val="clear" w:color="auto" w:fill="FFFFFF"/>
            <w:lang w:val="en-US" w:eastAsia="en-US" w:bidi="ar-SA"/>
          </w:rPr>
          <w:t>39 B.C.L.R. (4th) 185</w:t>
        </w:r>
      </w:hyperlink>
      <w:r>
        <w:rPr>
          <w:rFonts w:ascii="arial" w:eastAsia="arial" w:hAnsi="arial" w:cs="arial"/>
          <w:color w:val="000000"/>
          <w:sz w:val="20"/>
          <w:lang w:val="en-US" w:eastAsia="en-US" w:bidi="ar-SA"/>
        </w:rPr>
        <w:t>,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award $240.00 for Mr. King's loss of the first week of work at Malatest after the accident. I have not been persuaded that the evidence is sufficient to enable me to award damages for loss of gardening income from the accident to trial. Assessment of the impact of Mr. King's injuries on his gardening business, already difficult because of the absence of pre-accident records, is made more difficult because Mr. King has said that he lost some clients when he raised his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purpose of this head of damages is to compensate the party for the loss of earning capacity as a capital asset, not to compensate for the lost earnings themselves: </w:t>
      </w:r>
      <w:r>
        <w:rPr>
          <w:rFonts w:ascii="arial" w:eastAsia="arial" w:hAnsi="arial" w:cs="arial"/>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p. 58, </w:t>
      </w:r>
      <w:hyperlink r:id="rId286" w:history="1">
        <w:r>
          <w:rPr>
            <w:rFonts w:ascii="arial" w:eastAsia="arial" w:hAnsi="arial" w:cs="arial"/>
            <w:i/>
            <w:color w:val="0077CC"/>
            <w:sz w:val="20"/>
            <w:u w:val="single"/>
            <w:shd w:val="clear" w:color="auto" w:fill="FFFFFF"/>
            <w:lang w:val="en-US" w:eastAsia="en-US" w:bidi="ar-SA"/>
          </w:rPr>
          <w:t>[1991] B.C.J. No. 16</w:t>
        </w:r>
      </w:hyperlink>
      <w:r>
        <w:rPr>
          <w:rFonts w:ascii="arial" w:eastAsia="arial" w:hAnsi="arial" w:cs="arial"/>
          <w:color w:val="000000"/>
          <w:sz w:val="20"/>
          <w:lang w:val="en-US" w:eastAsia="en-US" w:bidi="ar-SA"/>
        </w:rPr>
        <w:t xml:space="preserve"> (C.A.) citing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leave to appeal refused, </w:t>
      </w:r>
      <w:hyperlink r:id="rId319" w:history="1">
        <w:r>
          <w:rPr>
            <w:rFonts w:ascii="arial" w:eastAsia="arial" w:hAnsi="arial" w:cs="arial"/>
            <w:i/>
            <w:color w:val="0077CC"/>
            <w:sz w:val="20"/>
            <w:u w:val="single"/>
            <w:shd w:val="clear" w:color="auto" w:fill="FFFFFF"/>
            <w:lang w:val="en-US" w:eastAsia="en-US" w:bidi="ar-SA"/>
          </w:rPr>
          <w:t>[1991] S.C.C.A. No. 54</w:t>
        </w:r>
      </w:hyperlink>
      <w:r>
        <w:rPr>
          <w:rFonts w:ascii="arial" w:eastAsia="arial" w:hAnsi="arial" w:cs="arial"/>
          <w:color w:val="000000"/>
          <w:sz w:val="20"/>
          <w:lang w:val="en-US" w:eastAsia="en-US" w:bidi="ar-SA"/>
        </w:rPr>
        <w:t xml:space="preserve">. In order to be successful on his claim of future economic loss, Mr. King must show a substantial possibility of future income loss: see </w:t>
      </w:r>
      <w:r>
        <w:rPr>
          <w:rFonts w:ascii="arial" w:eastAsia="arial" w:hAnsi="arial" w:cs="arial"/>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320"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xml:space="preserve">, </w:t>
      </w:r>
      <w:hyperlink r:id="rId320" w:history="1">
        <w:r>
          <w:rPr>
            <w:rFonts w:ascii="arial" w:eastAsia="arial" w:hAnsi="arial" w:cs="arial"/>
            <w:i/>
            <w:color w:val="0077CC"/>
            <w:sz w:val="20"/>
            <w:u w:val="single"/>
            <w:shd w:val="clear" w:color="auto" w:fill="FFFFFF"/>
            <w:lang w:val="en-US" w:eastAsia="en-US" w:bidi="ar-SA"/>
          </w:rPr>
          <w:t>64 B.C.L.R. (4th) 152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King appears to be working fewer hours conducting telephone surveys now than he was before the accident. His claim for lost earning capacity centers around his assertion that, had the accident not occurred, he would have arranged his schedule so that he could have expanded his gardening work into trimming larger hedges on Fridays during the six to eight months that such work would be available and feasible. He suggests that an award of $150,000 to $200,000 would be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King testified that he had done some hedge trimming when he worked for Mr. Eversfield, and that he had begun to develop his own hedge-trimming work by knocking on doors and soliciting that work at properties where he saw large hedges that appeared to need trimming. He testified that he has tried to do such work since the accident, but has found that he cannot do it without a great deal of discomfort and some risk to himself because he has difficulty working over his head due to his neck and shoulder injuries. Mr. King acknowledged in cross-examination that since the accident, he has rented the kind of equipment suggestive of that sort of work, including orchard ladders, on several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MacKean has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will be limited with regards to his work activities in that he cannot do activities where he has to be looking up a lot or reaching overhead repetitively with his arms. He should also avoid higher risk physical activities such as skiing, where he would be more at risk of falling which could cause more problems with regards to his neck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Parenteau has suggested that Mr. King could continue his landscaping work, but with minimal to no overhead work such as pruning and cutting. He has also said that prolonged desk work at the surveying job will continue to aggravate neck symptoms, but he does not consider that to be "inappropriate or too demanding."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am not persuaded that injuries suffered in this accident will significantly interfere with Mr. King's ability to do either of his present jobs, so long as he modifies the type of gardening work he takes on, and tolerates possible additional discomfort from prolonged sitting at Malatest. On the whole of the evidence, I am not satisfied that Mr. King could make any additional income as a hedge trimmer than as a regular gardener doing lighter work. Any potential income loss Mr. King might suffer from the inability to do the heavier hedge trimming work, he is able to replace either by increasing the hours he spends at Malatest, which are more sedentary, or the hours he spends doing lighter forms of gardening. There was no satisfactory explanation as to why Mr. King has not been able to increase the hours he spends doing ordinary gardening to replace the hours he says he would have spent trimming large hedges.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Nevertheless, I am satisfied that Mr. King's capital asset, being the work options open to him, has been reduced somewhat as a result of the accident. Although I do not consider the reduction to be large, it does warrant some compensation, and I award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Claims for costs of future care must be reasonable and medically justifiable. The awards must be moderate and fair to both parties: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[1985] B.C.J. No. 2762</w:t>
        </w:r>
      </w:hyperlink>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49 B.C.L.R. (2d) 33</w:t>
        </w:r>
      </w:hyperlink>
      <w:r>
        <w:rPr>
          <w:rFonts w:ascii="arial" w:eastAsia="arial" w:hAnsi="arial" w:cs="arial"/>
          <w:color w:val="000000"/>
          <w:sz w:val="20"/>
          <w:lang w:val="en-US" w:eastAsia="en-US" w:bidi="ar-SA"/>
        </w:rPr>
        <w:t xml:space="preserve">, p. 84 (S.C.), aff'd </w:t>
      </w:r>
      <w:hyperlink r:id="rId322" w:history="1">
        <w:r>
          <w:rPr>
            <w:rFonts w:ascii="arial" w:eastAsia="arial" w:hAnsi="arial" w:cs="arial"/>
            <w:i/>
            <w:color w:val="0077CC"/>
            <w:sz w:val="20"/>
            <w:u w:val="single"/>
            <w:shd w:val="clear" w:color="auto" w:fill="FFFFFF"/>
            <w:lang w:val="en-US" w:eastAsia="en-US" w:bidi="ar-SA"/>
          </w:rPr>
          <w:t>[1987] B.C.J. No. 1833</w:t>
        </w:r>
      </w:hyperlink>
      <w:r>
        <w:rPr>
          <w:rFonts w:ascii="arial" w:eastAsia="arial" w:hAnsi="arial" w:cs="arial"/>
          <w:color w:val="000000"/>
          <w:sz w:val="20"/>
          <w:lang w:val="en-US" w:eastAsia="en-US" w:bidi="ar-SA"/>
        </w:rPr>
        <w:t xml:space="preserve">, </w:t>
      </w:r>
      <w:hyperlink r:id="rId322" w:history="1">
        <w:r>
          <w:rPr>
            <w:rFonts w:ascii="arial" w:eastAsia="arial" w:hAnsi="arial" w:cs="arial"/>
            <w:i/>
            <w:color w:val="0077CC"/>
            <w:sz w:val="20"/>
            <w:u w:val="single"/>
            <w:shd w:val="clear" w:color="auto" w:fill="FFFFFF"/>
            <w:lang w:val="en-US" w:eastAsia="en-US" w:bidi="ar-SA"/>
          </w:rPr>
          <w:t>49 B.C.L.R. (2d) 99</w:t>
        </w:r>
      </w:hyperlink>
      <w:r>
        <w:rPr>
          <w:rFonts w:ascii="arial" w:eastAsia="arial" w:hAnsi="arial" w:cs="arial"/>
          <w:color w:val="000000"/>
          <w:sz w:val="20"/>
          <w:lang w:val="en-US" w:eastAsia="en-US" w:bidi="ar-SA"/>
        </w:rPr>
        <w:t xml:space="preserve"> (C.A.); also see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have not been persuaded that injuries suffered in this accident will require any future expenditure for care in the form of physiotherapy or chiropractic treatments. Mr. King has taken prescription painkillers for his headaches. I will award the costs of those to the date of trial as part of special damages, but do not think that they will continue to be required, mostly on the basis of Dr. MacKean's evidence that the headaches are related to the soft tissue injuries to Mr. King's neck. While Dr. Coburn mentions analgesics, his written opinion does not support continued use of Tylenol 3 or other prescription medication. In my view, the evidence does not support the continuation of prescription pain killers.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King claims $2,678.13 in special damages, mostly for various forms of treatment, including physiotherapy and chiropractic treatments. With one exception, the treatment costs were incurred in 2006 and 2007, and I award $1,703.35 for physiotherapy and chiropractic treatments in those years. I am not persuaded that the treatment costs claimed for 2008 are attributable to injuries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There is an additional claim for $63.34 for medications, mostly painkillers containing codeine, taken for headaches. I award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also award $190.00 for the cost of travel to and from the treatments for which I have awarded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total for special damages therefore is $1,956.69.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defendants say the plaintiff's damages, or some of them, should be reduced because he has failed to act reasonably so as to avoid or minimize his losses. The basis of the argument is that Mr. King has not been diligent in following an exercise regime recommended to him by one or more therapists. The defendants point to Mr. King's explanation that he lacks motivation and that he is lazy.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view those concessions by Mr. King more as self-deprecation than admissions against interest because he testified that he exercises two or three times a week. That level of exercise, together with the bicycling, hiking and other activities that Mr. King and his wife engage in during their time off work, lead me to conclude that the defendants have not met the burden of showing that Mr. King has failed to act reasonably. I am also not convinced that any more exercise than he is doing would reduce Mr. King's symptoms in any meaningful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Ms. Thomas is 100% at fault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King is entitled to the following:</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$35,000.00 for non-pecuniary damages;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$240.00 for income loss to trial;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$5,000.00 for loss of earning capacity;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$1,956.69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Counsel may speak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 JOHNSTON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4"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29" w:history="1">
        <w:r>
          <w:rPr>
            <w:rFonts w:ascii="arial" w:eastAsia="arial" w:hAnsi="arial" w:cs="arial"/>
            <w:b/>
            <w:bCs/>
            <w:i/>
            <w:color w:val="0077CC"/>
            <w:kern w:val="32"/>
            <w:sz w:val="28"/>
            <w:szCs w:val="32"/>
            <w:u w:val="single"/>
            <w:shd w:val="clear" w:color="auto" w:fill="FFFFFF"/>
            <w:lang w:val="en-US" w:eastAsia="en-US" w:bidi="ar-SA"/>
          </w:rPr>
          <w:t>Kooner (Guardian ad litem of) v. Matsqui-Sumas- Abbotsford General Hospital, [2001] B.C.J. No. 1795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Garson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22 - 25, May 28 - June 1, June 4 - 8,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11 and 13 - 15,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7,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C991610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1795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1266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107 A.C.W.S. (3d) 1110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B.C.T.C. 1266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Harjevan Stephanie Kaur Kooner, by her Guardian ad litem, Kamaljit Kaur Kooner, and the said Kamaljit Kaur Kooner, plaintiffs, and Matsqui-Sumas-Abbotsford General Hospital, Dr. Ursula V. Asche, Dr. Norman Parkin, Carol Flegg and C. Horvath,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5"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4" w:name="Keywords_13"/>
      <w:bookmarkEnd w:id="94"/>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particular persons and relationships — Medical doctors and medical personnel — Causation — Duty of care — Whether the defendant took reasonable care — Hospitals — Liability of hospitals.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5" w:name="Case Summary_12"/>
            <w:bookmarkEnd w:id="9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victim, Kooner, against the tortfeasors, Matsqui-Sumas-Abbotsford General Hospital, Dr. Parkin and nurses Flegg and Horvath, for damages suffered by her child during her delivery. Kooner had a healthy pregnancy. Several weeks before her due date, Kooner's membranes ruptured and she began having contractions. Kooner was admitted to Abbotsford and was examined by the nurses and Parkin, who was a general practitioner. Her vital signs were normal, though she was leaking clear amniotic fluid. Upon examination, Parkin noted that Kooner was in the first stage of labour. As a result of Kooner's history, the ruptured membranes and the slight pre-maturity of the labour, Parkin conducted a test to determine if Kooner suffered from chorioamnionitis. The results of the test were negative. Kooner was monitored with an external electronic fetal monitor. During the first stage of labour, two separate ultra sound devices were used to record the maternal uterine contractions and the fetal heartbeat. A satisfactory fetal heartbeat was recorded during the first stage of labour. During the second stage of labour, the fetal heart beat recordings were within what was considered to be a normal range. Parkin assisted with the delivery of the child and encountered resistance when the baby's head was partially delivered. The umbilical cord was wrapped tightly around the baby's neck. Although he cut the cord twice in order to remove it, he had difficulty delivering the baby, who was in poor condition and required resuscitation. After the baby was delivered, Parkin had difficulty delivering the placenta. The placenta was sent for examination, whereby it was determined to be infected with chorioamnionitis. Kooner's child was born disabled. She suffered from severe cerebral palsy, was blind, was a quadriplegic and was fed by a gastric tube. She could not speak or communicate and required 24-hour daily care for the rest of her life. Kooner instituted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proceedings against Parkin, Abbotsford and the attending nurses for failing to detect, through fetal monitoring, that the child was being deprived of oxygen during the second stage of her labour. Kooner submitted that the oxygen deprivation caused the serious brain damage and resultant disabilities. Abbotsford denied that the parties were negligent and submitted that the fetal monitoring was performed within the appropriate standard of care. It submitted that the fetal monitoring did not detect decelerations in heart beat rate during the second stage of labour. It further submitted that the child's brain injury was not one that could be caused by lack of oxygen in the second and final stages of labour.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6" w:name="Holdings of Court_11"/>
            <w:bookmarkEnd w:id="96"/>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evidence that Abbotsford, Parkin and the nurses did not adequately monitor the fetal heartbeat. Parkin did not breach the standard of care of a general practitioner in failing to request a consultant obstetrician to assist him with the baby's delivery. According to the expert testimony, Parkin performed the appropriate tests to check for signs of chorioamnionitis and the tests were negative. Since the tests and the examination of Kooner reassured him, there was no reason for Parkin to consult an obstetrician. There were no other reasons for which a referral should have been made to an obstetrician in the first or second stages of labour. Parkin and the nurses did not breach the applicable professional standard of care in the manner in which they monitored the fetal heartbeat in the second stage of labour. The outcome of the child's birth and the discovery of the pulseless umbilical cord around the baby's neck were not in and of themselves evidence of breach of the standard of care of fetal monitoring. Further, there was no evidence that Parkin and the nurses consistently, on 19 separate occasions, confused the sounds of the maternal and fetal heartbeat. Finally, it should not be inferred from the brain injuries that the child suffered that the parties breached the standard of care by failing in their monitoring of the fetal heart beat to detect decelerations. The expert evidence demonstrated that the child's brain injury occurred 24 to 36 hours before birth and was inconsistent with an injury or injuries that occurred in the second stage of labour. The common sense reasoning was inapplicable since the parties lead affirmative medical evidence that her injuries were not caused by occlusion of the umbilical cord in the second stage of labour.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7" w:name="Counsel_13"/>
      <w:bookmarkEnd w:id="9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6"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Karen L. Anderson, for the plaintiffs. Paul T. McGivern and Cheryl Lee Khanna, for the defendant, Dr. Parkin. J. Christopher Grauer, for the defendants, Matsqui-Sumas-Abbotsford General Hospital, Carol Flegg and C. Horvath.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8" w:name="Judgment_13"/>
      <w:bookmarkEnd w:id="98"/>
      <w:r>
        <w:pict>
          <v:line id="_x0000_s1097" style="position:absolute;z-index:25177497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9" w:name="GARSON J."/>
            <w:bookmarkEnd w:id="99"/>
            <w:r>
              <w:rPr>
                <w:rFonts w:ascii="arial" w:eastAsia="arial" w:hAnsi="arial" w:cs="arial"/>
                <w:b/>
                <w:color w:val="000000"/>
                <w:sz w:val="30"/>
                <w:lang w:val="en-US" w:eastAsia="en-US" w:bidi="ar-SA"/>
              </w:rPr>
              <w:t>GARSON J.</w:t>
            </w:r>
          </w:p>
        </w:tc>
      </w:tr>
    </w:tbl>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is about a child, Harjevan Stephanie Kaur Kooner ("Stephanie"), born profoundly disabled. She suffers from severe cerebral palsy and is blind, quadriplegic, and fed by a gastric tube. She cannot speak or communicate except in the most limited of ways. She requires 24-hour daily care and will do so for the balance of her life. Stephanie's mother, Kamaljit Kaur Kooner ("Mrs. Kooner"), brings this action for damages on her own behalf and on Stephanie's behalf. Mrs. Kooner says that the defendants, the Matsqui-Sumas-Abbotsford General Hospital ("MSA"), Dr. Parkin, and nurses Ms. Flegg and Ms. Horvath were negligent during Stephanie's delivery. Mrs. Kooner says that during the second stage of her labour the defendants failed to detect, through fetal monitoring, that Stephanie was being deprived of oxygen. She says that that oxygen deprivation caused the serious brain damage and resultant disabilities.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deny they were negligent. They say the fetal monitoring was performed within the appropriate standard of care. The defendants say that the fetal monitoring did not detect decelerations in heart beat rate (which would be an indicator of lack of oxygen) during the second stage of labour. In any event, the defendants say that the brain injury sustained by Stephanie is not one which could be caused by lack of oxygen in the second and final stages of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consented at the outset of the trial to an order dismissing the claim against the defendant Dr. Ursula V. Asche.</w:t>
      </w:r>
      <w:r>
        <w:rPr>
          <w:rFonts w:ascii="arial" w:eastAsia="arial" w:hAnsi="arial" w:cs="arial"/>
          <w:sz w:val="20"/>
          <w:lang w:val="en-US" w:eastAsia="en-US" w:bidi="ar-SA"/>
        </w:rPr>
        <w:cr/>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following facts are not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and Mrs. Kooner, Stephanie's parents, reside in Hope, British Columbia. Mrs. Kooner became pregnant with Stephanie, her first child, in August 1992. Her due date was April 24,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March 27, 1993, at 08:05 (all references to time in this judgment are 24 hour notation) Mrs. Kooner was admitted to MSA. Although her due date was April 24, 1993, her membranes ruptured four days prior to admission to MSA and she began having contractions every two to three minutes since 05:00 on March 27,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Mrs. Kooner had had a healthy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admission to MSA, Mrs. Kooner was seen and examined by the defendant, Dr. Parkin, and also by a nurse. Her vital signs were taken. Her blood pressure was normal at 138/88. Her temperature was normal at 37 degrees. Her pulse was normal at 88 beats per minute. The baby's heart rate (fetal heart rate) was normal at 138 beats per minute.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hospital records disclose that Mrs. Kooner was noted to be leaking clear amniotic fluid.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Parkin performed a vaginal examination and recorded that Mrs. Kooner was 5 centimetres dilated. Mrs. Kooner was undergoing regular contractions and was described as being in the first stage of labour. The baby was described as in a "head down" presentation at "station zero". "Station zero" is the term used to describe the position of the baby's head as the baby descends the birth canal. Station zero means the baby's head is engaged at the maternal ischeal spines. In these reasons there will be reference to Station +1 and Station +2, which are references to the number of centimetres which the baby has travelled down the birth canal.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Owing to the history given by Mrs. Kooner on admission, of ruptured membranes for four days and the slight pre-maturity of the labour, Dr. Parkin ordered a number of tests. One of the tests he ordered was to determine whether Mrs. Kooner was suffering from an infection that may be associated with ruptured membranes called chorioamnionitis. The results of blood tests for chorioamnionitis were negative.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primary nurse on duty in the delivery room was Ms. Flegg. The secondary nurse on duty was Ms. Horvath. At 09:00 the morning of Mrs. Kooner's admission, Ms. Flegg began monitoring Mrs. Kooner with an external electronic fetal monitoring device. During the first stage of labour, which commenced about 09:00 and continued up to approximately 12:50, separate transducers or doptones (ultra sound devices) were secured to her abdomen with two belts. One doptone recorded the maternal uterine contractions, the second, applied over the area of the abdomen closest to where the fetal heart sound is heard, recorded the fetal heartbeat. The external electronic fetal monitor produced a continuous paper recording ("fetal monitor strip") of the fetal heartbeat and the contractions.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hospital chart of labour and delivery maintained by the nurses is called a "partogram". This document consists of two charts - one each for the first two stages of labour. The reverse side of the document contains narrative notes and charting with respect to the third stage of labour (delivery of baby and placenta) and fourth stage of labour (from delivery of placenta until the postpartum condition of the woman has stabilized).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Flegg and Ms. Horvath recorded a satisfactory fetal heartbeat on the partogram during the first stage of labour. The fetal monitor strip also showed a satisfactory fetal heart beat. During the first stage of labour, Mrs. Kooner's blood pressure was measured four times and recorded. Mrs. Kooner's pulse was not recorded on the partogram. After 12:18 the external fetal monitoring device did not record continuously. The nurses continued to monitor the fetal heart rate by use of a doptone manually held on Mrs. Kooner's abdomen. The doptone emits an electronic reproduction of the fetal heart rate, which can be heard as an electronic beeping. Simultaneously, the fetal heart rate is displayed on a digital readout on the electronic fetal monitoring device.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was recorded on the partogram that Mrs. Kooner entered the second stage of labour at 14:50 (that is, her cervix was fully dilated). Between 14:50 and 16:00 the nurses recorded the fetal heart rate 19 times on the partogram. All 19 fetal heart beat recordings were within what is considered to be a normal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During the same period of time, between 14:15 and 16:00, the printer of the external fetal monitor was from time to time turned on and off. No uterine contractions were recorded. Although the fetal heart rate was recorded on the partogram, the printout of the fetal monitoring device was no longer continuous.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14:00 hours, Dr. Parkin assessed Mrs. Kooner. He found that her cervix was 9 centimetres dilated and the baby was still at "station + 1".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At 14:50 Dr. Parkin assessed Mrs. Kooner. Mrs. Kooner was fully dilated and she had entered the second stage of labour. The baby was still at "station + 1".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15:50 Dr. Parkin returned to re-assess Mrs. Kooner. The baby was at "station + 2", meaning the baby had descended only one centimetre down the birth canal between 14:50 and 15:50. Dr. Parkin noted that Mrs. Kooner's uterine contractions were becoming ineffective.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Parkin began to assist Mrs. Kooner in the delivery of the infant by using a vacuum extractor. He delivered the baby to the point where the baby's head was partially delivered, to the mouth. He then encountered resistance. Dr. Parkin found that the umbilical cord was wrapped tightly twice around the baby's neck. He cut the cord twice in order to remove it. He suctioned the baby's mouth.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Parkin still had difficulty delivering the baby. He used his finger to rotate and deliver the baby. The baby was born at 16:07.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time from partial delivery of the head to delivery of the baby was about 2 to 3 minutes. Dr. Parkin described the umbilical cord as "taut and pulseless". He had to cut the cord before clamping it (to close off the blood supply), as there was no room for the clamp because the cord was so tightly wound around the baby's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When Stephanie was born, she was in poor condition and required resuscitation. A paediatrician called at Dr. Parkin's request attended her. She remained in the nursery at MSA Hospital for 30 hours prior to being transferred to British Columbia Children's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After Stephanie was delivered, Dr. Parkin had difficulty delivering the placenta. He called for assistance from the on-call obstetrician, Dr. Caulfield. Dr. Caulfield attended and delivered the placenta. The placenta was sent to pathology for examination. The portion sent for examination contained the placenta and ten centimetres of umbilical cord. The placenta was determined by the pathology examination to be infected by chorioamnionitis.</w:t>
      </w:r>
      <w:r>
        <w:rPr>
          <w:rFonts w:ascii="arial" w:eastAsia="arial" w:hAnsi="arial" w:cs="arial"/>
          <w:sz w:val="20"/>
          <w:lang w:val="en-US" w:eastAsia="en-US" w:bidi="ar-SA"/>
        </w:rPr>
        <w:cr/>
      </w:r>
    </w:p>
    <w:p>
      <w:pPr>
        <w:numPr>
          <w:numId w:val="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Theory of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following is a summary of the theory of the case put forward for the plaintiffs:</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baby had a short umbilical cord in comparison to the norm. Although the cord could have been wrapped around the unborn child's neck prior to Mrs. Kooner's arrival at hospital, there was sufficient length in the cord that it presented no difficulty. When the baby began to descend through the birth canal, the umbilical cord started to stretch and compress causing fetal heart rate drops (decelerations). The short cord impeded labour. During the second stage of labour, the baby started being affected by a sub-acute (over 30 minutes) hypoxia (reduction in oxygen).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delivery the cord was pulseless. There was a complete lack of oxygen supply to the baby, and it is not known how long the cord had been pulseless.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chronic, or sub-acute, hypoxia was complicated by the acute hypoxia (complete lack of oxygen).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nurses and Dr. Parkin failed to note the fetal heart decelerations. If they had noted the deceleration they could have taken steps to deliver Stephanie before she was brain damaged. The nurses and Dr. Parkin confused the fetal and maternal pulse and did not accurately record the fetal heartbeat. There were decelerations but the nurses and Dr. Parkin did not detect them.</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Dr. Parkin had requested the attendance of an obstetrician, the obstetrician would have noticed the inadequate fetal monitoring and taken rapid steps to deliver the baby.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Stephanie sustained devastating brain injuries as a result of the chronic and acute hypoxia.</w:t>
      </w:r>
    </w:p>
    <w:p>
      <w:pPr>
        <w:numPr>
          <w:numId w:val="1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Theory of the Defense of MSA, Ms. Flegg, and Ms. Horvath (the "Hospital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following is a summary of the theory of the defence put forward for the Hospital Defendants: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fetal monitoring was well within acceptable standards and indicated a reassuring pattern. The radiographic and clinical evidence of Stephanie's condition in the hours, days, and weeks following her birth is consistent with the proposition that nothing ominous was occurring with the fetal heart rate during labour. As the vacuum pulled Stephanie down following the last fetal heart auscultation (listening) at 16:00, the umbilical cord finally pulled tight, bringing descent to a halt as the head was delivered to the mouth. This led to a total occlusion of the cord, but not one long enough to lead to a state of hypotension or to cause damage to the basal ganglia. A healthy fetus would likely have recovered without ill effect.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Stephanie was not healthy and the cord occlusion was serious enough to severely stress a fetus whose brain had already been damaged by vasculitis owing to chorioamnionitis. There was nothing the defendants could have done to anticipate or prevent this tragic outcome.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case theory is based on the evidence of Dr. Williams, who in turn based his opinion on the assumption the fetal monitoring was inadequate. The Hospital defendants say ". . . one cannot take a theory founded upon an assumption of fact and use it as the basis for arguing that the assumption is correct."</w:t>
      </w:r>
    </w:p>
    <w:p>
      <w:pPr>
        <w:numPr>
          <w:numId w:val="1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Theory of Dr. Parkin's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following is a summary of the theory of the defence put forward for Dr. Parkin:</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foundation of the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namely that the fetal heart monitoring strip accurately reflects the sum total of all of the monitoring of the infant plaintiff during second stage labour, is demonstrably incorrect. The baby was being monitored by intermittent auscultation (listening) throughout the second stage of labour and this is reflected in the partogram on which notations were made by the nurses at the time of the events in question, and by the testimony of Dr. Parkin, Ms. Flegg and Ms. Horvath;</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time prior to the application of the vacuum extractor by Dr. Parkin (to assist in the delivery) were there fetal heart decelerations indicative of umbilical cord compression;</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baby had not moved down the birth canal sufficiently to cause problems until after the vacuum extractor was applied;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tightening of the umbilical cord around the neck of the infant plaintiff happened during her descent during the last 7 minutes of second stage of labour (i.e. - when the vacuum extractor was assisting with her delivery);</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brain damage to the infant plaintiff was not caused by repeated tightening of the umbilical cord around her neck over a long period of time as postulated by the plaintiffs. While the exact etiology of the infant plaintiff's brain damage is not absolutely certain, it is clear that the causes are multifactoral - chorioamnionitis, stroke and hypoglycaemia being the most likely culprits. A hypoxic injury during labour was not the cause. The damage to the white matter of Stephanie's brain, the most significant injury (and the only brain injury which could possibly be due to hypoxia), likely occurred 24-26 hours prior to birth.</w:t>
      </w:r>
    </w:p>
    <w:p>
      <w:pPr>
        <w:numPr>
          <w:numId w:val="2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Issues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The issues before me relating to standard of care are the following:</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Parkin breach the standard of care of a general practitioner in failing to request a consultant obstetrician to assist him with the delivery of Stephanie?</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Parkin, as a general practitioner, or Ms. Flegg and Ms. Horvath, as obstetrical nurses breach the applicable professional standard of care in the manner in which they monitored the fetal heart beat in the second stage of labour?</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it be inferred from the brain injuries Stephanie suffered that the defendants breached the standard of care by failing in their monitoring of the fetal heart beat to detect decelerations?</w:t>
      </w:r>
    </w:p>
    <w:p>
      <w:pPr>
        <w:numPr>
          <w:numId w:val="2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Parkin breach the standard of care of a general practitioner in failing to request a consultant obstetrician to assist him with the delivery of Stephanie?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plaintiffs allege that Dr. Parkin ought to have called in an obstetrician because of the risk factors evident upon Mrs. Kooner's arrival at the hospital. These factors are the slight pre-maturity of her labour and the history of Mrs. Kooner's membranes rupturing four days prior to admission.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defendants say that neither one of these risk factors was sufficient to merit referral to an obstetrician. They say the pre-maturity of the labour was minor and was not a significant risk. They say Dr. Parkin took the appropriate steps concerning the history of ruptured membranes and he ordered the appropriate tests to rule out chorioamnionitis.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Parkin had limited recent obstetrical experience. In 1986 he qualified in South Africa as a medical doctor. He was conscripted to the army for two years where he did some obstetrics. He moved to England and then to Canada in 1990. In November 1992, he began his medical practise in Abbotsford, British Columbia. Although he practised medicine continuously from 1986, his obstetrical experience in England and Canada was minimal. Dr. Parkin testified that between 1987 and the spring of 1993 (when he delivered Stephanie) he had delivered in total about 35 babies.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plaintiffs called Dr. Bradley Fritz as an expert on the standard of care of a general practitioner delivering babies. Dr. Fritz practices medicine as a general practitioner in Vancouver and has admitting privileges at what is now called the B.C. Children's &amp; Women's Hospital. The B.C. Children's &amp; Women's Hospital is one of three tertiary care centres in British Columbia. The term "tertiary care centre" means that it is a referral centre that deals with specialized problems and has doctors and nurses with special expertise and equipment not available in smaller centres.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Parkin, on the other hand, practices in a regional or community hospital where a general practitioner delivering babies does not have the same ready access to an obstetrician as at a tertiary care centre. On March 27, 2000, Dr. Caulfield was the obstetrician on call for MSA. Dr. Parkin could have called upon him to attend upon Mrs. Kooner if he had perceived a need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Fritz testified that in Mrs. Kooner's case he would have referred Mrs. Kooner to an obstetrician because of her history of ruptured membranes and because the baby was slightly premature. He says that Mrs. Kooner was "high risk". He says it is prudent to "get an obstetrical opinion to make sure there isn't something that is being missed that should have been considered." However, Dr. Fritz did not testify as to what condition was missed in Mrs. Kooner's case that an obstetrician would have identified when Mrs. Kooner was admitted to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defendants called several general practitioners to testify on the standard of care in smaller centres (i.e. not tertiary care centres). These experts testified that they would not have referred Mrs. Kooner to an obstetrician. The main point of their evidence was that general practitioners in smaller communities must use their specialist resources sparingly, owing to the scarcity of obstetricians in the smaller communities. The defendants say that Dr. Parkin's standard of practise must be measured against the standard practised by doctors practising in smaller communities, not against the standard testified to by Dr. Fritz in a tertiary care centre. In this case, Dr. Parkin's obstetrical experience was limited in comparison to the doctors who testified as to the standard of care in smaller centres.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On the evidence, I find Dr. Parkin performed the appropriate tests to check for signs of chorioamnionitis and that the tests were negative. There is no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concerning the manner in which the test was conducted or interpreted even though after Stephanie's birth the pathologist determined that the placenta and umbilical cord were severely infected by chorioamnionitis. Dr. Parkin noted that Mrs. Kooner's labour was slightly premature. He identified the risk of undeveloped lungs because of prematurity as being very slight. There is no evidence in this case that Stephanie had undeveloped lungs. Because of his relative obstetrical inexperience, Dr. Parkin should have consulted an obstetrician if he was not reassured by his examination of Mrs. Kooner and her test results. He testified that he was reassured by the tests he performed to check for chorioamnionitis and by his examination of Mrs. Kooner. No witness testified to any other tests that Dr. Parkin could or should have performed to detect the presence of chorioamnionitis. No witness testified to any other reason that a referral should have been made to an obstetrician in the first or second stages of labour. I find that Dr. Parkin did not breach the standard of care by failing to call an obstetrician on admission or during the first and second stages of Mrs. Kooner's labour.</w:t>
      </w:r>
      <w:r>
        <w:rPr>
          <w:rFonts w:ascii="arial" w:eastAsia="arial" w:hAnsi="arial" w:cs="arial"/>
          <w:sz w:val="20"/>
          <w:lang w:val="en-US" w:eastAsia="en-US" w:bidi="ar-SA"/>
        </w:rPr>
        <w:cr/>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Parkin, as a general practitioner, or Ms. Flegg and Ms. Horvath, as obstetrical nurses, breach the applicable professional standard of care in the manner in which they monitored the fetal heart beat in the second stage of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plaintiffs say that Dr. Parkin and the nurses, Ms. Flegg and Ms. Horvath, breached their professional standards of care in the way they monitored the fetal heart rate during the second stage of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plaintiffs submit Dr. Parkin should have inserted a fetal scalp clip during the second stage of labour. They say the maternal pulse rate was not recorded on the partogram and therefore there is no proof that either Dr. Parkin or the defendant nurses took the maternal pulse rate. The plaintiffs say the defendants may have confused the fetal pulse rate with the maternal pulse rate and thus failed to detect drops in the fetal heart rate (decelerations). They say what the nurses recorded on the partogram was likely the maternal pulse. The plaintiffs say that the fetal monitoring that was done was inadequate, was not reassuring, and was in breach of the requisite standard of care of both nurses and the doctor. The plaintiffs point to the uninterpretable printout from the electronic fetal monitor made during the second stage of labour as further proof that the fetal heart rate recorded on the partogram is not reliable evidence of the actual fetal heart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defendants say that the fetal heart rate was monitored by auscultation. The defendants say auscultation is an appropriate method to monitor the fetal heart rate. They say the nurses and Dr. Parkin performed the fetal heart monitoring within the appropriate professional standard of care and recorded the correct fetal heart rate on the partogram.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standard of care against which the defendant nurses' conduct is to be measured is found, in part, in the Lippincott Manual of Nursing Practice. MSA did not have its own nursing manual but adopted the Lippincott Manual. Lippincott states that the second stage of labour begins with complete dilation of the cervix and ends with birth of the baby. I will refer later in these reasons to other portions of Lippincott.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Buchinsky, a registered nurse with expertise in obstetrics, was called as a witness by the plaintiffs and was qualified to give expert evidence as to obstetrical nursing standards. She testified that there are three methods to monitor the fetal heart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first monitoring method is called auscultation. This is usually done with a hand held doptone, which is held on the mother's abdomen and positioned over the back of the fetus. Ms. Buchinsky testified that the nurse should take the maternal pulse at the same time as she auscultates the fetal heart rate so as to ensure that the doptone is not picking up other uterine sounds such as the maternal pulse. She said that the fetal pulse is then taken continuously through the contraction and for 30 or 60 seconds following the contraction. The nurse can use the same ultrasound transducers from the equipment used for external electronic monitoring to auscultate. If she does both an audible and digital readout will be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second method of fetal heart monitoring is called electronic fetal heart monitoring. By this method one transducer measures the frequency of the uterine contractions and the other transducer or doptone picks up the fetal heart. This transducer electronically converts the ultra sound waves from the fetal heartbeat to an audible replica of the sound of the fetal heart. As noted above there is also a digital read out and a graph printout called a "fetal monitor strip."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Buchinsky also described a third method of fetal heart monitoring, called internal fetal heart monitoring. In this third method the physician attaches a small electrode to the baby's scalp just under the skin. Ms. Buchinsky said it is like a direct electrocardiogram and it is the most accurate method to pick up the fetal heart rate. At the same time as the fetal scalp clip is attached, an internal uterine catheter is inserted inside the uterus to record the mother's contractions. Stress that may cause deceleration of the fetal heart rate occurs to a baby during its mother's uterine contractions and immediately thereafter. Therefore it is necessary to co-ordinate the monitoring of the fetal heart rate with the mother's uterine contractions to detect any decelerations in the fetal heart rate. Decelerations are most likely to occur during or following contractions.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Buchinsky testified that an internal scalp clip should be used if for any reason the fetal heart rate monitoring is insufficient.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There is no dispute by any party in respect to the portion of Ms. Buchinsky's testimony I have just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Buchinsky expressed the opinion that the fetal monitoring performed by the nurses Flagg and Horvath was inadequate. I emphasize that Ms. Buchinsky's opinion was expressly based (as she was instructed to do by plaintiffs' counsel) on the assumption the fetus was monitored exclusively by external electronic fetal monitoring. She concluded that, because the fetal monitor strip made during the second stage of labour was uninterpretable, the nurses did not perform in accordance with the standard of care required of obstetrical nurses. Ms. Buchinsky compared the second stage fetal monitor strip (which all witnesses agree is uninterpretable) to the partogram. She could not correlate the fetal heart readings on the fetal monitor strip with those recorded on the partogram. Because she made the assumption that the only fetal heart monitoring was being done electronically, she reached the conclusion that the nurses had not properly recorded the fetal heart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Buchinsky testified that in the absence of fetal distress it is appropriate to use intermittent auscultation. She said that if a concern about the well-being of the baby arises the nurses might then move to electronic external fetal monitoring or internal fetal monitoring. Ms. Buchinsky testified that if the nurses are using the ultrasound transducer to auscultate it is better to leave the fetal monitor strip printer off. She also said that the nurse can palpate (feel) the mother's abdomen for contractions. In other words, the nurse can palpate the contractions with one hand and with the other hand hold the ultrasound monitor on the mother's abdomen while listening to the fetal heart and reading the digital display. The result of this auscultation is then recorded on the partogram.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Buchinsky wrote in her report that, "Nurse Flegg documented fetal heart rates on the partogram in apparent reliance on the uninterpretable data from the monitor. I was however unable to correlate the recorded heart rates with the corrected times on the fetal strip." Insofar as this part of her opinion is based on an incorrect assumption, I cannot accept this part of her opinion. The evidence of both nurses and Dr. Parkin is very clear that the fetal heart was auscultated and the result of the auscultation recorded on the partogram. There is no evidence from which I can conclude that the recordings on the partogram were taken from the fetal monitor strip and the evidence is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plaintiffs argue that the recording of the fetal heart by the nurses was confused with the maternal heart. There are 19 fetal heart recordings taken in the second stage of labour on the partogram. The recordings are between 115 and 150 beats per minute. Most appear to be between 130 and 140. Ms. Flagg testified that she took the maternal pulse and that is her usual procedure. She also testified that the fetal pulse has a distinct crisp sound on the audible readout. She testified that in her experience the only time she has seen a mother consistently have a pulse of around 130 is if the mother is ill with a fever. Mrs. Kooner was not ill with a fever.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do not accept Ms. Flagg's testimony that she could remember not only taking the maternal pulse but also that it was between 80 and 100 beats per minute. Her recollection of many parts of the labour was poor and it is unlikely that her recollection of the mother's pulse would be a reliable memory. The Lippincott Manual does instruct the nurse to differentiate between fetal heart rate and other abdominal sounds such as uterine bruit (soft murmur caused by the passage of blood through dilated uterine vessels), which would be synchronous with the maternal pulse. The partogram form specifies the manner in which the maternal pulse is to be recorded. I find that the nurse attending a mother in labour should record the maternal pulse on the partogram, and Ms. Flagg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Should I conclude, in the absence of a record of the maternal pulse, that both Ms. Flagg and Ms. Horvath erroneously recorded the maternal pulse rate instead of the fetal pulse rate during the second stage of labour? What if anything should I conclude from the fact that the nurses and Dr. Parkin intermittently turned on the printer of the electronic fetal monitor and produced a fetal monitor strip which was uninterpretable?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Both the failure to record the maternal pulse and the use of the printer are irrelevant if there is other reliable evidence that the fetal heart beat was accurately recorded on the partogram.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Parkin testified that the fetal monitor printer was malfunctioning. He remembers turning both the printer and the fetal monitor on and off in an effort to try to reset the machine. He says that he was unable to correct the problem. The monitor was turned off and on briefly. He testified that he examined Mrs. Kooner several times during the second stage of her labour. On those occasions he listened to the fetal heart, took the maternal pulse and was satisfied that the labour was progressing normally until about 14:50 when he became concerned that the contractions were weakening. At no time did he hear any decelerations. He testified that he recalls holding Mrs. Kooner's hand to comfort her and taking her pulse at the same time. He testified that her pulse was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do not understand the plaintiffs to dispute that the nurses and Dr. Parkin did auscultate the fetal heartbeat. What the plaintiffs say, however, is that they confused the maternal and fetal pulse or did not record the fetal pulse accurately and in both instances caused the defendants to fail to note decelerations of the fetal heart.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Horvath was the secondary nurse. She testified that she has no independent recollection of attending Mrs. Kooner's labour. There are 19 fetal heart recordings on the partogram for the second stage of labour. She identified her entries on the partogram. During the second stage of labour, Ms. Horvath auscultated the fetal heart twice between 14:50 and 15:00. She also recorded six auscultations of the fetal heart between 15:40 and 16:00. The other eleven recordings are those noted by Ms. Flegg.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fetal heart rate recorded by both nurses during the entire second stage of labour is around 130 beats per minute, which is within the normal range. Ms. Horvath testified that the usual practice at MSA in 1993 was to use the electronic fetal monitor as a doptone, meaning that the transducer is hand held over the mother's abdomen. The transducer, when not in use, is then put on top of the machine. The machine is sometimes turned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Her practice is to take the maternal pulse with one hand while she holds the transducer with the other hand. She said she does this to make sure she does not confuse the maternal and fetal pulses. Ms. Horvath says that if the maternal pulse is over 100 she would notify the physician. She admits that the maternal pulse should be recorded on the partogram.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She also testified that when listening to the monitor there are two distinctly different sounds. She describes the fetal heart bear as a sharp tick-tock sound. She describes the maternal heart rate as a muffled murmur sound. In her experience, Ms. Horvath has not seen a maternal pulse consistently at 130 through the second stage of labour. From reading the strip Ms. Horvath observed that the monitor and the printer were turned off and on at different times. She gave one possible explanation for turning the machine off, which is the annoying sound of the feedback. She also said that on some occasions she would flick on the printer to record the fetal heart because she may have been too busy to actually complete the chart at that moment.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tragic outcome of Stephanie's birth and the discovery by Dr. Parkin of a tight pulseless cord in and of themselves are not evidence of breach of the standard of care of fetal monitoring: Whitehorse v. Jordan, [1981] 1 All E.R. 267 (H.L.).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accept the evidence of Ms. Flegg, Ms. Horvath, and Dr. Parkin that each of them took a maternal pulse. It is improbable that neither the nurses nor Dr. Parkin took a maternal pulse in the second stage of labour. Furthermore, it is highly unlikely that Dr. Parkin and both nurses would consistently, on 19 separate occasions, mistake the maternal pulse for the fetal pulse. The maternal pulse could only be at 130 beats per minute for over one hour (if the recordings on the partogram were in fact the maternal pulse) if the mother had a fever and was quite ill. Mrs. Kooner showed no signs of fever or illness. Furthermore, all witnesses described a very distinct difference between the sounds of the fetal heart and the maternal heart, as does the Lippincott Manual. I do not accept that both nurses and Dr. Parkin consistently, that is on 19 separate occasions, confused the sounds of the maternal and fetal heart beat.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plaintiffs also argue that the nature of Stephanie's injuries is such that the heart must have experienced decelerations. She says that Stephanie was being strangled by the abnormally short umbilical cord as she descended the birth canal, and that her injuries were caused by chronic hypoxia (reduction in oxygen for over 30 minutes). In order to determine whether there is evidence, despite what appears to be adequate fetal monitoring, that the cause of Stephanie's injuries is such that decelerations had to have been present, it is necessary to examine the cause of Stephanie's injuries. The plaintiffs say that Stephanie's injuries were caused by occlusion of the umbilical cord during the second stage of labour and that those injuries are themselves proof that Stephanie's heart must have suffered decelerations, in the second stage of labour, which the defendants negligently failed to detect.</w:t>
      </w:r>
      <w:r>
        <w:rPr>
          <w:rFonts w:ascii="arial" w:eastAsia="arial" w:hAnsi="arial" w:cs="arial"/>
          <w:sz w:val="20"/>
          <w:lang w:val="en-US" w:eastAsia="en-US" w:bidi="ar-SA"/>
        </w:rPr>
        <w:cr/>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it be inferred from the brain injuries Stephanie suffered that the defendants breached the standard of care by failing in their monitoring of the fetal heart beat to detect decelerations?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order to answer this question I must address the following:</w:t>
      </w:r>
      <w:r>
        <w:rPr>
          <w:rFonts w:ascii="arial" w:eastAsia="arial" w:hAnsi="arial" w:cs="arial"/>
          <w:sz w:val="20"/>
          <w:lang w:val="en-US" w:eastAsia="en-US" w:bidi="ar-SA"/>
        </w:rPr>
        <w:cr/>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Stephanie's injuries?</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Which injuries caused or contributed to her present condition?</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caused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Williams is a perinatologist (high-risk obstetrician) now practising at Yale University School of Medicine. He previously practised in British Columbia at Children's &amp; Women's Hospital. He was called by the plaintiffs to give expert evidence in the field of perinatology (high-risk obstetrics). His opinion tendered by the plaintiffs was admitted only for the purpose of proving that the injuries sustained by Stephanie were caused by the occlusion of the umbilical cord in the second stage of labour. I did not therefore consider his opinion as to the standard of care of the fetal monitoring, although he does comment on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Williams states in part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circumstances of this case, with a tight cord twice around the neck and only a 10-centimeter length of cord with the placenta, the umbilical cord can be described as short. A short, tight cord around the baby's neck would indicate that the fetus had experienced episodes of oxygen deficit and/or reduced oxygen delivery during the latter part of the labour. A fetal monitor applied properly in circumstances wherein a short, tight cord is around the fetal neck would be expected to show profound deep decelerations of the heart rate during descent of the baby. The presence of these decelerations would indicate a continuous, intermittent significant interruption of the blood supply to the baby. The effect of this would be to decrease fetal oxygenation. The appropriate physician management would be to expedite the delivery of the baby in order to avoid damage due to the decreased oxygen supply.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the fetal heart rate pattern recorded on monitor strips after the panel marked 86027 is uninterpretable, and one cannot be reassured by it. The observed circumstances surrounding the birth indicate that there were two tight loops of umbilical cord around the fetal neck and a short cord, as evidenced from the placental pathology report. These circumstances likely led to a significantly decreased oxygen supply to the baby during the birth process. It is important to note that the fetal monitor output showed no evidence of bradycardia (lengthy drop in heart rate) or evidence of variable deceleration, which is a characteristic pattern for this clinical picture. However, it is my opinion that properly conducted electronic fetal monitoring, or proper assessment of the fetal heart rate by other means (i.e. auscultation), would have likely revealed deep decelerations and/or bradycardia during descent of the fetus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Plaintiffs' counsel asked Dr. Williams to make certain assumptions which formed the basis of the opinions in his report. Two of these assumptions are as follows:</w:t>
      </w:r>
      <w:r>
        <w:rPr>
          <w:rFonts w:ascii="arial" w:eastAsia="arial" w:hAnsi="arial" w:cs="arial"/>
          <w:sz w:val="20"/>
          <w:lang w:val="en-US" w:eastAsia="en-US" w:bidi="ar-SA"/>
        </w:rPr>
        <w:cr/>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Kooner's fetus was monitored intermittently with an electronic fetal monitor, the findings of which were at all time printed on a "strip", which forms part of the documentation reviewed by Dr. Williams. The monitor utilized was not correctly set for the time, and was recording times which were between 49 and 51 minutes "slow", based on a nursing note which corrects the time on the "strip" at 13:20.</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nurses and Dr. Parkin relied exclusively on the external fetal monitor when determining the fetal heart during second stage, and all fetal hearts picked up by the monitor are reflected on the "strip". The machine was at no time left to run without paper output.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Williams testified that upon arrival at MSA the baby would have had the cord wrapped twice around the neck. He says this because on arrival the baby's head was engaged and the baby was at Station 0. There was no way of knowing at the time of admission that the cord was wrapped around the neck but because the baby was already at Station 0 the cord must already have been in that position. Dr. Williams testified that even though the cord was wrapped around the neck twice during the first stage of labour it was not, in the first stage of labour, causing difficulty and there was a normal fetal heart tracing. Dr. Williams testified that based on the fetal heart strip the "baby was fine" at least until 12:18 and no occlusion of the umbilical cord had occurred to that time. Dr. Williams expressed the opinion as noted above that the baby did suffer decelerations in her heartbeat caused by total or partial occlusion of the umbilical cord. He testified that he could not tell whether the occlusion of the cord was a total occlusion lasting seven minutes or a partial intermittent occlusion lasting 90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As noted above Dr. Williams made the assumption that Dr. Parkin and the nurses relied exclusively on the external fetal monitor as recorded on the "strip". He was instructed to make this assumption and he confirmed in his testimony that it was fundamental to his opinion. He did not consider the fact that Dr. Parkin and the nurses auscultated the fetal heart. He was asked to make an assumption that required him to ignore the actual evidence that the fetal heart monitoring was done by auscultation.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his report quoted above he says that auscultation is an acceptable method of fetal monitoring. There was no evidence from any witness that auscultation was not an acceptable method of monitoring the fetal heart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Williams did not testify to what injuries Stephanie suffered or which injuries caused or contributed to her present condition. Because he did not consider the actual evidence of fetal monitoring and did not consider the cause or nature of Stephanie's injuries, I find his opinion that decelerations were present is unsupported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defendants called evidence as to the nature and cause of Stephanie's injuries from Dr. Poskitt (a pediatric neuroradiologist), Dr. Lupton (a neonatologist), and Dr. Solimano a (perinatologist).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defence experts all noted that Stephanie suffered several different and unrelated neurological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Poskitt testified, and I accept his testimony, that Stephanie suffered five injuries as follows:</w:t>
      </w:r>
      <w:r>
        <w:rPr>
          <w:rFonts w:ascii="arial" w:eastAsia="arial" w:hAnsi="arial" w:cs="arial"/>
          <w:sz w:val="20"/>
          <w:lang w:val="en-US" w:eastAsia="en-US" w:bidi="ar-SA"/>
        </w:rPr>
        <w:cr/>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Stroke of the left cerebral artery - this is a focal insult not systemic, and not attributable to asphyxia;</w:t>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Haemorrhage (bleeding) of other focal areas of the right brain;</w:t>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Haemorrhage in the tentorium and falx (these are the horizontal and vertical dividers in the brain);</w:t>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Focal cerebral edema (excess of water) in white matter of the brain adjacent to the cortex (top of head);</w:t>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White matter abnormality.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Poskitt testified that none of these five conditions are associated with partial or total asphyxia. He testified "... in the last 16 years I don't think I have seen such a hodgepodge of so many abnormalities going on in one child's brain all at one 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primary injury, in terms of Stephanie's outcome, is the injury to the white matter of her brain. Dr. Poskitt testified that this injury could have been caused by a hypoxic event (reduction in oxygen), but he stated the event must have occurred at least 24 to 36 hours before birth. He says this because the edema showed up on the ultrasound within 20 hours of birth and because of the pattern of the injury. Dr. Poskitt has conducted studies in which he has measured the temporal relationship between an injury and CAT scan evidence of edema. Because Stephanie's 20 hour CAT scan already showed edema in the white matter, and because he knows such edema resulting from hypoxia takes 24 hours to become evident on a CAT scan and 72 hours to maximize, he was able to conclude that whatever caused Stephanie's white matter injury occurred more than 24 hours prior to her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He also testified that the pattern of the injury to Stephanie's brain rules out either short-term acute hypoxic injury or long-term partial hypoxic injury. Dr. Poskitt said there are characteristic patterns of injury. If asphyxia is chronic the cortex or surface of the brain is damaged. If it is acute, the central structures (thalami or basal ganglia) are damaged. Stephanie has no damage to the basal ganglia which rules out a short-term acute hypoxic injury. Stephanie has no damage to the cortex, which rules out a long-term partial hypoxic injury. Dr. Poskitt concluded there is no radiologic feature whatsoever consistent with a hypoxic injury close to the time of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Lupton is a neonatologist. He was called as a witness for the defendants. He testified that at birth Stephanie had seven main clinical findings which he summarized as follows:</w:t>
      </w:r>
      <w:r>
        <w:rPr>
          <w:rFonts w:ascii="arial" w:eastAsia="arial" w:hAnsi="arial" w:cs="arial"/>
          <w:sz w:val="20"/>
          <w:lang w:val="en-US" w:eastAsia="en-US" w:bidi="ar-SA"/>
        </w:rPr>
        <w:cr/>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neonatal stroke, which could account for Stephanie's seizures. Obstetric management did not cause the stroke;</w:t>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hyperinsulinism and associated hypoglycaemia diagnosed after Stephanie's birth. She may have sustained a brain injury from the hypoglycaemia;</w:t>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severe chorioamnionitis. It is possible that brain injury to the white matter was caused by chorioamnionitis, which in turn was related to the prolonged rupture of the membranes;</w:t>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cardio-respiratory depression at birth. Stephanie was resuscitated promptly and was breathing within 3 minutes of birth. He concludes that "asphyxia at the time of delivery did not in probability, cause brain injury;</w:t>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evidence of traumatic brain injury;</w:t>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arrhythmia; bradycardia (heart beat irregularity) due to heart block. This was possibly caused by a stroke. It may in turn have reduced brain blood flow. He cannot confirm that bradycardia caused or contributed to the injury;</w:t>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electrolyte disturbances and respiratory distress. Minor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Lupton testified that the inflammation caused by the chorioamnionitis likely caused the damage to the white matter of Stephanie's brain. Some of the research in this area draws a connection between chorioamnionitis and cerebral palsy. Other research comes to different conclusions. Looking at all the evidence available to him, Dr. Lupton considers chorioamnionitis to be a likely cause of Stephanie's white matter injury. Dr. Lupton testified that Stephanie's clinical picture after birth, that is, that she was resuscitated so quickly, was not consistent with chronic asphyxia. He agrees that Stephanie had an acute episode in which she was deprived of oxygen (in the final stage of delivery) but her clinical picture was not consistent with a chronic period of oxygen deprivation as theorized by the plaintiffs. Therefore he does not agree with the plaintiffs' theory that Stephanie's injuries were caused by chronic asphyxia.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Solimano is a neonatologist, a pediatrician who specializes in disorders of newborns. He was asked by the defendant hospital to provide an expert opinion on the causation, nature, and timing, of Stephanie's brain injury. He was provided with all the medical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his report, Dr. Solimano opined that:</w:t>
      </w:r>
      <w:r>
        <w:rPr>
          <w:rFonts w:ascii="arial" w:eastAsia="arial" w:hAnsi="arial" w:cs="arial"/>
          <w:sz w:val="20"/>
          <w:lang w:val="en-US" w:eastAsia="en-US" w:bidi="ar-SA"/>
        </w:rPr>
        <w:cr/>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timing of Stephanie's injury was at birth or the last few minutes before birth caused by an abrupt hypoxic injury.</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Chorioamnionitis was a contributor to neurological injury, which may have occurred in utero.</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sequence of events, that is the hypoxic event, was not expected, as the umbilical cord occlusion did not occur until a few minutes prior to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Solimano's report does not support the plaintiffs' theory. Their theory that Stephanie's injury was caused by a chronic deprivation of oxygen which was negligently undetected by the defendants in the second stage of labour depends on the plaintiffs being able to establish that the cause of Stephanie's injury was a chronic, not acute,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Solimano changed his opinion prior to giving evidence. He discussed Stephanie's radiological findings with Dr. Poskitt. Dr. Solimano had noted in his report that Stephanie's 20-hour ultra sound was normal. Dr. Solimano relied on and quoted from the MSA radiologist's report. Dr. Poskitt reviewed the videotaped 20-hour ultrasound and noted the white matter injury. When Dr. Solimano was advised of this information he revised his opinion. His opinion at trial was that the white matter injury occurred 24 - 36 hours before birth and was not due to a chronic or acute deprivation of oxygen in the second stage of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Ms. Anderson vigorously cross-examined Dr. Solimano. Although Dr. Solimano agreed that Stephanie's presentation was complicated and that there was some uncertainty as to the precise cause of her problems, he remained steadfast in his opinion that the damage was not caused by chronic asphyxia.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He was also cross-examined at length on the association between histological chorioamnionitis (that is proven by pathology examination after the birth as was the case here) and cerebral palsy. He concluded from the research and also from his own clinical impression that there is a "powerful association between chorioamnionitis and quadriplegic cerebral palsy (Stephanie's condition)." I prefer the opinions of Dr. Solimano and Dr. Lupton's as to the association between chorioamnionitis and cerebral palsy, to that of Dr. Williams. Dr. Williams disagreed that there is any association between chorioamnionitis and cerebral palsy. The research put to Dr. Solimano in cross-examination is persuasive that an association does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Having considered all of the expert medical evidence, I find that Stephanie's injuries are as described by Dr. Poskitt and set out above in this judgment. The plaintiffs do not dispute these findings. Stephanie's most significant injury in terms of her outcome is the white matter abnormality. The cause of her injuries cannot be precisely determined. It may be the chorioamnionitis. The following factors are consistent with Stephanie's brain injury occurring 24-36 hours before birth and inconsistent with an injury or injuries occurring in the second stage of labour: she suffered several different and causally unrelated neurological injuries; the ultrasound evidence noted edema at 20 hours of age which would take 72 hours to have maximized; the pattern of the brain injury was inconsistent with chronic hypoxia; and the placenta and the umbilical cord were severely infected by chorioamnionitis.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plaintiffs say that the abnormally short umbilical cord became taut in the second stage of labour as the baby descended down the birth canal. They argue that this is further evidence that there had to have been decelerations which ought to have been detected. I do not accept this explanation. During the second stage of labour the baby descended from station 0 to station +2, a distance of only 2 centimetres. The umbilical cord stretches. I find it is unlikely the baby's descent of only 2 centimetres would cause a cord occlusion in the second stage of labour. I do not accept the evidence that the cord was abnormally short. The portion of the cord received by the pathologist was 10 centimetres. But Dr. Parkin made two cuts to the cord and there is no evidence as to the length of the remaining portions of the cord, which were not sent to the pathologist. I reject this argument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Causation -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In order to successfully establish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 plaintiff has the onus of proving, on a balance of probabilities, not only a breach of the applicable standard of care and the existence of damage or injury, but also that there is a causal connection between the breach and the damage or injury: Snell v. Farrell </w:t>
      </w:r>
      <w:hyperlink r:id="rId117" w:history="1">
        <w:r>
          <w:rPr>
            <w:rFonts w:ascii="arial" w:eastAsia="arial" w:hAnsi="arial" w:cs="arial"/>
            <w:i/>
            <w:color w:val="0077CC"/>
            <w:sz w:val="20"/>
            <w:u w:val="single"/>
            <w:shd w:val="clear" w:color="auto" w:fill="FFFFFF"/>
            <w:lang w:val="en-US" w:eastAsia="en-US" w:bidi="ar-SA"/>
          </w:rPr>
          <w:t>(1990), 72 D.L.R. (4th) 289</w:t>
        </w:r>
      </w:hyperlink>
      <w:r>
        <w:rPr>
          <w:rFonts w:ascii="arial" w:eastAsia="arial" w:hAnsi="arial" w:cs="arial"/>
          <w:color w:val="000000"/>
          <w:sz w:val="20"/>
          <w:lang w:val="en-US" w:eastAsia="en-US" w:bidi="ar-SA"/>
        </w:rPr>
        <w:t xml:space="preserve"> (S.C.) at 298-299.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Snell, Sopinka J., giving judgment for the court, discussed the evidentiary burden. He stated at p. 301: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legal or ultimate burden remains with the plaintiff, but in the absence of evidence to the contrary adduced by the defendant, an inference of causation may be drawn, although positive or scientific proof of causation has not been adduced.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In Moore v. Castlegar &amp; District Hospital </w:t>
      </w:r>
      <w:hyperlink r:id="rId330" w:history="1">
        <w:r>
          <w:rPr>
            <w:rFonts w:ascii="arial" w:eastAsia="arial" w:hAnsi="arial" w:cs="arial"/>
            <w:i/>
            <w:color w:val="0077CC"/>
            <w:sz w:val="20"/>
            <w:u w:val="single"/>
            <w:shd w:val="clear" w:color="auto" w:fill="FFFFFF"/>
            <w:lang w:val="en-US" w:eastAsia="en-US" w:bidi="ar-SA"/>
          </w:rPr>
          <w:t>(1996), 25 B.C.L.R. (3d) 188</w:t>
        </w:r>
      </w:hyperlink>
      <w:r>
        <w:rPr>
          <w:rFonts w:ascii="arial" w:eastAsia="arial" w:hAnsi="arial" w:cs="arial"/>
          <w:color w:val="000000"/>
          <w:sz w:val="20"/>
          <w:lang w:val="en-US" w:eastAsia="en-US" w:bidi="ar-SA"/>
        </w:rPr>
        <w:t xml:space="preserve"> (S.C.) at para. 22, Gill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turn now to the issue of causation. All parties have led evidence on this issue and it would be inappropriate to "resort to an inferential analysis" as was argued on the plaintiff's behalf. The burden is on the plaintiff to prove, on a balance of probabilities, that the negligent conduct of one or more of the medical defendants caused his injury and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On appeal of the trial judgment in Moore v. Castlegar &amp; District Hospital </w:t>
      </w:r>
      <w:hyperlink r:id="rId331" w:history="1">
        <w:r>
          <w:rPr>
            <w:rFonts w:ascii="arial" w:eastAsia="arial" w:hAnsi="arial" w:cs="arial"/>
            <w:i/>
            <w:color w:val="0077CC"/>
            <w:sz w:val="20"/>
            <w:u w:val="single"/>
            <w:shd w:val="clear" w:color="auto" w:fill="FFFFFF"/>
            <w:lang w:val="en-US" w:eastAsia="en-US" w:bidi="ar-SA"/>
          </w:rPr>
          <w:t>(1998) 49 B.C.L.R. (3d) 100</w:t>
        </w:r>
      </w:hyperlink>
      <w:r>
        <w:rPr>
          <w:rFonts w:ascii="arial" w:eastAsia="arial" w:hAnsi="arial" w:cs="arial"/>
          <w:color w:val="000000"/>
          <w:sz w:val="20"/>
          <w:lang w:val="en-US" w:eastAsia="en-US" w:bidi="ar-SA"/>
        </w:rPr>
        <w:t xml:space="preserve"> (C.A.), the plaintiff argued that the trial judge erred in failing to apply the "common sense" inference set out in Snell. Hollinrake J.A., speaking for the court, dealt with this argument at para 11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I think in a case such as this where there is affirmative medical evidence leading to a medical conclusion it is not open to the court to apply "the common sense reasoning urged in Snell v. Farrell." I take it this is what the trial judge was referring to when she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All parties have led evidence on this issue [causation] and it would be inappropriate to resort to an inferential analysis as was argued on the plaintiff's behalf.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share that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same reasoning and conclusion must apply here. There has been led in this case "... affirmative medical evidence leading to a medical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plaintiffs assert that there must have been fetal heart decelerations and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failed to detect the decelerations. The plaintiffs have failed to prove on a balance of probabilities that Stephanie's injuries were caused by a chronic hypoxic event occurring in the second stage of labour. The "common sense reasoning" urged in Snell is inapplicable here, as the defendants have lead affirmative medical evidence that Stephanie's injuries were not caused by occlusion of the umbilical cord in the second stage of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As noted above the plaintiffs sought to prove a breach of the standard of care by focussing on the negative outcome of Stephanie's birth. This is akin to a res ipsa loquitor analysis. Even if this approach is correct, the defendants have provided compelling evidence that Stephanie's injuries did not occur in the second stage of labour. I find the plaintiffs have not proven that the cause or contributing cause to Stephanie's brain injuries was chronic hypoxia occurring in the second stage of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plaintiffs have failed to prove the defendants did not adequately monitor the fetal heartbeat. I find that the defendants did not breach the applicable standard of care in the way they monitored the fetal heartbeat. As I have found that Stephanie's injuries most likely occurred before labour, those injuries do not assist the plaintiffs in proving that decelerations were present and should have been detected. Therefore the plaintiffs have failed to prove any of the defendants were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plaintiffs' claims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Counsel are at liberty to speak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GARSON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8" style="position:absolute;z-index:2518261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38" w:history="1">
        <w:r>
          <w:rPr>
            <w:rFonts w:ascii="arial" w:eastAsia="arial" w:hAnsi="arial" w:cs="arial"/>
            <w:b/>
            <w:bCs/>
            <w:i/>
            <w:color w:val="0077CC"/>
            <w:kern w:val="32"/>
            <w:sz w:val="28"/>
            <w:szCs w:val="32"/>
            <w:u w:val="single"/>
            <w:shd w:val="clear" w:color="auto" w:fill="FFFFFF"/>
            <w:lang w:val="en-US" w:eastAsia="en-US" w:bidi="ar-SA"/>
          </w:rPr>
          <w:t>Kosugi v. Krueger (Litigation Guardian of) et al., [2007] I.L.R. para. M-2145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Gerow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March 1,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Court File No. 02-4399</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[2007] I.L.R. para. M-2145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[2007] B.C.J. No. 409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2007 BCSC 278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Kosugi v. Krueger (Litigation Guardian of) et al.</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9"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0" w:name="Keywords_14"/>
      <w:bookmarkEnd w:id="100"/>
      <w:r>
        <w:rPr>
          <w:rFonts w:ascii="arial" w:eastAsia="arial" w:hAnsi="arial" w:cs="arial"/>
          <w:b/>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Speeding — Apportionment of liability — Plaintiff sustained injuries when she struck all-terrain vehicle which was unlit and on wrong side of road — Action brought against driver and owner of vehicle and two people who had partially blocked lane while talking to driver — Plaintiff 25% liable and received 75% of total damages of $652,360 — Motor Vehicle Act, </w:t>
      </w:r>
      <w:hyperlink r:id="rId340" w:history="1">
        <w:r>
          <w:rPr>
            <w:rFonts w:ascii="arial" w:eastAsia="arial" w:hAnsi="arial" w:cs="arial"/>
            <w:b/>
            <w:i/>
            <w:color w:val="0077CC"/>
            <w:sz w:val="20"/>
            <w:u w:val="single"/>
            <w:shd w:val="clear" w:color="auto" w:fill="FFFFFF"/>
            <w:lang w:val="en-US" w:eastAsia="en-US" w:bidi="ar-SA"/>
          </w:rPr>
          <w:t>R.S.B.C. 1996, c. 318, ss. 67</w:t>
        </w:r>
      </w:hyperlink>
      <w:r>
        <w:rPr>
          <w:rFonts w:ascii="arial" w:eastAsia="arial" w:hAnsi="arial" w:cs="arial"/>
          <w:b/>
          <w:color w:val="000000"/>
          <w:sz w:val="20"/>
          <w:lang w:val="en-US" w:eastAsia="en-US" w:bidi="ar-SA"/>
        </w:rPr>
        <w:t>, 187.</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1" w:name="Case Summary_13"/>
            <w:bookmarkEnd w:id="101"/>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("Kosugi") sustained injuries when she struck an all-terrain vehicle (the "ATV") which was stopped on the wrong side of the road. The ATV did not have its lights on. The defendant ("Krueger") had borrowed the ATV from the other defendant ("Priebe"), and was driving it. Krueger noticed the defendants Dr. Richard Moody and Janet Moody (respectively "Richard" and "Janet") driving behind her. She testified that they were yelling at her so she stopped her ATV. Janet and Richard pulled their car ahead and to the side of the ATV. Janet remained in the car but Richard got out and began admonishing Krueger for not driving properly and not wearing a helmet. When Janet saw Kosugi's car approaching she flashed the lights of her own car as a warning. Kosugi initially thought the flashing was a signal that her high beams were on. She did not realize that the car flashing its lights was stopped and did not see the ATV behind it until it was too late to avoid a collision. Kosugi suffered several injuries, including a herniated disc, which required surgery. She claimed that as a result of her injuries she was permanently partially disabled and was unable to seek competitive employment. She brought an action against Krueger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driving, against Priebe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allowing Krueger to drive the ATV without proper instructions, against Richard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contributing to a dangerous situation by stopping the ATV while it was on the wrong side of the road and allowing it to remain there while he talked, and against Janet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stopping her vehicle so that it partially blocked traffic and for flashing her high beams at Kosugi, thereby blinding her to the position of the vehicles on the road. Kosugi sought damages for pain and suffering, past wages losses, future income loss, cost of future care, and out-of-pocket expenses. The defendants claim that Kosugi caused the accident by failing to keep a proper lookout and by failing to slow down when warned by the flashing high beams. The defendants also disputed the level and extent of Kosugi's injuries.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2" w:name="Holdings of Court_12"/>
            <w:bookmarkEnd w:id="102"/>
            <w:r>
              <w:rPr>
                <w:rFonts w:ascii="arial" w:eastAsia="arial" w:hAnsi="arial" w:cs="arial"/>
                <w:color w:val="000000"/>
                <w:sz w:val="20"/>
                <w:lang w:val="en-US" w:eastAsia="en-US" w:bidi="ar-SA"/>
              </w:rPr>
              <w:t>HELD: Liability was apportioned and the plaintiff was responsible for 25% of the accident and therefore received 75% of the award for damages.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apportioned liability as follows: 25% to Krueger for operating the ATV without lights and for stopping on the wrong side of the road; 25% to Priebe for failing to properly instruct Krueger, a young, unlicensed driver, in the operation of an ATV; 12.5% to each of Richard and Janet for stopping Krueger on the wrong side of the road and allowing her to remain there while they lectured her on safe driving and, additionally, for flashing their high beam lights at Kosugi, making it more difficult for her to see the situation she was driving into. Kosugi was 25% negligent for not slowing down sufficiently when she was warned by flashing high beams. Kosugi was awarded $110,000 for general damages, $100,000 for past loss of wages, $350,000 for future loss of capacity, $90,000 for future care, and $2,360.98 for special damages. She received 75% of the total award of $652,360.98.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spacing w:after="240"/>
        <w:rPr>
          <w:rFonts w:ascii="arial" w:eastAsia="arial" w:hAnsi="arial" w:cs="arial"/>
          <w:sz w:val="20"/>
          <w:lang w:val="en-US" w:eastAsia="en-US" w:bidi="ar-SA"/>
        </w:rPr>
      </w:pPr>
      <w:bookmarkStart w:id="103" w:name="Judgment_14"/>
      <w:bookmarkEnd w:id="103"/>
      <w:r>
        <w:pict>
          <v:line id="_x0000_s1100" style="position:absolute;z-index:25172480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4" w:name="GEROW J."/>
            <w:bookmarkEnd w:id="104"/>
            <w:r>
              <w:rPr>
                <w:rFonts w:ascii="arial" w:eastAsia="arial" w:hAnsi="arial" w:cs="arial"/>
                <w:b/>
                <w:color w:val="000000"/>
                <w:sz w:val="30"/>
                <w:lang w:val="en-US" w:eastAsia="en-US" w:bidi="ar-SA"/>
              </w:rPr>
              <w:t>GEROW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Yvonne Kosugi was injured in a motor vehicle accident that occurred on June 15, 2002 on Golf Course Road, which is located approximately 10 kilometres north of Fort St. John, B.C. Golf Course Road is a paved two lane road with narrow shoulders and large ditches on both sides. Ms. Kosugi was driving south on Golf Course Road, when she collided with an unlit 1992 Honda all terrain vehicle (the "ATV") which was stopped on the wrong side of the road, partially obstructing the southbound lane. The ATV was being driven by the defendant, Rochelle Krueger, and was owned by the defendant, Jeff Priebe. The defendants, Dr. Richard Moody and Janet Moody, had been driving north on Golf Course Road when they stopped to talk to Ms. Krueger. Mrs. Moody was driving the vehicle and stayed in it while Dr. Moody got out to speak to Ms. Krueger and another girl who was riding with her. The Moody's vehicle was stopped a short distance north of the ATV, partially obstructing the northbound lane. While the vehicle was stopped, Mrs. Moody saw Ms. Kosugi's vehicle approaching from some distance away and started to flash her high beams at Ms. Kosugi. In her statement of claim, Ms. Kosugi alleges that the motor vehicle accident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Ms. Krueger and Dr. and Mrs. Moody in obstructing the travelled portion of the highway. The statement of claim alleges that Mr. Priebe was negligent in lending the ATV to an inexperienced driver without adequately instructing her regarding the proper and safe operation of the ATV. The defendants allege that Ms. Kosugi caused the motor vehicle accident by driving her vehicle at an unsafe speed, and by failing to keep a proper lookout. The defendants also take issue with the extent and duration of injuries suffered by Ms. Kosugi.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issues are:</w:t>
      </w:r>
      <w:r>
        <w:rPr>
          <w:rFonts w:ascii="arial" w:eastAsia="arial" w:hAnsi="arial" w:cs="arial"/>
          <w:sz w:val="20"/>
          <w:lang w:val="en-US" w:eastAsia="en-US" w:bidi="ar-SA"/>
        </w:rPr>
        <w:cr/>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Ms. Kosugi or any or all of the defendants responsible for the accident? and</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Ms. Kosugi is permanently partially disabled as a result of the injuries she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have concluded that Ms. Kosugi and the defendants all bear part of the responsibility for the accident. Ms. Krueger was negligent in driving the ATV without lights, and in stopping the ATV on the wrong side of the travelled portion of the road. Mr. Priebe was negligent in allowing Ms. Krueger to operate the vehicle without providing her with sufficient instructions regarding its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Moody's were negligent in that their actions added to a dangerous situation. They signalled to the girls to stop. Even though Dr. Moody immediately recognized that where the ATV stopped created a dangerous situation, he prolonged the danger by talking to the girls while the ATV remained on the wrong side of the road, rather than either telling the girls to move the ATV on to the shoulder or assisting them in moving the ATV off the travelled portion of the road. Mrs. Moody by stopping her vehicle where it was blocking the northbound traffic and continuing to flash the vehicle's high beams at Ms. Kosugi's oncoming vehicle made it more difficult for Ms. Kosugi to see the ATV behind the Moody's vehicle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As well, Ms. Kosugi was contributorily negligent. Although the evidence is that Ms. Kosugi was travelling at or near the speed limit of 80 kph prior to the accident, Ms. Kosugi knew that the flashing lights indicated a warning and failed to slow brake. In my view, she contributed to the accident by failing to slow down more than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are issues as to what time the accident occurred, what the lighting was like at the time of the accident, and whether Ms. Kosugi was speeding.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Golf Course Road is a fairly straight road which has a long undulating incline as it goes south from Charlie Lake to the Alaska Highway. The speed limit near Charlie Lake is 50 kph but it increases to 80 kph before the accident scene. The area is rural, and there are no street lights. There is a campground near Charlie Lake and a golf course on one side of the road. There are some residences and farmers' fields on the other side of the road. There are large ditches on both sides of the road and the area beside the road is quite treed. However, the pictures of the area in which the accident occurred show that shoulder on the southbound side of the road is wide enough to allow a vehicle to pull completely off the travelled portion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evidence of both Ms. Kosugi and the Moodys is that there are often deer on the road, and that drivers using the road have to be alert to the possibility of deer jumping from the ditches on to the road in order to cross from the golf course to the farmers' fields. It is not unusual for drivers to signal warnings to other drivers if they see wildlife. Every now and then you see cars flashing their lights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the time of the motor vehicle accident, Ms. Kosugi was separated from her husband, but lived near the former matrimonial home. On June 15, 2002, she spent the evening with her husband and children in the former matrimonial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Kosugi's evidence is that she left the residence just after 11 p.m. to return to her home. Both Mr. and Mrs. Kosugi testified that when Ms. Kosugi left the former matrimonial home, it was overcast and dark outside. There are no street lights. After leaving the residence, Ms. Kosugi drove south along Golf Course Road towards the house she was living in. She was initially driving with her high beams on. Ms. Kosugi's evidence is that as she proceeded up the hill she saw the wash of of an oncoming vehicle's headlights on the trees. She dimmed her lights; however, when she was about eight car lengths away the oncoming vehicle started flashing its headlights.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Kosugi initially checked her high beams to see if they were still on, and then started to check for deer in the ditches. She took her foot off the accelerator and covered the brake but did not begin braking. Her evidence is that she was driving the speed limit of 80 kph prior to removing her foot from the accelerator. She moved slightly to the right of her lane away from the vehicle which was flashing its lights. Ms. Kosugi's evidence is that she did not realize the vehicle was stopped until she was very close to it. As she got closer to the vehicle she was able to see past the glare of the headlights and saw that there was an unlit ATV stopped on the right hand side in her lane. She braked but was unable to avoid hitting the ATV.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defendants who testified, Ms. Krueger and Dr. and Mrs. Moody all testified that it was dusky or twilight at the time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Krueger was sixteen years old at the time of the accident. She did not have a driver's licence and had not driven an ATV before. She was staying at the campground that night but did not fit in with the crowd at the campground because they were older. Mr. Priebe asked her if she wanted to take another girl who was also bored for a ride on the ATV. She agreed and left the campground on the ATV heading for a store on the Alaska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Krueger drove in the ditch beside the road. It was getting late so she started back towards the campground down the same ditch. She saw a shadow in the ditch which she thought might be a bear or a moose, so she decided to cross over the road and go into the ditch on the other side. As she was driving down the road looking for a place to enter the ditch Ms. Krueger noticed a car behind her. According to Ms. Krueger, the Moodys started yelling at her so she stopped the ATV to find out what they wanted. Dr. Moody got out of the vehicle and expressed concern that she was not wearing a helmet or driving the ATV properly. According to Ms. Krueger she was stopped between two and ten minutes before the accident occurred. She knew it was not a good place to stop the ATV as it was partially on the road. She did not move the ATV off the road because she was scared that she was in trouble. Ms. Krueger's evidence is that when she first stopped it was dark but not pitch black. As she continued to talk to Dr. Moody it became darker, however, she does not think it was pitch black when the accident occurred. If she had not been stopped by the Moodys she was planning to take the ditch back to the campsite.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Krueger heard Ms. Kosugi's vehicle before she saw it. When she saw the headlights, she was sitting on the ATV and froze. The oncoming vehicle did not appear to be slowing down and Ms. Krueger knew she couldn't move the ATV. Dr. Moody yelled at her so she jumped off the ATV into the ditch. She estimated that Mrs. Moody started flashing her lights at the oncoming vehicle when it was about two or three telephone poles away. Ms. Krueger did not think the oncoming vehicle was speeding.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Mrs. Moody testified that the accident occurred around 11 p.m. and that it was twilight. Her evidence is that it does not get completely dark in June. She noticed a dark shape on the road after she turned on to Golf Course Road. The object was too dark to recognize as an ATV until her headlights shone on it. The ATV did not have its lights on. According to Mrs. Moody she blinked her lights at the ATV, but did not say anything to the people on the ATV until the ATV had pulled over and stopped. Although at trial Mrs. Moody's evidence was that she flashed her lights at the ATV not to have them stop but to get them off the road, at her examination for discovery her evidence was that she flashed her lights at the girls to get them to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When she pulled up beside the ATV Mrs. Moody and her husband realized there were two young girls on it. She asked the girls why they were driving with no lights on because they could get killed. Her evidence is that she pulled over to the right and stopped slightly ahead of the ATV, and her husband got out of the vehicle to talk to the girls. Mrs. Moody remained in the vehicle where she had stopped it at the top of the hill. Because the shoulder is narrow and there is a large ditch on the northbound side of the road Mrs. Moody could not pull off the road entirely. Instead she stopped her vehicle partially on the roadway and partially on the shoulder. She did not put her four way flashers on or any signal lights on while she was stopped. Shortly after she stopped, Mrs. Moody saw some lights coming up the road. She started flashing her lights from high beam to low beam as a warning to the oncoming driver. It did not occur to Mrs. Moody that flashing her lights at the oncoming driver could have blinded the driver to the ATV parked behind her vehicle. Mrs. Moody agreed that she could have been stopped on the road for up to four minutes before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Moody's evidence on his examination for discovery was that he and his wife followed the girls for some time before they decided they needed to do something about it. At that point they got the driver of the ATV to pull over. According to Dr. Moody he recognized immediately that the girls were in a difficult situation. He felt that it was an accident waiting to happen because the girls appeared to be very young, the ATV had no lights on, and the girls were not wearing helmets. There was nowhere for the girls to go on the left side of the road because of a very steep ditch. Dr. Moody went to speak to the girls to tell them that what they were doing - driving on the road without lights and helmets - was dangerous.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Dr. Moody's evidence was that if the girls had pulled over into the ditch on the right, he would not have stopped to talk to them. It was only when they stopped in the left lane that he realized there was a dangerous situation which required him to get out of the car to talk to the girls. While he was talking to the girls, Dr. Moody became aware that a vehicle was approaching in the same lane the ATV was stopped in. Rather than telling the girls to get the ATV off the road, or looking for the headlight switch on the ATV, Dr. Moody continued to talk to the girls. As well, Dr. Moody did not attempt to help the girls move the ATV off the road and on to the left side shoulder even though there was room for the ATV to pull on to the shoulder. Dr. Moody's evidence is that when he first saw the lights, he thought the vehicle would stop so he continued to talk to the girls. However, at some point he became aware that that an accident was inevitable as the vehicle was not going to stop and took immediate evasive action by jumping into the ditch.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Experts were called on behalf of both Ms. Kosugi and the defendants regarding the speed of Ms. Kosugi's vehicle prior to the accident, and the visibility at the time of the accident. The experts for both Ms. Kosugi and the defendants based their opinions regarding the speed Ms. Kosugi was travelling on photographs of the damage to the vehicles and photographs of the skid marks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addition to the photographs, Mr. Gough, the defendants' expert, relied on measurements taken by the adjuster. He agreed that using photographs to determine the amount of damage to the vehicles was not as good as having the vehicles in front of him, and that he had to allow for a significant margin of error and make a number of assumptions as a result of having to use photographs. He estimates that Ms. Kosugi was travelling at a speed between 86 kph and 111 kph before she started to brake, and between 60 and 88 kph at the time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plaintiff's expert, Mr. Leggett, identified a number of problems with the calculations performed by the defendant's expert, including the fact that Mr. Gough did not use a coefficient of restitution in his calculations. By not using the coefficient of restitution Mr. Gough failed to take into account the fact that there would be some movement of the ATV when Ms. Kosugi's vehicle collided with it. Instead Mr. Gough assumed that the ATV was rigid and could not be crushed. Mr. Leggett's opinion is that the assumption of infinite stiffness of the ATV dramatically influenced Mr. Gough's speed calculations, and caused him to overestimate Ms. Kosugi's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Gough agreed that he did not use a coefficient of restitution which takes into account the bounce back of two vehicles which collide or come together. He also agreed using a coefficient of restitution in his calculations would have resulted in a reduction of the estimated speed of Ms. Kosugi's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is clear from the photographs of the ATV that it is not an immovable barrier. It has large tires which would provide some give during a collision as well as other parts which would give under impact. In my view, not much weight can be given to Mr. Gough's opinion regarding the speed of Ms. Kosugi's vehicle as it is apparent from the evidence that he was working from photographs which hampered his ability to do a proper assessment and did not factor in the coefficient of restitution.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Constable Charron, the police officer who attended the accident, described it as dusk, but on the accident report which he filled out at the time he indicated "dark/no illumination".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sun and moon data provided for Golf Course Road for the day of the accident indicates that civil twilight ended at 22:58 or just before 11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Both the plaintiff's and the defendants' experts who provided opinions regarding visibility agreed that the end of civil twilight is dark from the perspective of a driver of a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defendant's expert, Mr. Ising, provided a report regarding visibility. Although tests were taken at the site on the anniversary of the accident, the conditions did not replicate the actual situation that confronted Ms. Kosugi. Mr. Ising used surrogate vehicles which were different models from the vehicles involved in the accident and newer. Newer vehicles are generally more reflective. Rather than taking measurements and pictures using an ATV parked on the road at 11 p.m. at night, Mr. Ising used illumination measurements from a brand new ATV located in a lit showroom in order to conduct his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photographs taken at the scene on the anniversary of the accident were taken at approximately 9 p.m. and give no sense of the amount of darkness or visibility at 11 p.m. Mr. Ising's assessment is based on the lights being either on high beam or low beam, and does not take into account that Mrs. Moody was flashing her high beams at Ms. Kosugi's vehicle. The evidence is that a driver's eyes have to adjust to changes in light conditions. In my view, given all the variables and assumptions Mr. Ising made in coming to his conclusions, his opinion as to whether or not Ms. Kosugi should have been able to see the ATV earlier cannot be given much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noted in Mr. Ising's report, the calculated detection distances in his report have assumed a glance in the proper direction. If the eyes were directed elsewhere, the detection distance and probability of evasion would be reduced. The evidence is that Ms. Kosugi was averting her eyes from the flashing lights, and scanning the ditches for deer as well as trying to see down the road. She did not begin to brake until she could see the ATV past the flashing headlights. At that point she was unable to avoid a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It is not disputed that the ATV was stopped on the wrong side of the road, and that Ms. Kosugi had the right of way. Section 187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prohibits stopping on a roadway and obstructing traffic:</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(3), if outside of a business or residence district it is practicable to stop, park or leave a vehicle off the roadway, a person must not stop, park or leave the vehicle either unattended or attended on the roadway.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(3), a person must not park a vehicle so as to obstruct the free passage of traffic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 driver is required to drive his vehicle in a manner which permits him to keep the vehicle under proper control when meeting the ordinary exigencies of traffic. The onus is on the defendants to establish, on a balance of probabilities, that Ms. Kosugi could, by exercise of reasonable care, have avoided a collision with the ATV. This onus can be discharged only by reliable evidence of time, distance, speed, and the point at which the ATV was visible to the plaintiff. When a person or persons who have negligently created such a danger attempt to argue that the plaintiff should be apportioned the blame by means, or partly by means, of mathematical calculations, the premises on which the calculation are based must not be vague. The evidence must be specific and accurate. Any doubts should be resolved in favour of the plaintiff. </w:t>
      </w:r>
      <w:r>
        <w:rPr>
          <w:rFonts w:ascii="arial" w:eastAsia="arial" w:hAnsi="arial" w:cs="arial"/>
          <w:b/>
          <w:i/>
          <w:color w:val="000000"/>
          <w:sz w:val="20"/>
          <w:lang w:val="en-US" w:eastAsia="en-US" w:bidi="ar-SA"/>
        </w:rPr>
        <w:t>Haase v. Pedro</w:t>
      </w:r>
      <w:r>
        <w:rPr>
          <w:rFonts w:ascii="arial" w:eastAsia="arial" w:hAnsi="arial" w:cs="arial"/>
          <w:color w:val="000000"/>
          <w:sz w:val="20"/>
          <w:lang w:val="en-US" w:eastAsia="en-US" w:bidi="ar-SA"/>
        </w:rPr>
        <w:t xml:space="preserve"> </w:t>
      </w:r>
      <w:hyperlink r:id="rId341" w:history="1">
        <w:r>
          <w:rPr>
            <w:rFonts w:ascii="arial" w:eastAsia="arial" w:hAnsi="arial" w:cs="arial"/>
            <w:i/>
            <w:color w:val="0077CC"/>
            <w:sz w:val="20"/>
            <w:u w:val="single"/>
            <w:shd w:val="clear" w:color="auto" w:fill="FFFFFF"/>
            <w:lang w:val="en-US" w:eastAsia="en-US" w:bidi="ar-SA"/>
          </w:rPr>
          <w:t>(1970), 21 B.C.L.R. (2d) 273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this case, the opinions of the defendants' experts are that Ms. Kosugi could have avoided the accident if she had used proper care and attention. However, the opinions of the defendants' experts are based on calculations which, out of necessity, used a variety of assumptions as there were no measurements or photographs taken at the time of the accident. Accordingly, I do not accept the opinions of the defendants' experts that Ms. Kosugi could have avoided the accident entirely if she had exercised proper care and attention. However, that being said, it is my opinion that having seen the flashing lights which she admitted she knew were a warning, Ms. Kosugi should have slowed more than she did as she approached the oncoming vehicle. She must, therefore, bear a portion of the blame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Counsel for Mr. Priebe argues that Mr. Priebe should not be found liable because it has not been established on the basis of any admissible evidence that he was the owner of the ATV. Counsel asserts that the only information that Mr. Priebe owned the ATV came from the police report, and relies on s. 67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for the proposition that a statement made under compulsion of the statute cannot be used to incriminate him in a subsequent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relevant portions of s. 67 provide:</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vehicle driven or operated on a highway, either directly or indirectly, causes death or injury to a person or damage to property causing aggregate damage apparently exceeding the amount set out in subsection (2), the person driving or in charge of the vehicle must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 the accident to a police officer or to a person designated by the Insurance Corporation of British Columbia to receive those reports, and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furnish the information respecting the accident required by the police officer or designated person.</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a report has been made under this section is admissible in evidence solely to prove compliance with this section, and the report is admissible in evidence on the prosecution of any person for the offence of making a false statement in that report, but neither the report nor any statement contained in it is admissible in evidence for any other purpose in a trial or proceeding arising out of the accident referred to in the report.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subsections (10) and (11), a peace officer may, if giving evidence in a proceeding, refer to a report prepared by him or her under this section to refresh his or her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my view, this section does not assist Mr. Priebe. He was not the driver of the vehicle. Even if the section applies on the basis that he was a person in charge of the vehicle, the onus is on the person invoking this section to establish on the balance of probabilities that the statement was made under compulsion of the statute. The test for compulsion is whether, at the time that the accident was reported by the driver, the driver gave the report on the basis of an honest and reasonably held belief that he was required by law to report the accident: </w:t>
      </w:r>
      <w:r>
        <w:rPr>
          <w:rFonts w:ascii="arial" w:eastAsia="arial" w:hAnsi="arial" w:cs="arial"/>
          <w:b/>
          <w:i/>
          <w:color w:val="000000"/>
          <w:sz w:val="20"/>
          <w:lang w:val="en-US" w:eastAsia="en-US" w:bidi="ar-SA"/>
        </w:rPr>
        <w:t>R. v. Powers</w:t>
      </w:r>
      <w:r>
        <w:rPr>
          <w:rFonts w:ascii="arial" w:eastAsia="arial" w:hAnsi="arial" w:cs="arial"/>
          <w:color w:val="000000"/>
          <w:sz w:val="20"/>
          <w:lang w:val="en-US" w:eastAsia="en-US" w:bidi="ar-SA"/>
        </w:rPr>
        <w:t xml:space="preserve">, </w:t>
      </w:r>
      <w:hyperlink r:id="rId342" w:history="1">
        <w:r>
          <w:rPr>
            <w:rFonts w:ascii="arial" w:eastAsia="arial" w:hAnsi="arial" w:cs="arial"/>
            <w:i/>
            <w:color w:val="0077CC"/>
            <w:sz w:val="20"/>
            <w:u w:val="single"/>
            <w:shd w:val="clear" w:color="auto" w:fill="FFFFFF"/>
            <w:lang w:val="en-US" w:eastAsia="en-US" w:bidi="ar-SA"/>
          </w:rPr>
          <w:t>2006 BCCA 454</w:t>
        </w:r>
      </w:hyperlink>
      <w:r>
        <w:rPr>
          <w:rFonts w:ascii="arial" w:eastAsia="arial" w:hAnsi="arial" w:cs="arial"/>
          <w:color w:val="000000"/>
          <w:sz w:val="20"/>
          <w:lang w:val="en-US" w:eastAsia="en-US" w:bidi="ar-SA"/>
        </w:rPr>
        <w:t>. Mr. Priebe did not testify at the trial, and therefore has not satisfied the onus of establishing that he gave the information to the police under compulsion.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Constable Charron testified that Mr. Priebe identified himself as the owner of the ATV. In the circumstances, I am satisfied that the evidence establishes that Mr. Priebe was the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As stated earlier, I have concluded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Ms. Kosugi and the defendants contributed to the accident. Ms. Kosugi was negligent in not slowing her vehicle more as she approached the flashing headlights which she knew were a warning. Ms. Krueger was negligent in stopping the ATV on the travelled portion of the road facing in the wrong direction, not using its lights after dark, and operating the ATV without obtaining proper instruction as how to operate it. Mr. Priebe was negligent in allowing Ms. Krueger to operate the ATV without ensuring that she knew how to operate the ATV, or providing her with any instructions on the operation of the ATV. Although well meaning, Dr. Moody and Mrs. Moody made a bad situation worse by signalling the girls to stop, engaging them in conversation rather than either telling them or helping them to move the ATV off the road, parking their vehicle so it partially obstructed the road, and flashing their lights at the oncoming vehicle, thereby obscuring the ATV from Ms. Kosugi's view. They share some responsibility for the accident, as they helped create and prolong a dangerous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my view, liability should be apportioned 25% to Ms. Kosugi, 25% to Ms. Krueger, 25% to Mr. Priebe, 12.5% to Dr. Moody, and 12.5% to Mrs. Moody.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Kosugi suffered a number of injuries in the motor vehicle accident, the most significant of which was to her lower back. Ms. Kosugi suffered a disc herniation which has required surgery. The injuries have resulted in chronic low back pain which radiates down into her left buttock. She has a weakness in her left foot. She also suffers from depression, in part because of the ongoing pain and limitations from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Kosugi submits that as a result of the injuries suffered in the accident she is permanently partially disabled and limited in her activities, which results in her being competitively unemployable. She seeks damages for pain and suffering, past wages losses, future income loss, cost of future care, and out-of-pocket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defendants do not dispute that Ms. Kosugi suffered a herniated disc as a result of the accident. They say, however, that there are issues regarding Ms. Kosugi's level of functionality and the cause of her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There is no issue that Ms. Kosugi is partially disabled and suffers from ongoing pain as a result of the injuries suffered in the motor vehicle accident. Ms. Kosugi is limited in the type of activities she can now engage in and has been unable to return to a number of her pre-accident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All of the plaintiff and defence experts agree that Ms. Kosugi will suffer from permanent ongoing pain. As stated by Dr. Gittens, the defendants' expert: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Kosugi's symptoms are likely to persist at this current level. She is partially disabled. The main cause for her disability being the ongoing pain in the back and left buttock.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Gittens goes on to opine that if Ms. Kosugi's back pain worsens significantly, a back fusion could be an option. However, it is Dr. Gittens' opinion that the potential for a worsening of her lower back pain can be reduced by being involved in a regular back exercise program and staying in reasonably good shape.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At the time of the accident, Ms. Kosugi was 39 years old and very physically active. She had recently completed her qualifications to enable her to take a position as a lifeguard at the Fort St. John community pool. She enjoyed gardening, hiking, kayaking, canoeing and walking her dog. As well, she used to volunteer at the art gallery, and was very involved in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Since the accident Ms. Kosugi has been unable to return to hiking, canoeing and kayaking. Her ability to garden, walk and volunteer has been limited dramatically by the accident. She can no longer be as involved in her children's activities as she was pre-accident. As well, her ability to perform day to day chores is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Kosugi's evidence is that as a result of the ongoing pain she cannot sit or stand for long periods of time. Almost any activity aggravates the pain, and a great deal of her energy is spent on managing the pain. She has great difficulty sleeping, and suffers from constant fatigue as a result. She is depressed about the ongoing limitations, and is not the happy carefree person she used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Kosugi's evidence is supported by both the medical evidence and the evidence of lay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While some of Ms. Kosugi's depression is due also to the loss of her mother, there is no doubt that the ongoing pain and realization that she is not going to completely recover has contributed to her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and defendants have provided me with a number of cases to assist in determining the appropriate award for pain and suffering. Ms. Kosugi submits that an award for general damages of $135,000 is appropriate based on the evidence and the case law. The defendants submit that their authorities support an award for general damages in the range of $85,000 to $95,000. I have considered the authorities presented by the parties. As with most cases, there are aspects of other decisions which are helpful, but they also have features which distinguish them from this case. I note generally that the defendants' authorities appear to involve cases of a less serious nature, whereas the Ms. Kosugi's authorities involve cases of a more serious nature. In general, the defendants have provided cases where the plaintiff did not require an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Having considered the extent of the injuries and the cases presented by counsel, I am of the view that the appropriate award for non pecuniary damages is $110,000.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Wage Loss and Loss of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Considerations of both past and future wage loss are similar in that the issue is whether Ms. Kosugi was and continues to remain competitively unemployable, and if so, for how 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Kosugi submits that as a result of her injuries she was unable to return to work in her former position as a lifeguard, or in any other position as the injuries rendered her competitively unemployable. She claims a net past wage loss in the amount of $120,550, based on a past wage loss of $182,648 less 34% for taxes and other deductions. Ms. Kosugi claims $589,400 for loss of future income, or loss of capacity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defendants agree that Ms. Kosugi could not return to work in her previous position but assert that Ms. Kosugi has some residual capacity to work, and that she was and is capable of working in positions of a more sedentary nature. The defendants point to the fact that Ms. Kosugi failed to pursue an accommodation process with the City after she became aware that she would not be able to return to her position as a lifeguard. While they agree she could not have worked at any position for some time, they submit that the net past wage loss is in the range of $80,000 to $90,000. They submit that the appropriate range for loss of capacity to earn income is $125,000 to $150,000 based on a residual capacity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experts' reports that have been prepared regarding Ms. Kosugi's ongoing functional limitations are based in part on Ms. Kosugi's self-reporting and in part on medical evidence. As noted earlier, all of the experts agree that there is some ongoing permanent disability which impairs Ms. Kosugi's ability to work, both in the past and in the future. Where the experts disagree is on the degree of limitation, and whether Ms. Kosugi has been and remains competitively unemployable.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defendants assert that Ms. Kosugi has some ongoing pain but that she is clearly able to function at a light or sedentary employment level, based on all of the evidence, and that she is able to perform most, but not all, of her household chores. As well, they argue that there is evidence that Ms. Kosugi had a pre-existing degeneration of her spine, and that any award should be reduced for the possibility that she would have had back problems regardless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evidence is that Ms. Kosugi's ongoing back and leg pain after the accident caused her to have difficulty walking. In May 2003, she underwent surgery on her lumbar spine. Following surgery she had some improvement in her leg pain but has been left with ongoing back pain. Occasionally she has pain into her left leg and around the right knee. She attended a pain clinic in Vancouver in May 2005 for a six week course which provided her with techniques for dealing with her ongoing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le Nobel, a doctor specializing in physical medicine and rehabilitation, saw Ms. Kosugi on two occasions, September 9, 2004 and June 21, 2005. He testified that, in his opinion, Ms. Kosugi was competitively unemployable. In September 2004, Dr. le Nobel opined that the reason for Ms. Kosugi's ongoing symptoms is multi-factorial and due to a combination of scarring in the nerve roots which was affected by pressure from the extruded disc and possibly a retained disc fragment. However, there is no evidence of a retained disc fragment. The MRI performed on June 22, 2006 reported that there was no observable disc protrusion or nerve root compression. The other factors which he identified in his September 2004 report as contributing to Ms. Kosugi's ongoing pain were chronic sleep loss and deconditioning.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his June 28, 2006 report, Dr. le Nobel indicated that, based on information provided by Ms. Kosugi and his physical examination, Ms. Kosugi remained competitively unemployable.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At trial Dr. le Nobel testified that his opinion that Ms. Kosugi was competitively unemployable was in part based on talking to her and being told by her what she had been doing. Ms. Kosugi had continued with an exercise program, but had plateaued in her recovery. She still had limitations in what she could do at home. As well, she reported that she had made attempts to return to volunteering, in order to determine if she could work, but had failed at her attempts to volunteer on a regular basis. Dr. le Nobel agreed that his findings on his physical examination of Ms. Kosugi were similar to those of Dr. Gittens. He also agreed that a big part of his assessment was based on Ms. Kosugi's comments regarding her ability to stand the pain, and that the best way to measure her ability was for her to go out into the work place and try to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Gittens saw Ms. Kosugi on May 17, 2005. Based on his review of Ms. Kosugi's medical records and his physical examination, he formed the opinion that she was permanently partially disabled. However, his opinion was that her physical condition did not render her totally disabled and incapable of working. Dr. Gittens' opinion was that work was possible with flexibility. Dr. Gittens noted in his report that Ms. Kosugi had pre-existing degenerative changes which made the disc more susceptible to herniation; however, he agrees that the motor vehicle accident was responsible for the disc herniation. In Dr. Gittens' initial report of June 5, 2005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difficult to note or predict whether in the presence of degenerative disc disease an individual will ultimately develop symptoms. Degenerative changes in the lumbar spine occur in many with age. Some remain relatively asymptomatic. Some have minor symptoms and others go on to develop symptoms requiring interventions, both of a surgical and non surgical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his letter of September 12, 2006, Dr. Gittens opined that based on certain unidentified studies and literature "Ms. Kosugi would have a 10% or so chance of having neurological signs and symptoms in the presence of degenerative disc disease had she not had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Although the defendants suggest that disability was inevitable, they must establish it was a "substantial" or realistic possibility: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As set out by Dr. Gittens, it is difficult to note or predict whether in the presence of degenerative disc disease an individual will ultimately develop symptoms. Dr. Gittens' opinion in September 12, 2006 based on his review of unidentified studies literature, in my view, does not establish that there was a substantial or realistic possibility that Ms. Kosugi would inevitably be disabled from her pre-existing degenerative disc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vocational report provided by Ms. Kosugi was based on the findings of Dr. le Nobel, and the vocational report provided by the defendants was based on the findings of Dr. Gittens.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Trainor, the plaintiff's vocational expert opined in his report that employability is also a function of labour market factors, i.e. supply and demand for various types of employment, and the individual's ability in developing job leads and promoting herself to prospective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evidence is that there are many jobs in the Fort St. John area. Ms. Kosugi has a number of employment assets including strong communication skills, excellent reading and writing skills, basic computer literacy and well developed job search skills, to name a few. Although she does not have any significant post-secondary training, she has general learning ability at the post-secondary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Impey an occupational therapist, opined that as of May 2006, Ms. Kosugi was not employable in the regular competitive market, and that the only feasible option for Ms. Kosugi was self-employment on a contractual basis whereby she could set her own schedule. Ms. Impey's evidence was that she did not perform a functional capacity analysis with Ms. Kosugi because she could observe that Ms. Kosugi had problems sitting and standing for any length of time. Ms. Impey based her opinion partly on the fact that Ms. Kosugi had advised her that her attempt to volunteer on a set schedule to mimic paid employment had failed.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Quee-Newell, the vocational expert retained by the defendants, reported that the results of vocational testing indicate that Ms. Kosugi's occupational strengths lie in her high-average verbal aptitude and general learning ability, and average to high-average clerical perception skill potential. In Dr. Quee-Newell's opinion, Ms. Kosugi's scores suggest that she is likely capable of successfully completing post-secondary educational programs of two to four year's duration, particularly programs that can capitalize on her strong verbal skills. She noted that many office settings allow employees to move from sitting to standing and walking through out the day. This could accommodate Ms. Kosugi's need to change positions. She is of the opinion that counselling with a psychologist versed in pain management would facilitate the vocational rehabilitation process. Assuming that Ms. Kosugi's depressive symptoms continue to improve with treatment and this had a positive impact on her ability to effectively manage the physical and emotional demands of a return to work, Ms. Kosugi could consider a number of vocational options. Dr. Quee-Newell commented that the Fort St. John labour market is very strong, with employees earning average incomes higher than the provincial average.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evidence is that Ms. Kosugi is a meticulous housekeeper and has been able to complete her routine homemaking tasks, though at a slower rate. Ms. Coultry, the visual arts coordinator for the gallery in which Ms. Kosugi volunteered, testified that Ms. Kosugi has a great command of the English language, and that one of the things she did post-accident was write letters to members of the community on behalf of the gallery. Ms. Kosugi's volunteer work was not on a set schedule, and she often did not come in if the roads were bad because she did not like to drive in bad weather. Ms. Coultry's evidence is that Ms. Kosugi does an excellent job of clerical type work. Ms. Kosugi was able to man the phones, greet customers, run the cash, and wrote excellent letters. According to Ms. Coultry, Ms. Kosugi is intelligent and a good organizer.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my view, Ms. Kosugi has not satisfied the onus on her of establishing that she suffers from a permanent disability which renders her permanently competitively unemployable. Ms. Impey's and Dr. le Nobel's opinions were based in part on the fact that Ms. Kosugi had attempted to return to work which mimicked paid employment. However, according to Ms. Coultry, the volunteer work was not a set schedule. Ms. Coultry also confirmed that Ms. Kosugi's house was always neat and clean, that Ms. Kosugi was reliable, and that she does an excellent job with clerical functions.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Ms. Kosugi was able to attend at trial every day over a nine day period, during which she testified for parts of three days, answering questions coherently despite suffering obvious pain at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my view, the evidence viewed as a whole establishes that Ms. Kosugi has a loss of capacity due to the accident but has some residual capability to retrain and seek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factors to be taken into account in the assessment of future loss of capacity are set out in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The considerations include: whether the plaintiff was less capable of earning income from all types of employment; whether plaintiff was less attractive or marketable as an employee to potential employers; whether the plaintiff has lost the ability to take advantage of all job opportunities which might otherwise have been open to her, had she not been injured; and whether she is less valuable to herself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my view, Ms. Kosugi has proven on a balance of probabilities that her ability to earn income in the future has been diminished; that she is less marketable and less attractive to potential employers because of her injury; that she has lost the ability to take advantage of many job opportunities; and that she is less valuable to herself as a person as a consequence. It is far from clear that Ms. Kosugi will ever be able to work full time, even with retraining and a flexible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While Ms. Kosugi has testified that she can't see herself retraining or returning to work because of her chronic pain that does not relieve her from having to try to retrain and return to the workforce. It is recognized that assessing awards for loss of capacity is a matter of prophecy or "crystal ball gazing": </w:t>
      </w:r>
      <w:r>
        <w:rPr>
          <w:rFonts w:ascii="arial" w:eastAsia="arial" w:hAnsi="arial" w:cs="arial"/>
          <w:b/>
          <w:i/>
          <w:color w:val="000000"/>
          <w:sz w:val="20"/>
          <w:lang w:val="en-US" w:eastAsia="en-US" w:bidi="ar-SA"/>
        </w:rPr>
        <w:t>Knickle v. Filipovic</w:t>
      </w:r>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2006 BCSC 1693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issue of both Ms. Kosugi's past loss of income and future loss of capacity cannot be determined with any mathematical preciseness. As stated earlier, it is clear that Ms. Kosugi was totally incapacitated from any type of work for some time after the accident. Since her surgery in May 2003, she has had some improvement, but is left with a permanent partial disability. In my view, the appropriate award for past wage loss must take into account the fact that she has not made attempts to find part time employment, even on a contract basis. I would apply a 15% contingency to the past wage loss to take into account Ms. Kosugi's ability to take on some part time work between late 2003 and the date of trial. The net past wage loss being claimed by Ms. Kosugi should be reduced by 15% to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defendants' suggested range for future loss of capacity is based on the assumption that Ms. Kosugi will be able to return to full time employment in some capacity. As I indicated earlier, the evidence does not establish that Ms. Kosugi will be able to return to work full time; rather it is more likely that it will be on a part time or contract basis. Taking into account Ms. Kosugi's age, the severity of the injuries, the impact on her work, and the various contingencies that must be considered, such as ill health and changes in the job market, it is my view that the appropriate award for future loss of capacity is $350,000.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Kosugi claims an amount of $135,449 for future care costs, which includes the purchase of various equipment, housecleaning and gardening services, as well as medication. The defendants submit that the appropriate award for cost of future care is between $40,000 and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Both Ms. Kosugi and the defendants presented cost of future care reports supporting their suggested awards. Although Ms. Kosugi includes a claim for both light and heavy cleaning, it is apparent from the evidence that Ms. Kosugi can complete her regular light household chores, just at a slower pace. The evidence establishes that Ms. Kosugi needs assistance with gardening and heavy household cleaning.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Ms. Kosugi claims for the cost of a treadmill, plus a gym membership and a personal trainer. I agree with the defendants that there is some duplication in those items. If Ms. Kosugi has a membership at a gym she is not entitled to the cost of a treadmill.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There are a number of items which Ms. Kosugi is claiming which do not arise as a result of the accident. For example, she claims the cost of a king size bed, however that is a result of her entering into a new relationship since the time of the accident, which has made her former double bed too small. As well, she claims the cost of an expensive chair from Scan Design, with no medical rationale.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Finally Ms. Kosugi has presented insufficient evidence to support a claim for $160 a month for medication on a permanent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Having reviewed the two reports, and considered the evidence regarding Ms. Kosugi's capability I am of the view that an award under this head in the amount of $90,000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defendants agree with Ms. Kosugi's claim for $2,360.98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Ms. Kosugi and the defendants all bear some responsibility for the accident. The responsibility is apportioned 25% to Ms. Kosugi, 25% to Ms. Krueger, 25% to Mr. Priebe, 12.5% to Mrs. Moody and 12.5% to Dr. Moody.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Ms. Kosugi is entitled to an award of the following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2301"/>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General damages</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$110,000.00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2091"/>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loss of wages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100,000.00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1778"/>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loss of capacity</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350,000.00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3"/>
        <w:gridCol w:w="2405"/>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care</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90,000.00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869"/>
        <w:gridCol w:w="49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2,360.98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3"/>
        <w:gridCol w:w="2405"/>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damages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$652,360.98</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Kosugi is entitled to 75% of the total damage award. Subject to submissions, each party is entitled to costs at scale B based on the 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GEROW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1" style="position:absolute;z-index:2517760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50" w:history="1">
        <w:r>
          <w:rPr>
            <w:rFonts w:ascii="arial" w:eastAsia="arial" w:hAnsi="arial" w:cs="arial"/>
            <w:b/>
            <w:bCs/>
            <w:i/>
            <w:color w:val="0077CC"/>
            <w:kern w:val="32"/>
            <w:sz w:val="28"/>
            <w:szCs w:val="32"/>
            <w:u w:val="single"/>
            <w:shd w:val="clear" w:color="auto" w:fill="FFFFFF"/>
            <w:lang w:val="en-US" w:eastAsia="en-US" w:bidi="ar-SA"/>
          </w:rPr>
          <w:t>Laktin v. Vancouver (City), [2013] B.C.J. No. 2814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P.J. Pearlman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November 27,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S080395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2814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2179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Theodore Laktin, Plaintiff, and City of Vancouver, Vancouver Police Department, Constable Coulthard, Sergeant Clee, Constable Dujmovic, and Jane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2"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5" w:name="Keywords_15"/>
      <w:bookmarkEnd w:id="105"/>
      <w:r>
        <w:rPr>
          <w:rFonts w:ascii="arial" w:eastAsia="arial" w:hAnsi="arial" w:cs="arial"/>
          <w:b/>
          <w:color w:val="000000"/>
          <w:sz w:val="20"/>
          <w:lang w:val="en-US" w:eastAsia="en-US" w:bidi="ar-SA"/>
        </w:rPr>
        <w:t xml:space="preserve">Civil litigation — Civil procedure — Trials — Jury trials — Right to jury — Jury notice — Setting aside or striking out — Application by defendants to strike plaintiff's jury notice dismissed — Plaintiff claimed against defendant City and three police officers for damages for assault and battery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While responding to call plaintiff might be suicidal, one officer shot plaintiff, rendering him paraplegic — Plaintiff claimed non-pecuniary damages, special damages, costs of future care, loss of earning capacity, aggravated, and punitive damages for physical and psychological injuries — All parties intended to call expert medical and economic evidence — Issues were not of intricate or complex nature that would warrant striking jury.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Practice and procedure — Trials — Functions of judge and jury — Judge — Jury — Application by defendants to strike plaintiff's jury notice dismissed — Plaintiff claimed against defendant City and three police officers for damages for assault and battery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While responding to call plaintiff might be suicidal, one officer shot plaintiff, rendering him paraplegic — Plaintiff claimed non-pecuniary damages, special damages, costs of future care, loss of earning capacity, aggravated, and punitive damages for physical and psychological injuries — All parties intended to call expert medical and economic evidence — Issues were not of intricate or complex nature that would warrant striking jury.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6" w:name="Case Summary_14"/>
            <w:bookmarkEnd w:id="10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defendants, on the first day of a 25-day trial, to strike the plaintiff's jury notice. The plaintiff claimed against the defendant City and three police officers for damages for assault and battery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While responding to a call that the plaintiff might be suicidal, one of the officers shot the plaintiff, rendering him paraplegic. The plaintiff had approached the officers at the door to his apartment holding a large knife. The plaintiff claimed non-pecuniary damages, special damages, costs of future care, loss of earning capacity, aggravated, and punitive damages for physical and psychological injuries. The plaintiff filed his jury notice in 2011. Defendants' counsel served notice of the application to strike the jury notice but indicated they would not proceed until after full discovery had been made. Two weeks before the trial was scheduled to begin, the defendants gave notice to the plaintiff of their intention to proceed with the application on the first day of trial. The defendants intended to argue statutory defences available to them under the Criminal Code, implied consent to the battery, and the defence of ex turpi causa. All parties intended to call expert medical and economic evidence.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7" w:name="Holdings of Court_13"/>
            <w:bookmarkEnd w:id="107"/>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application should have been brought well in advance of the first day of trial but was to be determined on the merits. The plaintiff had a presumptive right to a trial by jury. The trial did not involve multiple accidents or actions. It did not raise complex issues of causation of the plaintiff's physical injuries. The expert evidence, medical and economic, was not too difficult for the jury to comprehend. The duties of care owed by the defendants to the plaintiff were matters of law for determination by the trial judge rather than the jury, as was the application of the doctrine of ex turpi causa. The Criminal Code defences available to the defendants added a level of complexity to the trial but the jury, properly instructed, could apply those provisions. Finding the facts regarding what occurred and determining whether the force used by the police was justified were tasks well suited to the jury.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8" w:name="Legislation Cited_12"/>
      <w:bookmarkEnd w:id="10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3"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Criminal Code, </w:t>
      </w:r>
      <w:hyperlink r:id="rId351" w:history="1">
        <w:r>
          <w:rPr>
            <w:rFonts w:ascii="arial" w:eastAsia="arial" w:hAnsi="arial" w:cs="arial"/>
            <w:i/>
            <w:color w:val="0077CC"/>
            <w:sz w:val="20"/>
            <w:u w:val="single"/>
            <w:shd w:val="clear" w:color="auto" w:fill="FFFFFF"/>
            <w:lang w:val="en-US" w:eastAsia="en-US" w:bidi="ar-SA"/>
          </w:rPr>
          <w:t>R.S.C. 1985, c. C-46, s. 25</w:t>
        </w:r>
      </w:hyperlink>
      <w:r>
        <w:rPr>
          <w:rFonts w:ascii="arial" w:eastAsia="arial" w:hAnsi="arial" w:cs="arial"/>
          <w:color w:val="000000"/>
          <w:sz w:val="20"/>
          <w:lang w:val="en-US" w:eastAsia="en-US" w:bidi="ar-SA"/>
        </w:rPr>
        <w:t>, s. 25(1), s. 27, s. 34(2), s.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CHAPTER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Police Act, </w:t>
      </w:r>
      <w:hyperlink r:id="rId352" w:history="1">
        <w:r>
          <w:rPr>
            <w:rFonts w:ascii="arial" w:eastAsia="arial" w:hAnsi="arial" w:cs="arial"/>
            <w:i/>
            <w:color w:val="0077CC"/>
            <w:sz w:val="20"/>
            <w:u w:val="single"/>
            <w:shd w:val="clear" w:color="auto" w:fill="FFFFFF"/>
            <w:lang w:val="en-US" w:eastAsia="en-US" w:bidi="ar-SA"/>
          </w:rPr>
          <w:t>RSBC 1996, CHAPTER 367, s. 20</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Rules, Rule 12-6(5)(a)(ii)</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9" w:name="Counsel_14"/>
      <w:bookmarkEnd w:id="10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4" style="position:absolute;z-index:2517770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 Cameron Ward &amp; N. Chantler.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 Quayle &amp; K. Liang.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0" w:name="Judgment_15"/>
      <w:bookmarkEnd w:id="110"/>
      <w:r>
        <w:pict>
          <v:line id="_x0000_s1105" style="position:absolute;z-index:2518272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Ruling on Defendants' Application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to Strike Jury Notice</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1" w:name="P.J. PEARLMAN J."/>
            <w:bookmarkEnd w:id="111"/>
            <w:r>
              <w:rPr>
                <w:rFonts w:ascii="arial" w:eastAsia="arial" w:hAnsi="arial" w:cs="arial"/>
                <w:b/>
                <w:color w:val="000000"/>
                <w:sz w:val="30"/>
                <w:lang w:val="en-US" w:eastAsia="en-US" w:bidi="ar-SA"/>
              </w:rPr>
              <w:t>P.J. PEARLMAN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the first day of this 25-day trial set for hearing with a jury, the defendants applied for an order that the action be tried by judge alone, pursuant to Rule 12-6(5)(a)(ii).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this action, the plaintiff Theodore Laktin claims against the defendant City of Vancouver and the defendants Constable Coulthard, Sergeant Clee, and Constable Dujmovic for damages for assault and battery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On January 21, 2006, while the three defendant police officers were responding to a call that the plaintiff might be suicidal, Constable Coulthard shot the plaintiff, rendering him paraplegic. Mr. Laktin claims against the defendants for catastrophic physical injuries, and for psychological injuries, including post-traumatic stress disorder and depression. The defendants say that the shooting was a justified and reasonable use of force in exigent circumstances where the plaintiff, within seconds of the officers' arrival at the door to his apartment, approached them holding a large knife.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After hearing submissions, I dismissed the defendants' application to have the trial heard by judge alone, with written Reasons to follow. These are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Timing of this Application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Rule 12-6(5)(a)(ii) permits a party to apply within seven days after service of a Notice Requiring Trial By Jury for an order that the trial be heard without a jury on the ground that "the issues are of an intricate or complex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raised a preliminary objection that the defendants brought this application out of time, and that the late hearing of the application prejudiced the plaintiff by requiring him to divert resources from preparation for the commencement of a 25-day jury trial to the 11th-hour argument of a motion about the mode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commenced this action on January 18, 2008. The trial was originally set down for 15 days commencing June 11, 2012. The plaintiff filed and served a Notice Requiring Trial By Jury on February 1, 2011. On February 9, 2011, counsel for the defendants served a Notice of Application for the trial to be heard without a jury, accompanied by a letter advising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require a Response to the application at this time as I am planning to have the application to strike the jury heard after full discovery has been made between the parties and expert reports have been exchanged.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original trial date was adjourned by consent, and the trial was initially rescheduled for January 27,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a Case Planning Conference held on October 24, 2012, the trial was rescheduled to commence on November 18,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filed two further Notices Requiring Trial by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parties completed examinations for discovery by October 5, 2011. Expert reports were exchanged in August 2013. On October 3, 2013, the plaintiff paid the initial jury fee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Counsel appeared before Master Scarth for a Trial Management Conference on October 17, 2013. Defence counsel did not give any indication at the Trial Management Conference that they intended to proceed with their application to strike the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November 4, 2013, the defendants gave notice to plaintiff's counsel of their intention to bring their application to strike the jury on November 18, 2013, the first day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Because the panel of potential jurors had already been summoned for jury selection on November 18, 2013, the court proceeded with jury selection, and then sent the jurors away for the balance of the day while it heard the defendants'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defendants have offered no satisfactory explanation of why this application could not have been brought earlier, for example following the exchange of expert reports in August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This application could and should have been brought well in advance of the first day of trial. Nonetheless, I have concluded this application should be heard and determined on the merits. Counsel for the plaintiff had 14 days' notice of the hearing and was prepared to respond to the defendants' application when it came on for hearing. Further, as the trial judge, I have an independent obligation to ensure that the trial can be fairly heard by a jury: </w:t>
      </w:r>
      <w:r>
        <w:rPr>
          <w:rFonts w:ascii="arial" w:eastAsia="arial" w:hAnsi="arial" w:cs="arial"/>
          <w:i/>
          <w:color w:val="000000"/>
          <w:sz w:val="20"/>
          <w:lang w:val="en-US" w:eastAsia="en-US" w:bidi="ar-SA"/>
        </w:rPr>
        <w:t>ICBC v. Suska</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[2008] B.C.J. No. 1902</w:t>
        </w:r>
      </w:hyperlink>
      <w:r>
        <w:rPr>
          <w:rFonts w:ascii="arial" w:eastAsia="arial" w:hAnsi="arial" w:cs="arial"/>
          <w:color w:val="000000"/>
          <w:sz w:val="20"/>
          <w:lang w:val="en-US" w:eastAsia="en-US" w:bidi="ar-SA"/>
        </w:rPr>
        <w:t xml:space="preserve"> (S.C.)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Position of the Defendants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submit that this case raises multiple questions of fact and law, which, when considered cumulatively, are of an intricate and complex character, so as to render the trial unsuitable for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plaintiff claims damages for physical and psychological injuries he suffered as a result of being shot three times by one of the three defendant police officers who attended at this home on January 21, 2006. Mr. Laktin alleges that the defendant police officers committed the torts of assault, battery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also claims that the police officers acted maliciously and were grossly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addition, the plaintiff claims that the City of Vancouver is liable under s. 20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 xml:space="preserve"> for the torts of the defendant police officers. Further, the plaintiff alleges that the defendant City of Vancouver is directly liable to him by virtue of various alleged negligent acts or omissions on its part relating to the selection, hiring and training of the defendant police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Mt. Laktin claims against all of the defendants for non-pecuniary damages, special damages, costs of future care, loss of earning capacity, aggravated and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defendants acknowledge that the issues of whether the shooting constituted a battery, and whether the common law defence of self defence applied in the circumstances of this case are relatively straight forward. However, counsel for the defendants argues that the defendant police officers also have defences available to them under the provisions of ss. 25, 27, 34(2) and 37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in force at the time of the shooting, which will require the court to provide the jury with complex, and potentially confusing instructions on the law. For example, the defence submits that the jury, when considering whether the police were authorized to use force under s. 25(1)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will have to determine whether Constable Coulthard had reasonable grounds to believe that he was authorized to use force and whether or not the officer used more force than was necessary. However, defence counsel submits that a different analysis will be required in considering the defence of self defence under s. 34(2)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where the defendants say the following issues will arise:</w:t>
      </w:r>
      <w:r>
        <w:rPr>
          <w:rFonts w:ascii="arial" w:eastAsia="arial" w:hAnsi="arial" w:cs="arial"/>
          <w:sz w:val="20"/>
          <w:lang w:val="en-US" w:eastAsia="en-US" w:bidi="ar-SA"/>
        </w:rPr>
        <w:cr/>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police officer reasonably believe that the plaintiff's actions were an unlawful assault against him?</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police officer have a reasonable apprehension of death or grievous bodily harm from the unlawful assault against him?</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police officer reasonably believe that he had to use force causing death or grievous bodily harm in order to protect him from death or grievous bodily harm from an unlawful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defendants say that the defences to battery available under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are complex, and raise questions of law, questions of mixed fact and law, and questions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defendants also plead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and raise the defence of implied consent to the battery. They intend to argue that the shooting was the likely outcome of Mr. Laktin's assault on the police officers or his wife, and that the plaintiff must be taken to have known that in committing that assault he might be shot by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According to the defendants, this case has yet another level of complexity relating to the defence of </w:t>
      </w:r>
      <w:r>
        <w:rPr>
          <w:rFonts w:ascii="arial" w:eastAsia="arial" w:hAnsi="arial" w:cs="arial"/>
          <w:i/>
          <w:color w:val="000000"/>
          <w:sz w:val="20"/>
          <w:lang w:val="en-US" w:eastAsia="en-US" w:bidi="ar-SA"/>
        </w:rPr>
        <w:t>ex turpi causa</w:t>
      </w:r>
      <w:r>
        <w:rPr>
          <w:rFonts w:ascii="arial" w:eastAsia="arial" w:hAnsi="arial" w:cs="arial"/>
          <w:color w:val="000000"/>
          <w:sz w:val="20"/>
          <w:lang w:val="en-US" w:eastAsia="en-US" w:bidi="ar-SA"/>
        </w:rPr>
        <w:t xml:space="preserve">, which they submit applies to the plaintiff's claim of battery. The defendants intend to argue that the principle of </w:t>
      </w:r>
      <w:r>
        <w:rPr>
          <w:rFonts w:ascii="arial" w:eastAsia="arial" w:hAnsi="arial" w:cs="arial"/>
          <w:i/>
          <w:color w:val="000000"/>
          <w:sz w:val="20"/>
          <w:lang w:val="en-US" w:eastAsia="en-US" w:bidi="ar-SA"/>
        </w:rPr>
        <w:t>ex turpi causa</w:t>
      </w:r>
      <w:r>
        <w:rPr>
          <w:rFonts w:ascii="arial" w:eastAsia="arial" w:hAnsi="arial" w:cs="arial"/>
          <w:color w:val="000000"/>
          <w:sz w:val="20"/>
          <w:lang w:val="en-US" w:eastAsia="en-US" w:bidi="ar-SA"/>
        </w:rPr>
        <w:t xml:space="preserve"> applies to prevent Mr. Laktin from profiting from his own wrongdoing - the assault on the police officers or his wife - which the defendants maintain resulted in his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defendants also argue that the expert reports to be adduced in this case add to the intricate or complex character of this trial. The plaintiff has delivered reports from four medical and rehabilitation experts, as well as the report of an economist. The defendants have delivered reports from eleven experts, who include specialists in various fields of medicine, an economist, and experts on the use of force in policing. The plaintiff has objected to the admissibility of the defendants' expert reports concerning the use of force. The defendants submit that if these reports are admitted, they will require careful consideration by the finder of fact, as will all of the expert reports tendered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Counsel for the defendants also argues that the plaintiff's claim for punitive damages will require a careful application of the test for the award of such damages as outlined by the Supreme Court of Canada in </w:t>
      </w:r>
      <w:r>
        <w:rPr>
          <w:rFonts w:ascii="arial" w:eastAsia="arial" w:hAnsi="arial" w:cs="arial"/>
          <w:i/>
          <w:color w:val="000000"/>
          <w:sz w:val="20"/>
          <w:lang w:val="en-US" w:eastAsia="en-US" w:bidi="ar-SA"/>
        </w:rPr>
        <w:t>Vorvis v. Pilot Insurance Co.</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Finally, the charge to the jury would have to take into account the shifting of the burden of proof between the plaintiff and the defendants. While the plaintiff bears the burden of proof concerning battery,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malice and damages, the onus will shift to the defendants to prove that the use of force was justified, and that there was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Applicable Legal Principles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plaintiff has a presumptive right to a trial by jury. The defendants bear the heavy onus of demonstrating that there are cogent reasons for depriving him of that right: </w:t>
      </w:r>
      <w:r>
        <w:rPr>
          <w:rFonts w:ascii="arial" w:eastAsia="arial" w:hAnsi="arial" w:cs="arial"/>
          <w:i/>
          <w:color w:val="000000"/>
          <w:sz w:val="20"/>
          <w:lang w:val="en-US" w:eastAsia="en-US" w:bidi="ar-SA"/>
        </w:rPr>
        <w:t>Cliff v. Dahl</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2012 BCSC 276</w:t>
        </w:r>
      </w:hyperlink>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On an application for an order that the trial proceed without a jury, the threshold question is whether the material before the court provides a factual foundation for its exercise of discretion. Whether there are issues of an intricate or complex nature involves findings of fact which will inform the court's exercise of discretion. Once a factual foundation is established, the court's decision on whether to strike the jury notice is discretionary. The focus of the inquiry is then on whether in the opinion of the judge, the jury is capable of understanding and retaining that understanding of the evidence throughout the trial: </w:t>
      </w:r>
      <w:r>
        <w:rPr>
          <w:rFonts w:ascii="arial" w:eastAsia="arial" w:hAnsi="arial" w:cs="arial"/>
          <w:i/>
          <w:color w:val="000000"/>
          <w:sz w:val="20"/>
          <w:lang w:val="en-US" w:eastAsia="en-US" w:bidi="ar-SA"/>
        </w:rPr>
        <w:t>MacPherson v. Czabin</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2002 BCCA 518</w:t>
        </w:r>
      </w:hyperlink>
      <w:r>
        <w:rPr>
          <w:rFonts w:ascii="arial" w:eastAsia="arial" w:hAnsi="arial" w:cs="arial"/>
          <w:color w:val="000000"/>
          <w:sz w:val="20"/>
          <w:lang w:val="en-US" w:eastAsia="en-US" w:bidi="ar-SA"/>
        </w:rPr>
        <w:t xml:space="preserve"> at paras. 16-17.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determining whether "the issues are of an intricate or complex character", the court must consider those issues in the context of the case as a whole, rather than in isolation: </w:t>
      </w:r>
      <w:r>
        <w:rPr>
          <w:rFonts w:ascii="arial" w:eastAsia="arial" w:hAnsi="arial" w:cs="arial"/>
          <w:i/>
          <w:color w:val="000000"/>
          <w:sz w:val="20"/>
          <w:lang w:val="en-US" w:eastAsia="en-US" w:bidi="ar-SA"/>
        </w:rPr>
        <w:t>Gulamani v. Chandra</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2009 BCSC 1042</w:t>
        </w:r>
      </w:hyperlink>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combination or multiplicity of issues may make the issues sufficiently intricate or complex in character to trigger the court's jurisdiction to strike the jury notice: </w:t>
      </w:r>
      <w:r>
        <w:rPr>
          <w:rFonts w:ascii="arial" w:eastAsia="arial" w:hAnsi="arial" w:cs="arial"/>
          <w:i/>
          <w:color w:val="000000"/>
          <w:sz w:val="20"/>
          <w:lang w:val="en-US" w:eastAsia="en-US" w:bidi="ar-SA"/>
        </w:rPr>
        <w:t>MacDonald v. Smith</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(1983), 48 B.C.L.R. 285</w:t>
        </w:r>
      </w:hyperlink>
      <w:r>
        <w:rPr>
          <w:rFonts w:ascii="arial" w:eastAsia="arial" w:hAnsi="arial" w:cs="arial"/>
          <w:color w:val="000000"/>
          <w:sz w:val="20"/>
          <w:lang w:val="en-US" w:eastAsia="en-US" w:bidi="ar-SA"/>
        </w:rPr>
        <w:t xml:space="preserve"> at paras. 18-19 (S.C.). The jury notice will be struck where multiple issues of fact and law make it all but impossible for the judge to charge the jury: </w:t>
      </w:r>
      <w:r>
        <w:rPr>
          <w:rFonts w:ascii="arial" w:eastAsia="arial" w:hAnsi="arial" w:cs="arial"/>
          <w:i/>
          <w:color w:val="000000"/>
          <w:sz w:val="20"/>
          <w:lang w:val="en-US" w:eastAsia="en-US" w:bidi="ar-SA"/>
        </w:rPr>
        <w:t>Skretting Canada Inc. v. Westaqua Commodity Group Ltd.</w:t>
      </w:r>
      <w:r>
        <w:rPr>
          <w:rFonts w:ascii="arial" w:eastAsia="arial" w:hAnsi="arial" w:cs="arial"/>
          <w:color w:val="000000"/>
          <w:sz w:val="20"/>
          <w:lang w:val="en-US" w:eastAsia="en-US" w:bidi="ar-SA"/>
        </w:rPr>
        <w:t xml:space="preserve"> </w:t>
      </w:r>
      <w:hyperlink r:id="rId359" w:history="1">
        <w:r>
          <w:rPr>
            <w:rFonts w:ascii="arial" w:eastAsia="arial" w:hAnsi="arial" w:cs="arial"/>
            <w:i/>
            <w:color w:val="0077CC"/>
            <w:sz w:val="20"/>
            <w:u w:val="single"/>
            <w:shd w:val="clear" w:color="auto" w:fill="FFFFFF"/>
            <w:lang w:val="en-US" w:eastAsia="en-US" w:bidi="ar-SA"/>
          </w:rPr>
          <w:t>(2011), 2 C.P.C. (7th) 127</w:t>
        </w:r>
      </w:hyperlink>
      <w:r>
        <w:rPr>
          <w:rFonts w:ascii="arial" w:eastAsia="arial" w:hAnsi="arial" w:cs="arial"/>
          <w:color w:val="000000"/>
          <w:sz w:val="20"/>
          <w:lang w:val="en-US" w:eastAsia="en-US" w:bidi="ar-SA"/>
        </w:rPr>
        <w:t xml:space="preserve"> at para. 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court's exercise of its discretion to strike a jury notice will depend on the particular facts and circumstances of each case and its assessment of such factors as the specific issues raised by the pleadings, the presence of multiple parties, or the trial of multiple actions: </w:t>
      </w:r>
      <w:r>
        <w:rPr>
          <w:rFonts w:ascii="arial" w:eastAsia="arial" w:hAnsi="arial" w:cs="arial"/>
          <w:i/>
          <w:color w:val="000000"/>
          <w:sz w:val="20"/>
          <w:lang w:val="en-US" w:eastAsia="en-US" w:bidi="ar-SA"/>
        </w:rPr>
        <w:t>Dahl</w:t>
      </w:r>
      <w:r>
        <w:rPr>
          <w:rFonts w:ascii="arial" w:eastAsia="arial" w:hAnsi="arial" w:cs="arial"/>
          <w:color w:val="000000"/>
          <w:sz w:val="20"/>
          <w:lang w:val="en-US" w:eastAsia="en-US" w:bidi="ar-SA"/>
        </w:rPr>
        <w:t>, at para.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Application of Legal Principles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 will begin by considering whether the defendants have established that the volume or nature of the expert opinion evidence raises issues of an intricate or complex character that may render this case unsuitable for trial by jury. I have read a number of the medical reports delivered by the plaintiff and by the defendants. Those reports clearly set out the facts and assumptions upon which they are based and are not difficult to comprehend. Defence counsel did not identify specific reports, or portions of the expert opinion evidence that would be too complicated for the jury to understand through the trial. Accordingly, the defendants have not established a factual foundation for this branch of their application to have this case tried by judge alone. I also note that two of the plaintiff's treating specialists, Drs. Paquette and Negraeff, and four of the defence experts, Drs. Coupland, Katz, Zaki and DeForge, will not be required to attend for cross-examination. That suggests that much of the medical evidence will not be controverted, and that this jury will not be called upon to assess and resolve numerous conflicts in the medical evidence. Further, as MacKenzie J. (as she then was), observed in </w:t>
      </w:r>
      <w:r>
        <w:rPr>
          <w:rFonts w:ascii="arial" w:eastAsia="arial" w:hAnsi="arial" w:cs="arial"/>
          <w:i/>
          <w:color w:val="000000"/>
          <w:sz w:val="20"/>
          <w:lang w:val="en-US" w:eastAsia="en-US" w:bidi="ar-SA"/>
        </w:rPr>
        <w:t>MacKinnon v. Debner</w:t>
      </w:r>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[1997] B.C.J. No. 364</w:t>
        </w:r>
      </w:hyperlink>
      <w:r>
        <w:rPr>
          <w:rFonts w:ascii="arial" w:eastAsia="arial" w:hAnsi="arial" w:cs="arial"/>
          <w:color w:val="000000"/>
          <w:sz w:val="20"/>
          <w:lang w:val="en-US" w:eastAsia="en-US" w:bidi="ar-SA"/>
        </w:rPr>
        <w:t xml:space="preserve"> (S.C.) at paras. 24 and 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reasonably informed and intelligent jury is as capable of assessing expert evidence as is a single judge. It is up to counsel to ensure it is presented so that a jury can understand it. Indeed, the very purpose of expert evidence is to assist lay people to understand technical evidence.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Juries are sophisticated enough to do that, with the assistance of counsel and instructions of the trial judge, they will not find this evidence beyond their abilities to comprehend, retain and apply to the case.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and the defendants will each call economists who will provide opinion evidence relating to loss of earning capacity and costs of future care. Juries are regularly called upon to consider actuarial evidence and to assess damages for future loss of earning capacity and costs of future care, often in cases involving catastrophic injuries. The defence has not identified any portions of the expert opinion evidence that would support an assertion that this case raises issues relating to the assessment of damages for costs of future care or loss of earning capacity that are too difficult for the jury to comprehend.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Finding the facts relating to the plaintiff's income earning capacity before and after the shooting incident and determining the evidentiary basis for any award of damages for future loss of earning capacity are tasks that a jury is well suited to perform: </w:t>
      </w:r>
      <w:r>
        <w:rPr>
          <w:rFonts w:ascii="arial" w:eastAsia="arial" w:hAnsi="arial" w:cs="arial"/>
          <w:i/>
          <w:color w:val="000000"/>
          <w:sz w:val="20"/>
          <w:lang w:val="en-US" w:eastAsia="en-US" w:bidi="ar-SA"/>
        </w:rPr>
        <w:t>Dahl</w:t>
      </w:r>
      <w:r>
        <w:rPr>
          <w:rFonts w:ascii="arial" w:eastAsia="arial" w:hAnsi="arial" w:cs="arial"/>
          <w:color w:val="000000"/>
          <w:sz w:val="20"/>
          <w:lang w:val="en-US" w:eastAsia="en-US" w:bidi="ar-SA"/>
        </w:rPr>
        <w:t xml:space="preserve"> at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This is not a trial that involves multiple accidents or actions, or that raises complex issues of causation of the plaintiff's physical injuries. The jury may have to determine the extent to which the psychological injuries claimed by the plaintiff result from a pre-existing condition rather than the incident of January 21, 2006. That will involve the jury making findings of fact that are well within the capabilities of a modern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defendants have identified numerous issues of fact and law relating to issues of liability, the statutory and common law defences to the plaintiff's claim of battery available to the defendants, the apportionment of fault, and damages. It is the responsibility of the trial judge to instruct the jury concerning the legal principles that will apply to the facts as found by the jury. The court will instruct the jury on the application and interpretation of the relevant provisions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duties of care owed by the defendants to the plaintiff are a matter of law for determination by the trial judge rather than the jury. It will be the responsibility of the trial judge to determine whether the City of Vancouver owed a duty of care to the plaintiff, and whether, as a matter of law, there is any basis for the plaintiff's claim against the City, other than its liability under s. 20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for the torts of municipal police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Whether, as a matter of law, the application of the doctrine of </w:t>
      </w:r>
      <w:r>
        <w:rPr>
          <w:rFonts w:ascii="arial" w:eastAsia="arial" w:hAnsi="arial" w:cs="arial"/>
          <w:i/>
          <w:color w:val="000000"/>
          <w:sz w:val="20"/>
          <w:lang w:val="en-US" w:eastAsia="en-US" w:bidi="ar-SA"/>
        </w:rPr>
        <w:t>ex turpi causa</w:t>
      </w:r>
      <w:r>
        <w:rPr>
          <w:rFonts w:ascii="arial" w:eastAsia="arial" w:hAnsi="arial" w:cs="arial"/>
          <w:color w:val="000000"/>
          <w:sz w:val="20"/>
          <w:lang w:val="en-US" w:eastAsia="en-US" w:bidi="ar-SA"/>
        </w:rPr>
        <w:t xml:space="preserve"> would be justified in the circumstances of this case is also a matter for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defence correctly submits that the provisions of ss. 34 and 37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in force at the time of the incident that gave rise to this action add a level of complexity to this trial. However, juries in criminal cases have been frequently called upon to apply those provisions, and with the assistance of instructions from the trial judge, have done so. I see no reason why a civil jury, properly instructed, cannot perform a similar task.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my view, finding the facts regarding what occurred in the sequence of events that culminated in Constable Coulthard shooting the plaintiff, and determining whether the force used by the police was justified in all of the circumstances are tasks well suited to a jury composed of eight members of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Conclusion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am not persuaded on the facts of this case that the issues are of an intricate or complex nature that would warrant striking the jury. The defendants' application for an order that the trial proceed without a jury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P.J. PEARLMAN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6" style="position:absolute;z-index:251875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67" w:history="1">
        <w:r>
          <w:rPr>
            <w:rFonts w:ascii="arial" w:eastAsia="arial" w:hAnsi="arial" w:cs="arial"/>
            <w:b/>
            <w:bCs/>
            <w:i/>
            <w:color w:val="0077CC"/>
            <w:kern w:val="32"/>
            <w:sz w:val="28"/>
            <w:szCs w:val="32"/>
            <w:u w:val="single"/>
            <w:shd w:val="clear" w:color="auto" w:fill="FFFFFF"/>
            <w:lang w:val="en-US" w:eastAsia="en-US" w:bidi="ar-SA"/>
          </w:rPr>
          <w:t>Lusignan v. Coleman, [2007] B.C.J. No. 2690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L.P. Williamson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3,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17,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S060763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2690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1811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163 A.C.W.S. (3d) 306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Nathan Daniel Lusignan, Plaintiff, and Dr. Gerald U. Coleman, Dr. James E. Dimmick, Dr. Christopher Nguan and Dr. John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7"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2" w:name="Keywords_16"/>
      <w:bookmarkEnd w:id="112"/>
      <w:r>
        <w:rPr>
          <w:rFonts w:ascii="arial" w:eastAsia="arial" w:hAnsi="arial" w:cs="arial"/>
          <w:b/>
          <w:color w:val="000000"/>
          <w:sz w:val="20"/>
          <w:lang w:val="en-US" w:eastAsia="en-US" w:bidi="ar-SA"/>
        </w:rPr>
        <w:t xml:space="preserve">Health law — Health care professionals — Particular professions — Doctors — Surgeons — The defendants' application seeking to have the plaintiff's case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having misdiagnosed or made a mistake with respect to his condition dismissed for being statute-barred was dismissed — The running of the limitation period was postponed until March, 2004 when the plaintiff when he learned that the cancer had returned, that it had spread, and that he required major surgery.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Limitation of actions — Time — When time begins to run — The defendants' application seeking to have the plaintiff's case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having misdiagnosed or made a mistake with respect to his condition dismissed for being statute-barred was dismissed — The running of the limitation period was postponed until March, 2004 when the plaintiff when he learned that the cancer had returned, that it had spread, and that he required major surgery.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Limitation of actions — Jurisdiction — British Columbia — The defendants' application seeking to have the plaintiff's case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having misdiagnosed or made a mistake with respect to his condition dismissed for being statute-barred was dismissed — The running of the limitation period was postponed until March, 2004 when the plaintiff when he learned that the cancer had returned, that it had spread, and that he required major surgery.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Professions — Health care — Doctors — The defendants' application seeking to have the plaintiff's case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having misdiagnosed or made a mistake with respect to his condition dismissed for being statute-barred was dismissed — The running of the limitation period was postponed until March, 2004 when the plaintiff when he learned that the cancer had returned, that it had spread, and that he required major surgery.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Professional — Medical — The defendants' application seeking to have the plaintiff's case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having misdiagnosed or made a mistake with respect to his condition dismissed for being statute-barred was dismissed — The running of the limitation period was postponed until March, 2004 when the plaintiff when he learned that the cancer had returned, that it had spread, and that he required major surgery.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3" w:name="Case Summary_15"/>
            <w:bookmarkEnd w:id="11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applied to have the plaintiff's case dismissed on the ground that the claim was statute-barred, in that it was commenced more than two and one-half years after the plaintiff became aware that one or more of the defendants had misdiagnosed or made a mistake with respect to the plaintiff's condition -- In the underlying action, the plaintiff sought damages after being diagnosed with cancer -- He had undergone a surgery in March of 2000, which was performed to remove a testicular mass, caused by benign cystic teratoma -- He now alleged the defendants had negligently failed to recommend the removal of his testicle, which was the appropriate treatment for his condition -- HELD: The application was dismissed -- The court found the plaintiff had experienced a dramatic change in March, 2004 when he learned that the cancer had returned, that it had spread, and that he required major surgery -- From July, 2003 to January, 2004 he was focused on regaining his health, and sustaining his belief that he was cured -- The running of the limitation period was postponed until March, 2004.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4" w:name="Legislation Cited_13"/>
      <w:bookmarkEnd w:id="11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8"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R.S.B.C. 1996, c. 266, s. 3(2)(a), s. 6(4)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5" w:name="Counsel_15"/>
      <w:bookmarkEnd w:id="11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9" style="position:absolute;z-index:2517780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Guy J. Collette.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David W. Pilley.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6" w:name="Judgment_16"/>
      <w:bookmarkEnd w:id="116"/>
      <w:r>
        <w:pict>
          <v:line id="_x0000_s1110" style="position:absolute;z-index:2518282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7" w:name="L.P. WILLIAMSON J."/>
            <w:bookmarkEnd w:id="117"/>
            <w:r>
              <w:rPr>
                <w:rFonts w:ascii="arial" w:eastAsia="arial" w:hAnsi="arial" w:cs="arial"/>
                <w:b/>
                <w:color w:val="000000"/>
                <w:sz w:val="30"/>
                <w:lang w:val="en-US" w:eastAsia="en-US" w:bidi="ar-SA"/>
              </w:rPr>
              <w:t>L.P. WILLIAMSON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this proceeding, the defendants apply to have the plaintiff's case dismissed on the ground that the claim is barred by the provisions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They note that the proceeding was commenced more than two and one-half years after the plaintiff became aware that one or more of the defendants had misdiagnosed or made a mistake with respect to the plaintiff's condition. As a result of this error, the plaintiff says he was later diagnosed with cancer.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claim arises because two of the defendants removed a right testicular mass from the plaintiff in March of 2000. A pathological analysis conducted on the mass disclosed that it was a benign cystic teratoma.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It is agreed that the appropriate treatment for a testicular teratoma is to remove completely the affected testicle. If this is not done, it is expected that it will turn into malignant cancer.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Because the defendant Dr. Coleman did not recommend the removal of the plaintiff's right testicle, the plaintiff went on to develop cancer in June of 2003. Dr. Coleman conceded that he made this mistake because he failed to read, in the pathology report, the statement that the tumour "is a benign cystic teratoma".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Dr. Coleman performed surgery removing the testicular mass on March 27, 2000, when the plaintiff was aged 15 years. The plaintiff was in good health between that operation and May of 2003. At that time, he discovered another mass in his right testicle. He reported this to his family physician. He was referred to another surgeon. The second surgeon removed the right testicle on June 5, 2003. On that day, the plaintiff learned that the testicular mass was cancer. He was told at that time, or shortly thereafter, that the mass had been misdiagnosed in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July of 2003, after he learned that he had cancer, he sought a copy of his clinical records. It was at this time that he saw the pathology report to which I have referred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After the surgery, he was referred to the B.C. Cancer Agency. The treating physician at that agency told the plaintiff that the testicle should have been removed in 2000 and that the failure to do so had something to do with a miscommunication between the surgeon and the pathologist.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underwent three cycles of chemotherapy over the summer and early fall of 2003. As a result of this, he was not able to commence a full university program as he had intended, delaying his graduation by a year. He did, however, enrol in one course. He also took a job with the City of Vancouver in the fall of 2003. In the late fall he took a month long vacation in Cuba, a trip he described in his examination for discovery as a "post-cancer retreat".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deposed that after the surgery removing his right testicle, and upon completion of the courses of chemotherapy, he was advised that the chances of a complete cure were extremely good. He deposed that he was "focused on trying to keep my life in order, undergo the treatment I had to undergo, be cured of the cancer and put this unpleasant experience behind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He also testified that after the chemotherapy was complete, although he had recovered physically from the chemotherapy, for some time he still felt "the emotional effect of the whole episode". Advised at that time that he was in complete remission, he deposed that "I considered myself to have been completely cured of the cancer and was focused on getting my life back in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He was directed to undergo routine follow-up CT scans. The scan taken on March 8, 2004 disclosed a shadow. Referred to another specialist, the plaintiff was advised that they would have to consider surgery and "to aggressively treat this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deposed that he was extremely distraught over this news for, up until that time, he had believed himself to have been cured. He deposed that it was "a huge emotional blow to learn that the battle was not over". He deposed that the emotional state in which he found himself as a result of this news caused him to quit the two jobs at which he was working. He also deposed that he became focused on the treatment he would have to undergo for this recurrence of the cancer. He said "I still wanted to focus on my health and getting better rather than getting involved in disciplinary issues with the college", a course that he and his parents had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He then learned that he would be required to undergo major surgery to remove a mass in his abdomen as well as the lymph nodes in his abdominal cavity. This surgery took place on May 20,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described this as major surgery from which it took him "quite some time" to recover. He said that after he was nearly recovered from the surgery he began contemplating legal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Finally he deposed that from July of 2003 through to the end of that year, he was dealing with "the devastating news that I had cancer". He said that he also had to deal with the emotional and physical effects of chemotherapy. He said that by the beginning of 2004 he was convinced that he was cured and that his focus was getting his life back on track rather than taking proceedings against those who may be to blame.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 deposed that "my attitude completely changed" when he learned the cancer had returned in March of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these facts, it is the position of the defendants that by September of 2003 the plaintiff was aware there had been a misdiagnosis that resulted in the failure to remove the right testicle. At that time he was also aware, or could have been with reasonable diligence, of the identity of the defendants. Finally, he was aware that he had suffered damage because he had developed cancer, had undergone serious therapy, and had sustained a delay in his graduation from university with its attendant financial implications.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on the other hand, says that the running of the limitation period was postponed until March of 2004, when he learned that cancer had returned and that he would require further surgery. Thus, the plaintiff submits, when the writ was filed on February 3, 2006, the plaintiff was not out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Absent postponement, the limitation period applicable to the plaintiff's claim is two years as is set out in s. 3(2)(a)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However, the plaintiff says that the running of time was postponed in the circumstances of this case because of the wording of s. 6(4)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6(4) Time does not begin to run against a plaintiff with respect to an action referred to in subsection (3) until the identity of the defendant is known to the plaintiff and those facts within the plaintiff's means of knowledge are such that a reasonable person, knowing those facts and having taken the appropriate advice a reasonable person would seek on those facts, would regard those facts as showing that</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Both parties agree that the law is that set out in </w:t>
      </w:r>
      <w:r>
        <w:rPr>
          <w:rFonts w:ascii="arial" w:eastAsia="arial" w:hAnsi="arial" w:cs="arial"/>
          <w:b/>
          <w:i/>
          <w:color w:val="000000"/>
          <w:sz w:val="20"/>
          <w:lang w:val="en-US" w:eastAsia="en-US" w:bidi="ar-SA"/>
        </w:rPr>
        <w:t>Novak v. Bond</w:t>
      </w:r>
      <w:r>
        <w:rPr>
          <w:rFonts w:ascii="arial" w:eastAsia="arial" w:hAnsi="arial" w:cs="arial"/>
          <w:color w:val="000000"/>
          <w:sz w:val="20"/>
          <w:lang w:val="en-US" w:eastAsia="en-US" w:bidi="ar-SA"/>
        </w:rPr>
        <w:t xml:space="preserve">, </w:t>
      </w:r>
      <w:hyperlink r:id="rId368" w:history="1">
        <w:r>
          <w:rPr>
            <w:rFonts w:ascii="arial" w:eastAsia="arial" w:hAnsi="arial" w:cs="arial"/>
            <w:i/>
            <w:color w:val="0077CC"/>
            <w:sz w:val="20"/>
            <w:u w:val="single"/>
            <w:shd w:val="clear" w:color="auto" w:fill="FFFFFF"/>
            <w:lang w:val="en-US" w:eastAsia="en-US" w:bidi="ar-SA"/>
          </w:rPr>
          <w:t>[1999] 1 S.C.R. 808</w:t>
        </w:r>
      </w:hyperlink>
      <w:r>
        <w:rPr>
          <w:rFonts w:ascii="arial" w:eastAsia="arial" w:hAnsi="arial" w:cs="arial"/>
          <w:color w:val="000000"/>
          <w:sz w:val="20"/>
          <w:lang w:val="en-US" w:eastAsia="en-US" w:bidi="ar-SA"/>
        </w:rPr>
        <w:t>, a decision of the Supreme Court of Canada. In that case, the plaintiff saw her family doctor complaining of lumps in her breast. In October of 1990 she was diagnosed with breast cancer. In that month, a partial radical mastectomy was performed and it was discovered that the cancer had spread. From October of 1990 until April of 1991 she underwent chemotherapy and radiation.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About a year later she considered suing the doctor, who she considered had missed her cancer, and after a discussion with her parish priest decided that rather than sue, she would concentrate on her health and "a positive belief" that she was cured.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For the next four years she had no symptoms of cancer. However, in May of 1995 she learned that the cancer had recurred and had spread to her spine, liver and lung. In April of 1996 the writ of summons was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these facts, McLachlin J., as she then was, speaking for the majority, found that the action should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defendant says that these circumstances are similar to those at bar, except that the delay in </w:t>
      </w:r>
      <w:r>
        <w:rPr>
          <w:rFonts w:ascii="arial" w:eastAsia="arial" w:hAnsi="arial" w:cs="arial"/>
          <w:b/>
          <w:i/>
          <w:color w:val="000000"/>
          <w:sz w:val="20"/>
          <w:lang w:val="en-US" w:eastAsia="en-US" w:bidi="ar-SA"/>
        </w:rPr>
        <w:t>Novak</w:t>
      </w:r>
      <w:r>
        <w:rPr>
          <w:rFonts w:ascii="arial" w:eastAsia="arial" w:hAnsi="arial" w:cs="arial"/>
          <w:color w:val="000000"/>
          <w:sz w:val="20"/>
          <w:lang w:val="en-US" w:eastAsia="en-US" w:bidi="ar-SA"/>
        </w:rPr>
        <w:t xml:space="preserve"> was far longer than the delay or postponement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her reasons, McLachlin J. observed at para. 38 that prior to </w:t>
      </w:r>
      <w:r>
        <w:rPr>
          <w:rFonts w:ascii="arial" w:eastAsia="arial" w:hAnsi="arial" w:cs="arial"/>
          <w:b/>
          <w:i/>
          <w:color w:val="000000"/>
          <w:sz w:val="20"/>
          <w:lang w:val="en-US" w:eastAsia="en-US" w:bidi="ar-SA"/>
        </w:rPr>
        <w:t>Novak</w:t>
      </w:r>
      <w:r>
        <w:rPr>
          <w:rFonts w:ascii="arial" w:eastAsia="arial" w:hAnsi="arial" w:cs="arial"/>
          <w:color w:val="000000"/>
          <w:sz w:val="20"/>
          <w:lang w:val="en-US" w:eastAsia="en-US" w:bidi="ar-SA"/>
        </w:rPr>
        <w:t xml:space="preserve">, the Court of Appeal of this province had suggested at least four approaches to the interpretation of s. 6(4)(b)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She described these as a broad subjective/objective approach, a restrictive subjective/objective approach, a restrictive/objective approach, and finally a discretionary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She concluded, in para. 39, that the scheme and purpose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mandated that the appropriate test is "a variant of the second approach". She went on to summarize the proper interpretation of that section, and said, among other things,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question posed by s. 6(4)(b) therefore becomes: "in light of his or her own particular circumstances and interests, at what point could the plaintiff reasonably have brought an action?" The reasonable person would only consider that the plaintiff could not have brought an action at the time the right to do so first arose if the plaintiff's own interests and circumstances were serious, significant, and compelling. Purely tactical concerns have no place in this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para. 40 she observed that people ought to be encouraged to take steps short of litigation to deal with their problems. She observed that one should not be compelled to sue should that action run counter to a vital interest such as the need to maintain one's health in the face of a life-threatening disease. Later in her reasons, starting at para. 82, the learned justice discussed how one would reconcile the idea that one ought to be able to bring an action with its "connotation of capacity or ability", and the section's requirement that the plaintiff's "own interests" and "circumstances" be taken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She went on in paras. 83 and 84 to say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proposed interpretation resolves this apparent conundrum by relying on the fact that there are different kinds of "ability". "Ought ... to be able to bring an action" can certainly be interpreted narrowly in the sense of legal capacity. But it also may be interpreted more broadly, in the sense of a practical ability to choose a particular course in light of the factual circumstances in which a person finds himself or herself. We speak of not being "able" to do something not only when we lack the legal or physical capacity to do it, but also when our circumstances are such that we cannot reasonably contemplate doing the thing.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Interpreting "ought ... to be able to bring an action" in the second sense permits full weight to be given to all the words of s. 6(4)(b). The running of the limitation period is therefore postponed when the plaintiff shows practical considerations arising from his or her "circumstances" and "own interests" render him or her unable, as a reasonable person, to bring an action at the earlier prescribed date. "Ought ... to be able to bring an action", interpreted thus, is very different from the normative "should bring an "Should" connotes subjective choice; "could" connotes practical ability. On the interpretation I have proposed, the court's central task is to identify the point at which the reasonable person who animates s. 6(4) would consider that the plaintiff, in light of his or her own interests and circumstances, could reasonably have brought an action. Section 6(4)(b) therefore refers to a time at which, in light of the plaintiff's particular situation, the bringing of a suit is reasonably </w:t>
      </w:r>
      <w:r>
        <w:rPr>
          <w:rFonts w:ascii="arial" w:eastAsia="arial" w:hAnsi="arial" w:cs="arial"/>
          <w:color w:val="000000"/>
          <w:sz w:val="20"/>
          <w:u w:val="single"/>
          <w:lang w:val="en-US" w:eastAsia="en-US" w:bidi="ar-SA"/>
        </w:rPr>
        <w:t>possible</w:t>
      </w:r>
      <w:r>
        <w:rPr>
          <w:rFonts w:ascii="arial" w:eastAsia="arial" w:hAnsi="arial" w:cs="arial"/>
          <w:color w:val="000000"/>
          <w:sz w:val="20"/>
          <w:lang w:val="en-US" w:eastAsia="en-US" w:bidi="ar-SA"/>
        </w:rPr>
        <w:t xml:space="preserve">, not when it would be </w:t>
      </w:r>
      <w:r>
        <w:rPr>
          <w:rFonts w:ascii="arial" w:eastAsia="arial" w:hAnsi="arial" w:cs="arial"/>
          <w:color w:val="000000"/>
          <w:sz w:val="20"/>
          <w:u w:val="single"/>
          <w:lang w:val="en-US" w:eastAsia="en-US" w:bidi="ar-SA"/>
        </w:rPr>
        <w:t>ideal</w:t>
      </w:r>
      <w:r>
        <w:rPr>
          <w:rFonts w:ascii="arial" w:eastAsia="arial" w:hAnsi="arial" w:cs="arial"/>
          <w:color w:val="000000"/>
          <w:sz w:val="20"/>
          <w:lang w:val="en-US" w:eastAsia="en-US" w:bidi="ar-SA"/>
        </w:rPr>
        <w:t xml:space="preserve"> from the plaintiff's perspective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Further, she gave some examples of circumstances that might be serious, significant, and compelling. She observed that a plaintiff may not reasonably bring an action when the costs and strain of litigation would be overwhelming, the possible damages would be minimal, or other personal circumstances combined to make it unfeasible to initiate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Novak</w:t>
      </w:r>
      <w:r>
        <w:rPr>
          <w:rFonts w:ascii="arial" w:eastAsia="arial" w:hAnsi="arial" w:cs="arial"/>
          <w:color w:val="000000"/>
          <w:sz w:val="20"/>
          <w:lang w:val="en-US" w:eastAsia="en-US" w:bidi="ar-SA"/>
        </w:rPr>
        <w:t>, McLachlin J. at para. 96 was satisfied that the plaintiff's concerns were: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so serious, substantial and compelling that, taking into account all of her circumstances and interests, she could not reasonably have commenced a suit at the time the cause of action first arose. She certainly did not approach the matter lightly, going so far as to consult her parish priest. Nor is there any evidence that her decision was taken for tactical reasons. She was concerned with nothing less than how to maintain her threatened hold on life, a serious and compelling concern by any measure. She hoped that her health would improve and that her cancer would not recur. In light of these interests and circumstances, Mrs. Novak decided against bringing an action against Dr. Bond, a proceeding that would have required her to prove the likely recurrence of the very cancer she was trying so desperately to eradicate. I am satisfied that, in light of her own particular interests and circumstances at the time, Mrs. Novak could not reasonably have sued Dr. Bond in the spring of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She went on to say at para. 97 that once Mrs. Novak realized four years later that her cancer had returned, "circumstances changed dramatically". She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circumstances that precluded a decision to sue earlier - the need to maintain a positive outlook and believe herself cured - were no longer operative.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the circumstances of this case, I conclude that the plaintiff experienced a dramatic change in March of 2004 when he learned that the cancer had returned, that it had spread, and that he would have to undergo major surgery. I accept that from July of 2003 until January of 2004 he was focused on regaining his health and sustaining his belief that he was cured. Like in </w:t>
      </w:r>
      <w:r>
        <w:rPr>
          <w:rFonts w:ascii="arial" w:eastAsia="arial" w:hAnsi="arial" w:cs="arial"/>
          <w:b/>
          <w:i/>
          <w:color w:val="000000"/>
          <w:sz w:val="20"/>
          <w:lang w:val="en-US" w:eastAsia="en-US" w:bidi="ar-SA"/>
        </w:rPr>
        <w:t>Novak</w:t>
      </w:r>
      <w:r>
        <w:rPr>
          <w:rFonts w:ascii="arial" w:eastAsia="arial" w:hAnsi="arial" w:cs="arial"/>
          <w:color w:val="000000"/>
          <w:sz w:val="20"/>
          <w:lang w:val="en-US" w:eastAsia="en-US" w:bidi="ar-SA"/>
        </w:rPr>
        <w:t>, a serious and compelling concern by any measure.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the result, I conclude that the running of the limitation period in this case was postponed until March of 2004. The writ having been filed in February of 2006, the defendants'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L.P. WILLIAMSON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1"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69"/>
          <w:headerReference w:type="default" r:id="rId370"/>
          <w:footerReference w:type="even" r:id="rId371"/>
          <w:footerReference w:type="default" r:id="rId372"/>
          <w:headerReference w:type="first" r:id="rId373"/>
          <w:footerReference w:type="first" r:id="rId37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75" w:history="1">
        <w:r>
          <w:rPr>
            <w:rFonts w:ascii="arial" w:eastAsia="arial" w:hAnsi="arial" w:cs="arial"/>
            <w:b/>
            <w:bCs/>
            <w:i/>
            <w:color w:val="0077CC"/>
            <w:kern w:val="32"/>
            <w:sz w:val="28"/>
            <w:szCs w:val="32"/>
            <w:u w:val="single"/>
            <w:shd w:val="clear" w:color="auto" w:fill="FFFFFF"/>
            <w:lang w:val="en-US" w:eastAsia="en-US" w:bidi="ar-SA"/>
          </w:rPr>
          <w:t>Miller v. Thompson Rivers University, [2013] B.C.J. No. 2569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Joyce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25,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44021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2569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2138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Adrian Stephen Miller, Plaintiff, and Thompson Rivers University, Roger H. Barnsley, Michael Gorman, Ulrich Scheck, Katherine (Kate) Sutherland Jenna Woodrow, Catherine Ortner and Nancy Twynam,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2"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8" w:name="Keywords_17"/>
      <w:bookmarkEnd w:id="118"/>
      <w:r>
        <w:rPr>
          <w:rFonts w:ascii="arial" w:eastAsia="arial" w:hAnsi="arial" w:cs="arial"/>
          <w:b/>
          <w:color w:val="000000"/>
          <w:sz w:val="20"/>
          <w:lang w:val="en-US" w:eastAsia="en-US" w:bidi="ar-SA"/>
        </w:rPr>
        <w:t xml:space="preserve">Civil litigation — Civil procedure — Pleadings — Striking out pleadings or allegations — Grounds — Failure to disclose a cause of action or defence — False, frivolous, vexatious or an abuse of process — Application by defendant to strike out statement of claim dismissed — Plaintiff commenced claim against university, teachers and administrators alleging that they discriminated against him by failing to make accommodations for his illness — While some paragraphs in claim set out bald conclusory statements without any factual foundation, when considered with particulars delivered by plaintiff, there were sufficient allegations of fact to found cause of action in contract 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Not plain and obvious that if the facts plaintiff alleged were proven to be true, that claims were bound to fail.</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Contracts — Proceedings in contracts — Pleadings — Application by defendant to strike out statement of claim dismissed — Plaintiff commenced claim against university, teachers and administrators alleging that they discriminated against him by failing to make accommodations for his illness — While some paragraphs in claim set out bald conclusory statements without any factual foundation, when considered with particulars delivered by plaintiff, there were sufficient allegations of fact to found cause of action in contract 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Not plain and obvious that if the facts plaintiff alleged were proven to be true, that claims were bound to fail.</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Practice and procedure — Pleadings — Application by defendant to strike out statement of claim dismissed — Plaintiff commenced claim against university, teachers and administrators alleging that they discriminated against him by failing to make accommodations for his illness — While some paragraphs in claim set out bald conclusory statements without any factual foundation, when considered with particulars delivered by plaintiff, there were sufficient allegations of fact to found cause of action in contract 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Not plain and obvious that if the facts plaintiff alleged were proven to be true, that claims were bound to fail.</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9" w:name="Case Summary_16"/>
            <w:bookmarkEnd w:id="11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to strike out the statement of claim. The plaintiff was a former student at the defendant university. He commenced an action against the university and a number of teachers and administrators alleging that they had subjected him to harassment, discrimination and retaliation which destroyed his promising future career, future success and his previously happy life. He alleged that the defendants failed to make reasonable accommodation for an illness he suffered by granting an extension of time to complete course assignments and write examinations, with the result that he received no credit for the courses he enrolled in and incurred student loan expenses. The defendants sought to strike the claim on the ground that it did not disclose a reasonable claim. Alternatively, they argued that the claim was unnecessary, scandalous, frivolous or vexatious.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0" w:name="Holdings of Court_14"/>
            <w:bookmarkEnd w:id="120"/>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Paragraphs which referred to defendants who were struck from the action were struck. While some paragraphs in the claim set out bald conclusory statements without any factual foundation, when considered with the particulars delivered by the plaintiff, there were sufficient allegations of fact to found a cause of action in contract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was not plain and obvious that if the facts the plaintiff alleged were proven to be true, that the claims were bound to fail.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1" w:name="Legislation Cited_14"/>
      <w:bookmarkEnd w:id="12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3"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Apology Act, </w:t>
      </w:r>
      <w:r>
        <w:rPr>
          <w:rFonts w:ascii="arial" w:eastAsia="arial" w:hAnsi="arial" w:cs="arial"/>
          <w:i/>
          <w:color w:val="000000"/>
          <w:sz w:val="20"/>
          <w:lang w:val="en-US" w:eastAsia="en-US" w:bidi="ar-SA"/>
        </w:rPr>
        <w:t>SBC 2006, CHAPTER 19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Charter of Rights and Freedoms, 1982, R.S.C. 1985, App. II, No. 44, Schedule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Canadian Human Rights Act, </w:t>
      </w:r>
      <w:hyperlink r:id="rId376" w:history="1">
        <w:r>
          <w:rPr>
            <w:rFonts w:ascii="arial" w:eastAsia="arial" w:hAnsi="arial" w:cs="arial"/>
            <w:i/>
            <w:color w:val="0077CC"/>
            <w:sz w:val="20"/>
            <w:u w:val="single"/>
            <w:shd w:val="clear" w:color="auto" w:fill="FFFFFF"/>
            <w:lang w:val="en-US" w:eastAsia="en-US" w:bidi="ar-SA"/>
          </w:rPr>
          <w:t>R.S.C. 1985, c. H-6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Human Rights Code, </w:t>
      </w:r>
      <w:r>
        <w:rPr>
          <w:rFonts w:ascii="arial" w:eastAsia="arial" w:hAnsi="arial" w:cs="arial"/>
          <w:i/>
          <w:color w:val="000000"/>
          <w:sz w:val="20"/>
          <w:lang w:val="en-US" w:eastAsia="en-US" w:bidi="ar-SA"/>
        </w:rPr>
        <w:t>RSBC 1996, CHAPTER 210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3-1</w:t>
      </w:r>
      <w:r>
        <w:rPr>
          <w:rFonts w:ascii="arial" w:eastAsia="arial" w:hAnsi="arial" w:cs="arial"/>
          <w:color w:val="000000"/>
          <w:sz w:val="20"/>
          <w:lang w:val="en-US" w:eastAsia="en-US" w:bidi="ar-SA"/>
        </w:rPr>
        <w:t>, Rule 9-5, Rule 9-5(1)(a), Rule 9-5(1)(b)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University Act, </w:t>
      </w:r>
      <w:hyperlink r:id="rId377" w:history="1">
        <w:r>
          <w:rPr>
            <w:rFonts w:ascii="arial" w:eastAsia="arial" w:hAnsi="arial" w:cs="arial"/>
            <w:i/>
            <w:color w:val="0077CC"/>
            <w:sz w:val="20"/>
            <w:u w:val="single"/>
            <w:shd w:val="clear" w:color="auto" w:fill="FFFFFF"/>
            <w:lang w:val="en-US" w:eastAsia="en-US" w:bidi="ar-SA"/>
          </w:rPr>
          <w:t>RSBC 1996, CHAPTER 468, s. 69</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2" w:name="Counsel_16"/>
      <w:bookmarkEnd w:id="12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4" style="position:absolute;z-index:2517790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appearing on his own behalf: A.S. Miller.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J.M. Hogg, Q.C.; and K.N. Schymon.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3" w:name="Judgment_17"/>
      <w:bookmarkEnd w:id="123"/>
      <w:r>
        <w:pict>
          <v:line id="_x0000_s1115" style="position:absolute;z-index:2518292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4" w:name="B.M. JOYCE J."/>
            <w:bookmarkEnd w:id="124"/>
            <w:r>
              <w:rPr>
                <w:rFonts w:ascii="arial" w:eastAsia="arial" w:hAnsi="arial" w:cs="arial"/>
                <w:b/>
                <w:color w:val="000000"/>
                <w:sz w:val="30"/>
                <w:lang w:val="en-US" w:eastAsia="en-US" w:bidi="ar-SA"/>
              </w:rPr>
              <w:t>B.M. JOYCE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 and Procedural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is a student, or former student, of the defendant Thompson Rivers University ("TRU"). The other defendants are or were teachers or administrators at TRU during the times material to the matters giving rise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defendants apply, pursuant to Rule 9-5(1)(a)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 to strike the plaintiff's notice of civil claim on the ground that it does not disclose a reasonable claim. The defendants apply, in the alternative, pursuant to Rule 9-5(1)(b)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to strike the plaintiff's notice of civil claim and particulars served pursuant to a demand for particulars, on the ground that they are unnecessary, scandalous, frivolous or vexatious.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March 2010, the plaintiff commenced this action against TRU and the other defendants, based upon breach of contract as well as a number of torts and other alleged wrongs, seeking damages and various types of injunctive relief. The original statement of claim was prolix, but in essence the plaintiff alleged that the defendants had subjected him to harassment, discrimination and retaliation, which "destroyed a promising academic career, future successes and a previously happy life". The plaintiff alleged that the defendants had failed to make reasonable accommodation for an illness he was suffering from by granting extensions of time to complete course assignments and write examinations and that, as a result, he received no credit for the courses he enrolled in and incurred student loan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March 23, 2010, the defendants filed a statement of defence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On March 22, 2011, at a case planning conference, Mr. Justice Burnyeat made an order that the plaintiff file and serve a notice of civil claim under the new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On June 8, 2011, Mr. Justice Rogers made a further order that the plaintiff file and serve his notice of civil claim by June 30,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June 30, 2011, the plaintiff filed his notice of civil claim in which he added a number of defendants in addition to those named in the writ and statement of claim ("Additional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July 21, 2011, the defendants filed their response to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August 2, 2011, the defendants served the plaintiff with a demand for particulars of 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September 8, 2011, the Additional Defendants applied for an order that they be struck from the action on the ground that the plaintiff had failed to obtain leave to add them as defendants. On September 21, 2011, I made that order without prejudice to the plaintiff's right to apply to add the Additional Defendants to the action. The plaintiff has not brought such an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January 17, 2012, after the deadline for doing so, the plaintiff delivered to the defendants a document entitled "Particulars Part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April 4, 2013, the defendants filed their notice of application together with an affidavit of their lawyer, Karen Schymon, the sole purpose of which was to attach and put before the court the particulars delivered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Applicable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applicable rules that are engaged on this application are set out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Rule 3-1</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notice of civil claim must do the following:</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a concise statement of the material facts giving rise to the claim;</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the relief sought by the plaintiff against each named defendant;</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a concise summary of the legal basis for the relief sought;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Rule 9-5</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evidence is admissible on an application under subrule (1)(a).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Test for Striking a Pleading under Rule 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test that is to be applied on an application to strike a notice of civil claim on the ground that it discloses no cause of action remains the same under Rule 9-5(1)(a) as under its predecessor rule as was concisely stated by Mr. Justice Cullen, as he then was, in </w:t>
      </w:r>
      <w:r>
        <w:rPr>
          <w:rFonts w:ascii="arial" w:eastAsia="arial" w:hAnsi="arial" w:cs="arial"/>
          <w:i/>
          <w:color w:val="000000"/>
          <w:sz w:val="20"/>
          <w:lang w:val="en-US" w:eastAsia="en-US" w:bidi="ar-SA"/>
        </w:rPr>
        <w:t>Woolsey v. Dawson Creek (City)</w:t>
      </w:r>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2011 BCSC 751</w:t>
        </w:r>
      </w:hyperlink>
      <w:r>
        <w:rPr>
          <w:rFonts w:ascii="arial" w:eastAsia="arial" w:hAnsi="arial" w:cs="arial"/>
          <w:color w:val="000000"/>
          <w:sz w:val="20"/>
          <w:lang w:val="en-US" w:eastAsia="en-US" w:bidi="ar-SA"/>
        </w:rPr>
        <w:t xml:space="preserve">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It is apparent that the test for dismissing an action under Rule 9-5 or its predecessor is not one easily met, however. In </w:t>
      </w:r>
      <w:r>
        <w:rPr>
          <w:rFonts w:ascii="arial" w:eastAsia="arial" w:hAnsi="arial" w:cs="arial"/>
          <w:i/>
          <w:color w:val="000000"/>
          <w:sz w:val="20"/>
          <w:lang w:val="en-US" w:eastAsia="en-US" w:bidi="ar-SA"/>
        </w:rPr>
        <w:t>Poirier v. Community Futures Development Corp.</w:t>
      </w:r>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[2005] B.C.J. No. 763</w:t>
        </w:r>
      </w:hyperlink>
      <w:r>
        <w:rPr>
          <w:rFonts w:ascii="arial" w:eastAsia="arial" w:hAnsi="arial" w:cs="arial"/>
          <w:color w:val="000000"/>
          <w:sz w:val="20"/>
          <w:lang w:val="en-US" w:eastAsia="en-US" w:bidi="ar-SA"/>
        </w:rPr>
        <w:t xml:space="preserve"> (B.C.C.A.), the court addressed the principles applicable on having pleadings struck or a case dismissed at paragraphs 8 and 9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The principles that ought to be applied in relation to an application under Rule 19(24), particularly under Rule 19(24)(a), upon which this application principally rests, are set out in a number of decisions of the Supreme Court of Canada and perhaps the most useful thing is to quote from the judgment of Madam Justice Wilson, speaking on behalf of the unanimous Supreme Court of Canada, in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where Madam Justice Wilson, in addressing Rule 19(24)(a), said this at pp. 21-22:</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"Thus, the test in Canada governing the application of provisions like Rule 19(24)(a) of the British Columbia Rules of Court is the same as the one that governs an application under R.S.C.O. 18, r. 19: assuming that the facts as stated in the statement of claim can be proved, it is 'plain and obvious' that the plaintiff's statement of claim discloses no reasonable cause of action? As in England, if there is a chance that the plaintiff might succeed, then the plaintiff should not be 'driven from the judgment seat'. Neither the length and complexity of the issues, the novelty of the cause of action, nor the potential for the defendant to present a strong defence should prevent the plaintiff from proceeding with his or her case. Only if the action is certain to fail because it contains a radical defect ranking with the others listed in Rule 19(24) of the British Columbia Rules of Court should the relevant portions of a plaintiff's statement of claim be struck out under Rule 19(24)(a)."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The only thing that I would like to add to that summary of the principles to be applied in considering the rule is set out in a judgment of Mr. Justice Romilly in </w:t>
      </w:r>
      <w:r>
        <w:rPr>
          <w:rFonts w:ascii="arial" w:eastAsia="arial" w:hAnsi="arial" w:cs="arial"/>
          <w:i/>
          <w:color w:val="000000"/>
          <w:sz w:val="20"/>
          <w:lang w:val="en-US" w:eastAsia="en-US" w:bidi="ar-SA"/>
        </w:rPr>
        <w:t>Wayneroy Holdings Ltd. v. Sideen</w:t>
      </w:r>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[2002] B.C.J. No. 2472</w:t>
        </w:r>
      </w:hyperlink>
      <w:r>
        <w:rPr>
          <w:rFonts w:ascii="arial" w:eastAsia="arial" w:hAnsi="arial" w:cs="arial"/>
          <w:color w:val="000000"/>
          <w:sz w:val="20"/>
          <w:lang w:val="en-US" w:eastAsia="en-US" w:bidi="ar-SA"/>
        </w:rPr>
        <w:t xml:space="preserve"> (B.C.S.C.); </w:t>
      </w:r>
      <w:hyperlink r:id="rId380" w:history="1">
        <w:r>
          <w:rPr>
            <w:rFonts w:ascii="arial" w:eastAsia="arial" w:hAnsi="arial" w:cs="arial"/>
            <w:i/>
            <w:color w:val="0077CC"/>
            <w:sz w:val="20"/>
            <w:u w:val="single"/>
            <w:shd w:val="clear" w:color="auto" w:fill="FFFFFF"/>
            <w:lang w:val="en-US" w:eastAsia="en-US" w:bidi="ar-SA"/>
          </w:rPr>
          <w:t>2002 BCSC 1510</w:t>
        </w:r>
      </w:hyperlink>
      <w:r>
        <w:rPr>
          <w:rFonts w:ascii="arial" w:eastAsia="arial" w:hAnsi="arial" w:cs="arial"/>
          <w:color w:val="000000"/>
          <w:sz w:val="20"/>
          <w:lang w:val="en-US" w:eastAsia="en-US" w:bidi="ar-SA"/>
        </w:rPr>
        <w:t xml:space="preserve">, where Mr. Justice Romilly quoted from his judgment in </w:t>
      </w:r>
      <w:r>
        <w:rPr>
          <w:rFonts w:ascii="arial" w:eastAsia="arial" w:hAnsi="arial" w:cs="arial"/>
          <w:i/>
          <w:color w:val="000000"/>
          <w:sz w:val="20"/>
          <w:lang w:val="en-US" w:eastAsia="en-US" w:bidi="ar-SA"/>
        </w:rPr>
        <w:t>Citizens for Foreign Aid Reform Inc. v. Canadian Jewish Congress</w:t>
      </w:r>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[1999] B.C.J. No. 2160</w:t>
        </w:r>
      </w:hyperlink>
      <w:r>
        <w:rPr>
          <w:rFonts w:ascii="arial" w:eastAsia="arial" w:hAnsi="arial" w:cs="arial"/>
          <w:color w:val="000000"/>
          <w:sz w:val="20"/>
          <w:lang w:val="en-US" w:eastAsia="en-US" w:bidi="ar-SA"/>
        </w:rPr>
        <w:t xml:space="preserve"> (B.C.S.C.) at para. 34:</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In other words, as long as the pleadings disclose a triable issue, either as it exists, or as it may be amended, then the issue should go to trial. The mere fact that the case is weak or not likely to succeed is no ground for striking it out under the provisions of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Pleadings may be struck under Rule 9-5(1)(b) on the ground that they are "irrelevant or embarrassing" if they are so prolix or confusing that it is difficult to understand what is being pleaded and it is impossible for the defendant to respond to it (</w:t>
      </w:r>
      <w:r>
        <w:rPr>
          <w:rFonts w:ascii="arial" w:eastAsia="arial" w:hAnsi="arial" w:cs="arial"/>
          <w:i/>
          <w:color w:val="000000"/>
          <w:sz w:val="20"/>
          <w:lang w:val="en-US" w:eastAsia="en-US" w:bidi="ar-SA"/>
        </w:rPr>
        <w:t>Citizens for Foreign Aid Reform</w:t>
      </w:r>
      <w:r>
        <w:rPr>
          <w:rFonts w:ascii="arial" w:eastAsia="arial" w:hAnsi="arial" w:cs="arial"/>
          <w:color w:val="000000"/>
          <w:sz w:val="20"/>
          <w:lang w:val="en-US" w:eastAsia="en-US" w:bidi="ar-SA"/>
        </w:rPr>
        <w:t xml:space="preserve"> at para.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first 20 paragraphs of Part 1 of the notice of civil claim, in which the plaintiff is required to set out his statement of facts, contain descriptions of the defendants. Paragraphs 10 through 20 describe defendants who were struck from the action by the order of September 21, 2011 and should be struck. Likewise, paragraphs 9 through 19 of Part 2 of the notice of civil claim, which claim relief against those defendants who have been removed from the action, should also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balance of the paragraphs in Part 1 of the notice of civil claim read as follows:</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Defendants wrongdoing was well-known to Thompson Rivers University's upper most senior officials. Thompson Rivers University and its officials simply waited and watched, confident in their belief that the victim of Thompson Rivers University's culture of harassment, discrimination, fraud and retaliation would be ignored or squelched;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Thompson Rivers University's customary response to valid complaints of discrimination and abusive treatment include either (i) ignoring the pleas for help of the victim, or (ii) conducting an abusive internal investigation - designed in totality to protect the university and intimidate the victim;</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Officially, Thompson Rivers University has Human Rights Policies. In practice, the policies are selectively and discriminately applied. The policy, like others is not applied even handedly or fairly but is applied illegally and discriminately;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Plaintiffs detrimental reliance on the promises made in the contract between students, faculty and Thompson Rivers University, Plaintiff was and continues to be damaged by defendants discrimination against him including but not limited to lost wages and benefits, lost opportunities, diminishment in lifetime earning capacity, loss and damage to his reputation and mental, physical, sociological, economical and financial pain and anguish.</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Thompson Rivers University maintains formal, written, disclaimed institutional policies. By virtue of being a student or faculty member one is binded by the senate by-laws and policies and procedures of the institution;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Thompson Rivers University policies, including but not limited to the equal opportunity, non discrimination and non retaliation policies form an enforceable and binding contract with its student's and staff, including Plaintiff and impose upon the institution and its employees certain duties and obligations;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the conduct alleged in this complaint, Defendants breached their contractual duties and obligations to Plaintiff by, [among] other things, to abide by, uphold and refrain from violating Thompson Rivers University policies. Including, but not limited to, investigating complaints impartially and thoroughly, maintain an environment free from hostility, effectively discipline or dismiss partners who violate the policies and refrain from retaliation, harassment and discrimination;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Defendants sought to make Plaintiff miserable so that he would voluntarily leave Thompson Rivers University and later additionally intended the distressing comments and actions to intimidate Plaintiff from pursuing any legal action against Thompson Rivers University. Defendants conduct is heinous and intolerable because among other things, (i) Defendants knew Plaintiff was psychologically, socially, emotionally, physically and financially vulnerable (ii) defendants were acting according to a long-time pattern of illegal behaviour (iii) Defendants were in positions of power over Plaintiff (iv) defendants owed certain duties to Plaintiff, including but not limited to duties to refrain from such conduct and (v) Defendants actions and statements were public;</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states that the conduct of Thompson Rivers University was entirely without care, deliberate, callous, wilful and in intentional disregard of the individual rights and circumstances of Plaintiff and indifferent to the consequences;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 was at all material times vulnerable to Thompson Rivers University considering the unequal bargaining position between the parties;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Thompson Rivers University behaved in bad faith, deceit and with complete insensitivity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Part 2 of the notice of civil claim, that portion in which Mr. Miller sets out the relief sought, he claims general, special and punitive damages as well as a letter of apology from each of the defendants. In addition, as against TRU he claims injunctive relief enjoining it from engaging in harassment, discrimination and retaliation. He also claims all his costs for attendance at TRU and unconditional acceptance to TRU's Faculty of Law at no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Part 3 of the notice of civil claim, in which the plaintiff is required to set out the legal bases for the relief sought, Mr. Miller simply lists a large number of statutes, including the </w:t>
      </w:r>
      <w:r>
        <w:rPr>
          <w:rFonts w:ascii="arial" w:eastAsia="arial" w:hAnsi="arial" w:cs="arial"/>
          <w:i/>
          <w:color w:val="000000"/>
          <w:sz w:val="20"/>
          <w:lang w:val="en-US" w:eastAsia="en-US" w:bidi="ar-SA"/>
        </w:rPr>
        <w:t>Apology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2006, c. 19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Human Rights Code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210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Canadian Human Rights Act</w:t>
      </w:r>
      <w:r>
        <w:rPr>
          <w:rFonts w:ascii="arial" w:eastAsia="arial" w:hAnsi="arial" w:cs="arial"/>
          <w:color w:val="000000"/>
          <w:sz w:val="20"/>
          <w:lang w:val="en-US" w:eastAsia="en-US" w:bidi="ar-SA"/>
        </w:rPr>
        <w:t xml:space="preserve">, </w:t>
      </w:r>
      <w:hyperlink r:id="rId376" w:history="1">
        <w:r>
          <w:rPr>
            <w:rFonts w:ascii="arial" w:eastAsia="arial" w:hAnsi="arial" w:cs="arial"/>
            <w:i/>
            <w:color w:val="0077CC"/>
            <w:sz w:val="20"/>
            <w:u w:val="single"/>
            <w:shd w:val="clear" w:color="auto" w:fill="FFFFFF"/>
            <w:lang w:val="en-US" w:eastAsia="en-US" w:bidi="ar-SA"/>
          </w:rPr>
          <w:t>R.S.C. 1985, c. H-6</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Canadian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Charter of Rights and Freedoms</w:t>
      </w:r>
      <w:r>
        <w:rPr>
          <w:rFonts w:ascii="arial" w:eastAsia="arial" w:hAnsi="arial" w:cs="arial"/>
          <w:color w:val="000000"/>
          <w:sz w:val="20"/>
          <w:lang w:val="en-US" w:eastAsia="en-US" w:bidi="ar-SA"/>
        </w:rPr>
        <w:t xml:space="preserve">, Part I of the </w:t>
      </w:r>
      <w:r>
        <w:rPr>
          <w:rFonts w:ascii="arial" w:eastAsia="arial" w:hAnsi="arial" w:cs="arial"/>
          <w:i/>
          <w:color w:val="000000"/>
          <w:sz w:val="20"/>
          <w:lang w:val="en-US" w:eastAsia="en-US" w:bidi="ar-SA"/>
        </w:rPr>
        <w:t>Constitution Act</w:t>
      </w:r>
      <w:r>
        <w:rPr>
          <w:rFonts w:ascii="arial" w:eastAsia="arial" w:hAnsi="arial" w:cs="arial"/>
          <w:color w:val="000000"/>
          <w:sz w:val="20"/>
          <w:lang w:val="en-US" w:eastAsia="en-US" w:bidi="ar-SA"/>
        </w:rPr>
        <w:t xml:space="preserve">, 1982, being Schedule B to the </w:t>
      </w:r>
      <w:r>
        <w:rPr>
          <w:rFonts w:ascii="arial" w:eastAsia="arial" w:hAnsi="arial" w:cs="arial"/>
          <w:i/>
          <w:color w:val="000000"/>
          <w:sz w:val="20"/>
          <w:lang w:val="en-US" w:eastAsia="en-US" w:bidi="ar-SA"/>
        </w:rPr>
        <w:t>Canada Act</w:t>
      </w:r>
      <w:r>
        <w:rPr>
          <w:rFonts w:ascii="arial" w:eastAsia="arial" w:hAnsi="arial" w:cs="arial"/>
          <w:color w:val="000000"/>
          <w:sz w:val="20"/>
          <w:lang w:val="en-US" w:eastAsia="en-US" w:bidi="ar-SA"/>
        </w:rPr>
        <w:t xml:space="preserve"> (U.K.), c. 11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as well as referring to breach of contract, breach of trust and a variety of torts, including conspiracy, deceit and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defendants submit, and I agree, that paragraphs 21 to 31 of the notice of civil claim do not set out, by themselves, a factual basis that would give rise to a cause of action. Paragraphs 24 to 28 hint at a contract or contracts between the plaintiff and the defendants or some of them, and breaches of the contract. However, those statements fail to set out facts that, if proven, would establish the contract or contracts or the breach or breaches of such contracts. The paragraphs are bald conclusory statements without any factual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There is nothing else in the body of Part 2 of the notice of civil claim that sets out any factual basis for relief under any of the other heads of relief set out in Part 2 of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is my view, however, that the notice of civil claim should not be viewed alone but should be considered together with the Particulars delivered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Particulars are contained in a 22-page, single-spaced document, which begins with the following general statements of the plaintiff's complaint about the defendants and the alleged effect of their actions on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a complaint about harassment, discrimination and retaliation perpetrated by senior employees of Thompson Rivers University, whose patently false and perverted belief that they are above the law are matched on by their ridiculous belief that discriminating against a disabled, financially indigent person will go unchallenged, unchecked, and unpunished. The individuals, whose actions are complained of herein, destroyed a promising career, future successes and a previously ebullient life. Over the course of numerous years, repulsive harassment and discrimination intertwined with vicious retaliation has led the plaintiff to clinical depression. Innumerable ethics, laws and precepts were shattered along the way. It will be now be put before thus Honorable Court for justice. Below, find the manifold reasons why exactly that should happen.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information and belief, Plaintiff alleges that each and every defendant in this matter was responsible for the events referred to herein, and in some manner caused the injuries to Plaintiff as hereinafter alleged. Defendants are sued as agents, contractors or employees of: Thompson Rivers University, and all of the acts performed by them as agents and employees were performed within the course and scope of their authority.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Plaintiff is informed and believes, and thereon alleges, that each of the Defendants herein was, at all times relevant to these actions an agent, contractor or employee of Thompson Rivers University "TRU". Further, the Plaintiff is informed and believes, and thereon alleges, that each of the Defendants herein gave consent to, ratified and authorized the acts alleged herein to each of the remaining 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Plaintiff engaged in legally protected activities, resulting in retaliation by defendants. As set forth below; Plaintiff engaged in legally protected activities, including: 1) Opposing discrimination based on disability 2) opposing ethical violations as set forth in the Thompson Rivers University Polices and Procedures. 3) Refusing to provide information of a private medical nature concerning his illness;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Plaintiff had an agreement with the defendants. Defendant breached their duties by illegally interfering with Plaintiffs financial aid, and telling outright fabrications to BC Student Aid and the National Student Loan Service. As a proximate result of Defendants breach of contract, Plaintiff has lost the usage of student loans, enjoyment of money owed to him, investment opportunities, all to his damage in an amount to be established by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Said Defendants are sued as instructors, professors, administrators, agents, employers, the President and as an entity (Thompson Rivers University). All of the employers actions were performed within the course and scope of their authority and employment. Based on information and belief, Plaintiff alleges that each and every defendant was responsible for the events referred to herein and in some manner caused the injuries to Plaintiff as hereinafter alleged. Below find the manner in which each defendant is so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What follows these general statements are descriptions, under separate headings, of various events concerning the plaintiff's attendance at TRU and his dealings with its instructors and administrators, as well as his dealings with the provincial and federal student loan authorities. These lengthy descriptions often assert matters that, if under oath or affirmation, would be considered evidence rather than statements of material facts. Other statements contain argument, which again have no place in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When I review the whole of the notice of civil claim and the Particulars, it appears to me that the real underpinning for Mr. Miller's action seems to be an allegation that:</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and the defendants were parties to a contract with regard to the delivery of educational services;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 had a term, implied or express, that he would be afforded reasonable accommodation on account of his medical difficulties or learning disability, that were known to the defendants;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 also had a term that the defendants would provide correct information to the student loan authorities;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breached that contract by not providing reasonable accommodation and by not providing correct information to the student loan authorities concerning his attendance and enrolment;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breaches he was prevented from completing his courses, thereby causing him to waste money on tuition and fees, and become indebted to the student loan authorities, for which he seeks damages;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the defendants owed him a common law duty of care to provide reasonable accommodation and to provide correct information to the student loan authorities and that they breached that duty of care;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acted wilfully and maliciously in their conduct towards and concerning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Indeed, during the course of submissions, I had the following discourse with Mr. Miller: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Sir, it's almost lunch time but before we stand down for lunch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ADRIAN MILLER: 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you said that the -- that you and TRU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ADRIAN MILLER: Yeah.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entered into a contract.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ADRIAN MILLER: That's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said that that's one of the contracts at issue.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ADRIAN MILLER: That's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are the other -- can you just tell me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ADRIAN MILLER: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what are the other contracts at issue?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ADRIAN MILLER:</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contract between myself and Student ABC with TRU. And then the contract between each of my professors to make sure that they report to B.C. Student Loan and National Student Loan correct -- correct information regarding how often I'm attending class. Because if they fail in their duty to do that, then I am marked as withdrawn or did not complete or an over award is given. So it's almost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say that you -- you entered into contracts not only with the university but with each individual professor from whom you enrolled in -- or each professor who was teaching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ADRIAN MILLER: That's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the courses you enrolled 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ADRIAN MILLER: That's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ADRIAN MILLER: Because they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Does your claim come down to this then, sir, if I can -- if I can -- if I can summarize it. That you entered into a contract with the university. That contract was that you would pay your tuition and they would accept you as a student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ADRIAN MILLER: Mm-hmm.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and provide you with the courses?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ADRIAN MILLER: Yeah.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entered into contracts with the professors. You would enroll in their courses and they would teach you those courses.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ADRIAN MILLER: Yeah.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it your -- is it your position in your claim that these contracts were -- had terms, whether explicit or implied, that if you paid the university and did what was required, the university would do what it was required which included reporting your status to the funding agencies.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ADRIAN MILLER: Perfect.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you did what was required in your course load your professors would do what was required which is to deliver the courses, to allow you to complete the courses and to give you the grades or to give you the opportunity to complete the courses and give you the grades that you obtained.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ADRIAN MILLER: Perfect.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report those grades to the funding agencies.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ADRIAN MILLER: Perfect.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it your claim then that -- that is essentially one of breach of those contracts in that the university failed to maintain you as a student, the professors failed to provide you -- sorry, also a part of your claim that there was also an implied term of the contracts that the university and the professors would give you accommodation for your physical and/or mental disabilities so as to enable you to complete the course work.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ADRIAN MILLER: Mm-hmm.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 you're saying yes, that that is part of your claim?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ADRIAN MILLER: Yes. But the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is it -- and is then a part of your -- is it a fundamental aspect of your claim that a breach of those terms of the contracts, the university and the professors failed to give you that accommodation, failed to keep you enrolled as a student, failed to do what was required of them to enable you to complete the courses, failed in some instances to recognize your -- the work that you had done, failed to recognize you as being a student enrolled at the university, which had the consequence of your denied financial aid through the funding agencies?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ADRIAN MILLER: Perfect.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that -- have I summarized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ADRIAN MILLER:</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might as well sit down now. With the exception of accommodation, not being that I wanted them to do anything extra for me. What I wanted was if I handed in a sick note, that it was going to be -- that I was going to be able to do the -- the work. Because I handed in a sick note, that I would be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you -- but part of the accommodation that you are seeking as I understand reading your particulars, is that -- is that if you missed an assignment, that you were not able to complete an assignment in time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ADRIAN MILLER: Yeah.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or if you missed an examination because of your illness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ADRIAN MILLER: Yeah.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and provided to the university and its [indiscernible] teachers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ADRIAN MILLER: Yeah.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the note from your medical doctors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ADRIAN MILLER: Yeah.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confirming that the reason that you missed the assignment or missed the examination was because of your health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ADRIAN MILLER: Yeah.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that they were required to give you accommodation by way of extending the deadline or completing the examination or allowing you to sit the examination -- complete the assignment at a later date or sit the examination at a later date.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ADRIAN MILLER: That's exactly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is that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ADRIAN MILLER: That's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that essence of your claim?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ADRIAN MILLER: That's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 -- and that this was -- the result of this was -- was to -- that you were declared to be, by the university, no longer a student, you were denied funding, you were denied the opportunity to continue with your university education which had a myriad of financial consequences for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ADRIAN MILLER: Yeah.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COURT:</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Is that -- have I summarized it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accurately?</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ADRIAN MILLER:</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Exactly. With the -- with two points and that just being in the statement of response, he -- Mr. Hogg says, "If and when medical excuses and notes were provided for non-attendance, they were often vague, short, skimpy or lacking in appropriate detail." So the university got mad that it would say, "Mr. Miller missed January 1st because of health issues," and they wanted to know like, "What is the health issue. I want to know specifically the health issue." It was that I would not give them and therefore they would not -- therefore they would not allow me to retake the exam.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And the other part being that there is a difference between a DNC and an F. An F means that you failed the course, did not complete means you never showed up for it, you never showed up for school, you took the money from student loan and you went partying. And they gave me DNC's when I can prove that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 have -- I would have thought that the ordinary meaning of a did not complete is just that, a person started a course and then dropped out.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ADRIAN MILLER: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mean, I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ADRIAN MILLER: I can give you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been a long time since I've been at university. So I was at university but I can remember one or two courses where I started the course, I was registered in the course and then I dropped out of the course. I didn't get an F, I don't think. I -- I simply withdrew from the course voluntarily.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ADRIAN MILLER:</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DNC -- and that's another part of the claim, is that DNC to TRU is different than DNC to the Student Loans. So when they report a DNC to Student Loans, DNC to Student Loans is you never showed up, period. And I can prove that I showed up.</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 and you say that because of the way in which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ADRIAN MILLER: They reported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the university reported it to the funding agency, the funding agency denied you any further funding. Have I got it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ADRIAN MILLER: That's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After the lunch break, Mr. Miller went on to say that the causes of action he was relying on included interference with economic relations, defamation, slander, breach of trust, conspiracy, deceit and fraud. However, he referred to no further facts in support of his claims other than those that I had summarized and with which he agreed, nor can I discern any facts from his pleadings that might support those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my view, the real question is whether the pleadings allege facts, which for the purpose of this application are to be taken as true, that could give rise to a claim in contract or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whether his claim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response to the plaintiff's claims, the defendants refer to s. 69 of the </w:t>
      </w:r>
      <w:r>
        <w:rPr>
          <w:rFonts w:ascii="arial" w:eastAsia="arial" w:hAnsi="arial" w:cs="arial"/>
          <w:i/>
          <w:color w:val="000000"/>
          <w:sz w:val="20"/>
          <w:lang w:val="en-US" w:eastAsia="en-US" w:bidi="ar-SA"/>
        </w:rPr>
        <w:t>University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468</w:t>
      </w:r>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69 (1) An action or proceeding must not be brought against a member of a board, senate or faculties, or against an officer or employee of a university, in respect of an act or omission of a member of a board, senate or faculties, or officer or employee, of the university done or omitted in good faith in the course of the execution of the person's duties on behalf of the university.</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against a university, if it appears that the university acted under the authority of this Act or any other Act, the court must dismiss the action against the university.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However, it appears to me that those statutory protections would not shield the defendants from liability if the plaintiff can prove, as he alleges, that the defendants acted with malice. Whether they did nor not is not something to be assessed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 have come to the conclusion that, with considerable effort, one can extract, as I attempted to do during the hearing of this application, sufficient allegations of fact from the notice of civil claim and Particulars that could found a cause of action in contract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my view, it is not plain and obvious that, if the facts the plaintiff alleges are proven to be true, the plaintiff will not be able to establish a duty upon the defendants, arising out of contract or based on principles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 breach thereof, from which the defendants are not shielded from liability under the </w:t>
      </w:r>
      <w:r>
        <w:rPr>
          <w:rFonts w:ascii="arial" w:eastAsia="arial" w:hAnsi="arial" w:cs="arial"/>
          <w:i/>
          <w:color w:val="000000"/>
          <w:sz w:val="20"/>
          <w:lang w:val="en-US" w:eastAsia="en-US" w:bidi="ar-SA"/>
        </w:rPr>
        <w:t>University Act</w:t>
      </w:r>
      <w:r>
        <w:rPr>
          <w:rFonts w:ascii="arial" w:eastAsia="arial" w:hAnsi="arial" w:cs="arial"/>
          <w:color w:val="000000"/>
          <w:sz w:val="20"/>
          <w:lang w:val="en-US" w:eastAsia="en-US" w:bidi="ar-SA"/>
        </w:rPr>
        <w:t>, for which the plaintiff may be entitled to damages. The plaintiff's claim may be novel and his case may not be strong, but it is my view that his notice of civil claim should not be struck out at this stage under Rule 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application to strike the plaintiff's claim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While I have not dismissed the plaintiff's claim, it does not conform to the requirements of Rule 3-1 in several respects. It does not set out a </w:t>
      </w:r>
      <w:r>
        <w:rPr>
          <w:rFonts w:ascii="arial" w:eastAsia="arial" w:hAnsi="arial" w:cs="arial"/>
          <w:color w:val="000000"/>
          <w:sz w:val="20"/>
          <w:u w:val="single"/>
          <w:lang w:val="en-US" w:eastAsia="en-US" w:bidi="ar-SA"/>
        </w:rPr>
        <w:t>concise</w:t>
      </w:r>
      <w:r>
        <w:rPr>
          <w:rFonts w:ascii="arial" w:eastAsia="arial" w:hAnsi="arial" w:cs="arial"/>
          <w:color w:val="000000"/>
          <w:sz w:val="20"/>
          <w:lang w:val="en-US" w:eastAsia="en-US" w:bidi="ar-SA"/>
        </w:rPr>
        <w:t xml:space="preserve"> statement of </w:t>
      </w:r>
      <w:r>
        <w:rPr>
          <w:rFonts w:ascii="arial" w:eastAsia="arial" w:hAnsi="arial" w:cs="arial"/>
          <w:color w:val="000000"/>
          <w:sz w:val="20"/>
          <w:u w:val="single"/>
          <w:lang w:val="en-US" w:eastAsia="en-US" w:bidi="ar-SA"/>
        </w:rPr>
        <w:t>material facts</w:t>
      </w:r>
      <w:r>
        <w:rPr>
          <w:rFonts w:ascii="arial" w:eastAsia="arial" w:hAnsi="arial" w:cs="arial"/>
          <w:color w:val="000000"/>
          <w:sz w:val="20"/>
          <w:lang w:val="en-US" w:eastAsia="en-US" w:bidi="ar-SA"/>
        </w:rPr>
        <w:t>. It is long and at times, rambling. It contains evidence and argument. It does not set out a concise statement of the legal basis for his claim and it contains reference to statutes and torts that, in my view, are completely unsupported by any alleged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 might have ordered the plaintiff to file an amended notice of civil claim that complies with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and that properly sets out the foundation for the claim that, with considerable difficulty I have determined and he has agreed, he intends to have tried. However, in the end, I have decided that to do so would simply result in further unnecessary delay and costs to all parties. It makes more sense, in my view, to have the matter proceed limited to claims in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which, I am unable to conclude, are claims that are bound to fail even if the plaintiff proves all of the allegations of fact set out in the pleadings he has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order to assist the defendants in responding to the claim and to ensure that the trial proceeds as efficiently as possible, the portions of the plaintiff's claim alleging violations of human rights legislation and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will be struck. It is well established that a plaintiff who alleges a breach of human rights legislation has no cause of action in the courts: </w:t>
      </w:r>
      <w:r>
        <w:rPr>
          <w:rFonts w:ascii="arial" w:eastAsia="arial" w:hAnsi="arial" w:cs="arial"/>
          <w:i/>
          <w:color w:val="000000"/>
          <w:sz w:val="20"/>
          <w:lang w:val="en-US" w:eastAsia="en-US" w:bidi="ar-SA"/>
        </w:rPr>
        <w:t>Moore v British Columbia</w:t>
      </w:r>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(1988), 23 B.C.L.R. (2d) 105</w:t>
        </w:r>
      </w:hyperlink>
      <w:r>
        <w:rPr>
          <w:rFonts w:ascii="arial" w:eastAsia="arial" w:hAnsi="arial" w:cs="arial"/>
          <w:color w:val="000000"/>
          <w:sz w:val="20"/>
          <w:lang w:val="en-US" w:eastAsia="en-US" w:bidi="ar-SA"/>
        </w:rPr>
        <w:t xml:space="preserve"> (C.A). If Mr. Miller would like to pursue his allegation of a human rights violation he may do so in the proper forum - the British Columbia Human Rights Tribunal. In addition, the plaintiff does not identify a law or government action which could be subject to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Accordingly, the following references to human rights legislation and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are struck from Part 3 of the plaintiff's notice of civil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 1, items 5., 6., and 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 3, items B) and 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 4, items D) and 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 5, items D), E), and 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 6, items B) and 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 7, items C), D), and 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 8, items B) and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following portions of the claim as set out in the document entitled "Particulars Part 1:" are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Under the heading (S) Additional Facts: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Page: </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 xml:space="preserve">Paras.: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196"/>
        <w:gridCol w:w="69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13-14</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w:t>
            </w:r>
          </w:p>
        </w:tc>
        <w:tc>
          <w:tcPr>
            <w:tcW w:w="67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3137"/>
        <w:gridCol w:w="63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44, 46</w:t>
            </w:r>
          </w:p>
        </w:tc>
        <w:tc>
          <w:tcPr>
            <w:tcW w:w="62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2300"/>
        <w:gridCol w:w="6169"/>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w:t>
            </w:r>
          </w:p>
        </w:tc>
        <w:tc>
          <w:tcPr>
            <w:tcW w:w="2253"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sentence "Plaintiff reasonably relied on Defendants agreement to legal treatment owned under their stated agreement to accommodate him and be consistent with the BC Human Rights Code, The Human Rights Act, The Charter of Rights and Freedoms." found in para. 47</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196"/>
        <w:gridCol w:w="69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16-17</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59</w:t>
            </w:r>
          </w:p>
        </w:tc>
        <w:tc>
          <w:tcPr>
            <w:tcW w:w="67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3660"/>
        <w:gridCol w:w="58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w:t>
            </w:r>
          </w:p>
        </w:tc>
        <w:tc>
          <w:tcPr>
            <w:tcW w:w="358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60, 64, 65</w:t>
            </w:r>
          </w:p>
        </w:tc>
        <w:tc>
          <w:tcPr>
            <w:tcW w:w="573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2614"/>
        <w:gridCol w:w="69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70</w:t>
            </w:r>
          </w:p>
        </w:tc>
        <w:tc>
          <w:tcPr>
            <w:tcW w:w="67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Under the heading (V)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On The Part Of Thompson Rivers University: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 xml:space="preserve">Page: </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 xml:space="preserve">Paras.: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2300"/>
        <w:gridCol w:w="6169"/>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w:t>
            </w:r>
          </w:p>
        </w:tc>
        <w:tc>
          <w:tcPr>
            <w:tcW w:w="2253"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words "Human Rights Act" found in para. 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2510"/>
        <w:gridCol w:w="70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686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Furthermore, any remaining references to discrimination or failure to accommodate based on disability in the plaintiff's claim should be taken as an allegation of a breach of contract to provide education and accommodation, not as an allegation of human rights legislation 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violation.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Given the significant shortcomings of the notice of civil claim that I have identified, I do not think it appropriate to award the plaintiff the costs of this application, even though it has been dismissed. I believe that the appropriate order with respect to costs is that the defendants have their costs in the cause. For greater clarity, and for the benefit of the plaintiff, this means that if the defendants are successful in the action they will be entitled to the costs of this application, but if the plaintiff is successful in the action, he will not be entitled to the costs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JOYCE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6"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83"/>
          <w:headerReference w:type="default" r:id="rId384"/>
          <w:footerReference w:type="even" r:id="rId385"/>
          <w:footerReference w:type="default" r:id="rId386"/>
          <w:headerReference w:type="first" r:id="rId387"/>
          <w:footerReference w:type="first" r:id="rId38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89" w:history="1">
        <w:r>
          <w:rPr>
            <w:rFonts w:ascii="arial" w:eastAsia="arial" w:hAnsi="arial" w:cs="arial"/>
            <w:b/>
            <w:bCs/>
            <w:i/>
            <w:color w:val="0077CC"/>
            <w:kern w:val="32"/>
            <w:sz w:val="28"/>
            <w:szCs w:val="32"/>
            <w:u w:val="single"/>
            <w:shd w:val="clear" w:color="auto" w:fill="FFFFFF"/>
            <w:lang w:val="en-US" w:eastAsia="en-US" w:bidi="ar-SA"/>
          </w:rPr>
          <w:t>Parwani v. Sekhon, [2009] B.C.J. No. 1873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C.J. Ross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25-29, June 1 and 3,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18,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M064008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1873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1280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2535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181 A.C.W.S. (3d) 478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Abdul Rahim Ahmad Parwani, Plaintiff, and Yadwinder Sekhon and Vancouver Taxi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7"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5" w:name="Keywords_18"/>
      <w:bookmarkEnd w:id="125"/>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Action by plaintiff for damages for injuries allowed in part — The plaintiff's van was struck by a taxi as it proceeded through an intersection — The taxi driver claimed that the plaintiff proceeded against a red light — The plaintiff claimed that the taxi ran a stop sign — The court accepted the taxi driver's version of events, as the placement of the vehicles made the plaintiff's account implausible — The plaintiff caused the accident, which could have been avoided had the taxi come to a full stop and kept a proper lookout — Plaintiff held 75 per cent liable.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and psychological injuries — Physical injuries — Body injuries — Back and spine — Neck — Action by plaintiff for damages for injuries allowed in part — The plaintiff's van was struck by a taxi as it proceeded through an intersection — He was found 75 per cent liable for the accident — The plaintiff, age 46, worked as a painter and had authored several books as an international activist — He suffered ongoing neck and back pain — The court found that the plaintiff's injuries had largely resolved within five months — He was awarded non-pecuniary damages of $25,000 — His past wage loss claim failed due to insufficient evidence.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Duration of loss — Non-pecuniary loss — Action by plaintiff for damages for injuries allowed in part — The plaintiff's van was struck by a taxi as it proceeded through an intersection — He was found 75 per cent liable for the accident — The plaintiff, age 46, worked as a painter and had authored several books as an international activist — He suffered ongoing neck and back pain — The court found that the plaintiff's injuries had largely resolved within five months — He was awarded non-pecuniary damages of $25,000 — His past wage loss claim failed due to insufficient evidence.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6" w:name="Case Summary_17"/>
            <w:bookmarkEnd w:id="12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Parwani, against the defendants, Sekhon and Vancouver Taxi, for damages for injuries suffered in a motor vehicle accident. In 2004, a taxi owned and operated by the defendants collided with the plaintiff's van in an intersection. Both liability and damages were at issue. The plaintiff's vehicle was traveling eastbound on a six-lane street. The defendants' vehicle approached a stop sign on a cross-street. The plaintiff alleged that he proceeded on a green light that turned yellow when he was in the intersection. He alleged that the defendant did not stop at the stop sign. The defendant admitted that he did not come to a full stop. He alleged that the plaintiff proceeded through the intersection when the light was red, thus causing the accident. The plaintiff's wife was a passenger and testified on his behalf. A witness for the plaintiff testified that the taxi did not stop at the stop sign, colliding with the plaintiff. A passenger in the taxi testified that the taxi came to a stop and that pedestrians had started crossing the intersection when the taxi proceeded and was struck by the plaintiff. The plaintiff, age 46, operated a painting business. Prior to emigration to Canada, he had worked as a mechanical engineer and authored several books as an international activist of some prominence. The accident caused ongoing neck, back and shoulder pain that left him unable to work and interfered with his family and writing activities. He recently undertook work providing assistance to refugee claimants.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7" w:name="Holdings of Court_15"/>
            <w:bookmarkEnd w:id="127"/>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taxi driver and passenger gave a more reliable account of the accident than the plaintiff and his witness. The plaintiff's witness made changes to his initial statement that impugned the reliability of his account. The accident could not have happened as suggested by the plaintiff given the relative location of the vehicles. The plaintiff as the servient driver was obliged to yield the right of way to the defendant as the dominant driver. He failed to do so and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cause of the accident. However, had the defendant come to a full stop and kept a proper lookout, the collision could have been avoided. Liability was apportioned 75 per cent to the plaintiff and 25 per cent to the defendants. The accident caused soft tissue injuries to the plaintiff's neck, shoulder and back. He suffered a partial disability that restricted his ability to work and participate in his writing and family life. His symptoms largely resolved within five months despite the plaintiff's reporting to the contrary. The appropriate award for non-pecuniary loss was $25,000. His claim for past wage loss failed due to insufficient evidence.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8" w:name="Legislation Cited_15"/>
      <w:bookmarkEnd w:id="12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8"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42" w:history="1">
        <w:r>
          <w:rPr>
            <w:rFonts w:ascii="arial" w:eastAsia="arial" w:hAnsi="arial" w:cs="arial"/>
            <w:i/>
            <w:color w:val="0077CC"/>
            <w:sz w:val="20"/>
            <w:u w:val="single"/>
            <w:shd w:val="clear" w:color="auto" w:fill="FFFFFF"/>
            <w:lang w:val="en-US" w:eastAsia="en-US" w:bidi="ar-SA"/>
          </w:rPr>
          <w:t>RSBC 1996, CHAPTER 318, s. 129</w:t>
        </w:r>
      </w:hyperlink>
      <w:r>
        <w:rPr>
          <w:rFonts w:ascii="arial" w:eastAsia="arial" w:hAnsi="arial" w:cs="arial"/>
          <w:color w:val="000000"/>
          <w:sz w:val="20"/>
          <w:lang w:val="en-US" w:eastAsia="en-US" w:bidi="ar-SA"/>
        </w:rPr>
        <w:t>, s. 131(5), s. 186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9" w:name="Counsel_17"/>
      <w:bookmarkEnd w:id="12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9" style="position:absolute;z-index:2517800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 Holness, Douglas B. Hanna.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Michael D. Murphy.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0" w:name="Judgment_18"/>
      <w:bookmarkEnd w:id="130"/>
      <w:r>
        <w:pict>
          <v:line id="_x0000_s1120" style="position:absolute;z-index:2518302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1" w:name="C.J. ROSS J."/>
            <w:bookmarkEnd w:id="131"/>
            <w:r>
              <w:rPr>
                <w:rFonts w:ascii="arial" w:eastAsia="arial" w:hAnsi="arial" w:cs="arial"/>
                <w:b/>
                <w:color w:val="000000"/>
                <w:sz w:val="30"/>
                <w:lang w:val="en-US" w:eastAsia="en-US" w:bidi="ar-SA"/>
              </w:rPr>
              <w:t>C.J. ROSS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Abdul Rahim Ahmad Parwani, claims damages for injuries suffered in a motor vehicle collision that occurred on October 8, 2004 at the intersection of Hastings and Kamloops Streets in Vancouver, British Columbia. Mr. Parwani was driving his van eastbound on Hastings Street. A taxi operated by the defendant, Yadwinder Sekhon and owned by the defendant Vancouver Taxi Ltd., was proceeding southbound along Kamloops Street. The taxi entered the intersection and collided with Mr. Parwani's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Both liability and damages are at issue. With respect to liability, Mr. Parwani alleges that he was proceeding on a green light that turned yellow when he was already in the intersection and that Mr. Sekhon did not stop at the stop sign as he was required to do. Mr. Sekhon alleges that the light was red when Mr. Parwani proceeded through the intersection and that the accident was Mr. Parwani's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collision occurred on October 8, 2004 at the intersection of Hastings and Kamloops Streets at approximately 11:00 a.m. Mr. Parwani was driving his van heading eastbound on Hastings Street. Mr. Sekhon was driving a taxi heading southbound on Kamloops. The taxi collided with Mr. Parwani's vehicle at the middle of the driver's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Hastings Street is a six-lane highway that acts as a main artery that runs through the city. The curb lanes on Hastings Street for both east and westbound traffic allow parking except during rush hour traffic. Traffic on Hastings Street is controlled by a pedestrian activated traffic control light. Kamloops Street is a residential side street that runs north and south and bisects Hastings Street. Traffic on Kamloops Street is controlled by a stop sign. The traffic light is on the east side of the intersection above the easterly crosswalk.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Evidence of Witnesses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Abdul Parwani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Parwani testified that he was driving eastbound along Hastings Street in his green van at the time the accident occurred. He was travelling in the lane closest to the centre. His wife was with him in the front passenger seat. He was wearing his seat belt. He stated that he was driving below the speed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Parwani testified that as he approached the intersection of Hastings and Kamloops Streets he observed that the light was green. He checked the intersection and saw a taxi coming along Kamloops Street approaching the stop sign. He testified that the taxi was a little way from the stop sign. He testified in cross-examination that the taxi was about two car lengths away from the stop sign. On examination for discovery he had stated that the taxi was "far away" and "well away" from the stop sign when he scanned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Parwani stated that he continued through the intersection and as he did so he observed the light change from green to yellow as the front end of his van entered the crosswalk. At different points in the cross-examination Mr. Parwani stated that the light turned yellow before he entered the intersection and then as he entered the crosswalk. On examination for discovery he had stated that the light turned yellow as he cleared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Parwani stated that the taxi did not stop and that it hit his van in the middle of the intersection. Mr. Parwani agreed that he did not see the taxi run a stop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Parwani stated that after the collision his van fishtailed out of control. He regained control and stopped just after the intersection. The taxi driver came over and they exchanged information. Mr. Parwani went to the TD Bank and called the police. He heard from either the driver or a passenger that the passengers in the taxi were in a rush for a funeral. Mr. Akbari, who was not known to Mr. Parwani, came forward and gave his name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cross-examination, Mr. Parwani stated that there were other vehicles in the area. On examination for discovery he had stated that there were no other vehicles in the area. When the discovery was put to him he stated that maybe there were other vehicles in the area. He agreed in cross-examination that there were pedestrians in the area at the time of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Sima Parwani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Parwani was a passenger in the front seat of the vehicle operated by Mr. Parwani. She testified that as they were approaching the intersection of Kamloops Street she could see in all four directions. She stated that she saw the light was green and that as their vehicle entered the crosswalk she saw the light turn yellow. She said that she was looking at the light above the crosswalk. At the same time, she said, she saw the taxi approaching from the left as the van entered the crosswalk. She said that the taxi was one to two car lengths back when they entered the crosswalk. She stated that she continued to watch the taxi. She stated that she saw the taxi run the stop sign. She said that she thought that he would stop, but then the taxi struck their vehicle. She agreed that she did not say anything to Mr. Parwani or call out. Ms. Parwani stated at one point that she was not sure where the collision occurred and later that the collision occurred closer to the other crosswalk.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Muktaba Akbari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Muktaba Akbari testified that he witnessed the accident. He was 19 years old at the time of the accident, working and attending high school. It was his testimony that he was at the location with his brother. He said that he was standing on the northwest corner of Hastings Street in front of the TD Bank, looking ahead, waiting for the light to turn when he saw a green minivan proceeding eastbound on Hastings Street travel through the intersection as the light turned yellow. He testified that at the same time he observed the taxi coming along Kamloops Street. He said that he observed that the taxi did not stop at the stop sign, but drove straight through, proceeded into the intersection and hit the minivan in the middle of the intersection. After the collision, the van fishtailed then the driver pulled over to the corner.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Akbari agreed that there were other people on the sidewalk at the same time. He denied that any of the pedestrians had started across the intersection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Akbari estimated that the taxi was travelling at 40-50 kilometres per hour as it proceeded through the intersection. He stated in cross-examination that the estimate of speed was based in part on what he observed and in part on his experiences with taxi drivers in Vancouver. He stated further that in his experience taxi drivers always run stop 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circumstances with respect to statements that Mr. Akbari has given concerning the accident are troubling. In the course of cross-examination, Mr. Akbari gave evidence that he signed two statements following the accident. The first statement was signed in the vehicle of a private investigator hired by Mr. Parwani's lawyer. Mr. Akbari said that he spoke with this investigator over the telephone. He then met him at home where Mr. Akbari went out to the investigator's vehicle and signed the statement. It was Mr. Akbari's testimony that he did not read the statement before he signed it. The second statement was signed shortly before trial. Mr Akbari testified that he was contacted about the matter, and told the investigator that he could no longer recall what had happened and that he had to go back to the scene. They met at the scene. The second statement had been pre-prepared and Mr. Akbari signed the statement after reading it at the scene. He made changes in ink to one paragraph dealing with the event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However, the second statement contained many changes from the first statement in addition to the changes written in ink by Mr. Akbari. For example, the first statement contains the note in paragraphs 7 and 15 that the taxi went through a red light. Mr. Akbari stated that this was a mistake. It is clear from the objective evidence of the scene that this was a mistake in the sense that it is a stop sign, not a light, at the Kamloops intersection. Those paragraphs in the second statement have been changed. They now state that the taxi went through a stop sign. However, this is a change that was made prior to Mr. Akbari's input. It appears that Mr. Akbari did not initiate or direct the change to his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first statement reports that Mr. Akbari believes that the occupants in the van were wearing seatbelts. Mr. Akbari agreed in cross-examination that he could not see into the van and could not have seen if the occupants were wearing seatbelts. This comment had been removed from the second statement when it was presented to Mr. Akbari for his review and signature. Again, it is clear that this change appears to have been made without Mr. Akbari's input or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Paragraph 11 of the first statement contains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crash was not loud and I did not notice any pieces of the vehicles left on the street. I do not recall which lane the van was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These two sentences were removed from the second statement. Mr. Akbari had no explanation for the deletion.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Paragraph 15 of the first statement contains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nothing that I saw that could have blocked the view of either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second statement this sentence was revised as follows; again, it appears, not at Mr. Akbari's direction or initiation.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nothing I saw that could have blocked the view of the taxi driver.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Yadwinder Sekhon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Sekhon was working as a taxi driver for the defendant Vancouver Taxi Ltd. on the day of the accident. He had been employed as a taxi driver for several years. That day he had two passengers who were going to a funeral home located on 41st and Fraser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He testified that as he was travelling southbound on Kamloops Street and approaching the intersection in question, he observed the light turn red on Hastings Street. Mr. Sekhon stated that he did a quick stop, which he acknowledged was not a full stop. He stated that he observed traffic to his left on Hastings Street had stopped at the red light. He stated that there was no traffic to his right. He did not recall if there were pedestrians crossing. He stated that he saw that the intersection looked clear and he decided to cross. He said that he proceeded at a slow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examination for discovery Mr. Sekhon had agreed that the first time he saw that the light was red was after the accident. His explanation for this inconsistency was that he had understood the question to have been referring to the first time he observed the light after the accident. On his examination for discovery he had stated that there were no pedestrians crossing, there was no traffic in either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Sekhon testified he saw the van approaching when he was halfway across the intersection. He did not see the van entering the intersection. He slammed on his brakes and his vehicle skidded, but the taxi hit the van. The light was still red. He had crossed three lanes to get to the collision. He agreed that there was less than one second between the time he saw the van and the collision. He had no time to swerve and did not skid for long after he hit the brakes.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Sekhon stated that he did not have a seat belt on. The impact was minimal. He said that he checked to make sure that his passengers were ok. He then pulled off to the right on the curb. He said that he and one of the passengers got out of the taxi and went over to check on the other vehicle to see if they were ok. He said that he asked the driver "why did you cross the red light?" The driver replied that the light was green. They then exchanged information. The passenger said that they had to get to the funeral and he went back to the taxi and left. Mr. Sekhon said that he did not see anyone approaching the driver of the vehicle before he left and that the first time he had ever seen Mr. Akbari was when he was in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Sekhon stated that after he drove off, he drove for about five to ten minutes then called for another driver to take over. Mr. Sekhon then went back to the scene to assist him in filling out a report. At the scene he found the grill from his vehicle.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Cornell Wilson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Wilson was one of the passengers in the taxi driven by Mr. Sekhon when the accident occurred. He was in the taxi with a friend from the United Kingdom. They were going to attend a funeral. Mr. Wilson and the other passenger were sitting in the back of the taxi. He said that he recalled sitting behind the driver. He agreed that he had signed a statement in March 2009 saying that he was not exactly sure where he had been sitting and agreed that it was possible that he was sitting behind the passenger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Wilson testified that the taxi came to a stop at the stop sign at the intersection of Hastings Street. He stated that he noticed pedestrians waiting to cross. He said that he then observed pedestrians starting to cross Hastings Street at just about the time that the taxi started to cross the intersection. Mr. Wilson was cross-examined with some vigour on this point, but remained firm in his evidence. He stated that he was convinced that pedestrians were crossing the road when the taxi was in motion. He stated that he did not observe the color of the light, but presumed the light had changed because the pedestrians were now crossing the road. He noticed a car stopped on Hastings Street in an eastbound lane. He said that the taxi was proceeding at a slow speed. Suddenly he heard a bang. The taxi was in a collision with a vehicle he described as a greyish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Wilson agreed that he had made an earlier statement in which he stated that the van had struck the taxi.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Wilson testified that after the collision the people in the taxi asked each other if they were ok. He followed the taxi driver over to the other vehicle where he observed the two drivers arguing. He was annoyed and told Mr. Sekhon that he was in a hurry; he needed to get to the funeral. The drivers then exchanged information and the taxi driver returned to the cab and drove them away. He did not see anyone approaching the van. He believed that the same driver drove them all the way to the funeral.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 stated that he had no concerns about the way the taxi was being driven. He felt safe. It was his testimony that if he had any concerns, he would have made them known to the driver. He did not know the driver and has not seen him since.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Discussion and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Two starkly different accounts of the accident emerge from the evidence. On the version of the witnesses who testified in the plaintiff's case, Mr. Parwani was proceeding through the intersection on a green light that turned yellow while he was in the intersection. Mr. Sekhon failed to stop at the stop sign and drove through the intersection at a high rate of speed to collide with Mr. Parwani's vehicle. On the version of the witnesses who testified in the defendants' case, Mr. Parwani was proceeding through the intersection on a red light and the taxi driven by Mr. Sekhon either came to a stop at the stop sign or a quick or incomplete stop before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have concluded that Mr. Sekhon's and Mr. Wilson's accounts are the more reliable. With respect to Mr. Akbari's evidence, the circumstances regarding his two statements and the changes to them outlined above create doubt concerning the reliability of his account. In addition, I am of the view that his account of the accident was more influenced by his beliefs about what he thinks is the typical behaviour of taxis in Vancouver than by what he actually observed. His willingness to estimate the speed of the taxi suggests to me that he was prepared to speculate.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Akbari's evidence was that he watched the Parwani van proceed into the intersection. He agreed that this meant that he had to be looking to his right or west on East Hastings Street. He also agreed that the taxi was coming from behind him and to his left. He placed himself standing right next to the stop sign on Kamloops Street. Despite this, Mr. Akbari said he had in essence a full view of not only the van, but the traffic light which hangs above the intersection to the west side of the intersection, and the taxi approaching from behind. He gave evidence that he could see everything. I agree with the submission of counsel for the defendants that Mr. Akbari could not have seen everything, given where he was looking and what he was watching as he was standing on the corner waiting to cross East Hastings Street in a southerly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Finally, Mr. Akbari's account that the taxi travelled at 40-50 kilometres per hour through the stop sign at the intersection of Kamloops and Hastings Streets without any precautions is not plausible. It is also completely at odds with Mr. Wilson's testimony that he had no concerns about the way in which Mr. Sekhon was driving the taxi. I do not doubt that if the taxi had been driven at that speed straight through the stop sign across Hastings Street, a busy thoroughfare, Mr. Wilson would have been very concerned, would have made his displeasure known at the time and would have recalled at trial being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found Mr. Wilson's evidence to be essentially reliable. He was prepared to say what he did and did not recall. His account was plausible and moreover, it was consistent with his recollection that he had no concerns about the way in which Mr. Sekhon was driving. There were some things that he did not recall correctly, for example the colour of the van; however, these in my view did not detract from the overall reliability of his account. While he did not observe the color of the light at the intersection, his evidence that other traffic had stopped and pedestrians had started to cross was consistent with Mr. Sekhon's evidence that the light was red and inconsistent with the account of the witnesses who testified in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agree that the accident could not have happened as suggested by Mr. Parwani. His account had the taxi travelling up to two car lengths to the stop sign and then across three lanes of traffic on Hastings Street in the time that Mr. Parwani's vehicle travelled through part of the intersection. I also do not think it plausible that Ms. Parwani would be able to simultaneously observe the light, the intersection and the progress of the taxi. I find it even less likely that she would observe a taxi speeding toward the car, but would make no sound of surprise or warning.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the result, I find that as Mr. Parwani travelled eastbound on Hastings Street, he entered the intersection against a red light when it was unsafe to do so and contrary to the provisions of s. 129 and 131(5)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Accordingly, Mr. Parwani was the servient driver who was obliged to yield the right of way to Mr. Sekhon, the dominant driver. Mr. Parwani failed to do so and failed to keep a proper look out. As such, I find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That, however, is not the end of the matter. As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makes clear, a duty of care to avoid a collision does arise when a dominant driver ought to see that the other driver is not yielding the right of way; see </w:t>
      </w:r>
      <w:r>
        <w:rPr>
          <w:rFonts w:ascii="arial" w:eastAsia="arial" w:hAnsi="arial" w:cs="arial"/>
          <w:i/>
          <w:color w:val="000000"/>
          <w:sz w:val="20"/>
          <w:lang w:val="en-US" w:eastAsia="en-US" w:bidi="ar-SA"/>
        </w:rPr>
        <w:t>Bedwell v. McGill</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2008 BCCA 6</w:t>
        </w:r>
      </w:hyperlink>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76 B.C.L.R. (4th) 291</w:t>
        </w:r>
      </w:hyperlink>
      <w:r>
        <w:rPr>
          <w:rFonts w:ascii="arial" w:eastAsia="arial" w:hAnsi="arial" w:cs="arial"/>
          <w:color w:val="000000"/>
          <w:sz w:val="20"/>
          <w:lang w:val="en-US" w:eastAsia="en-US" w:bidi="ar-SA"/>
        </w:rPr>
        <w:t xml:space="preserve">. Moreover, s. 186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requires the driver to stop at a stop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Sekhon admitted that he did not come to a full stop. In my view, if Mr. Sekhon had come to a full stop at the stop sign as required and if he had kept a proper lookout, he could have observed that Mr. Parwani was failing to yield the right of way and the collision could have been avoided. Consequently, I find that Mr. Sekhon was also at fault. It follows that his employer, Vancouver Taxi Ltd., is also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terms of apportionment given that Mr. Sekhon was the dominant driver with the right of way, it is my view that liability should be apportioned 75% to the plaintiff and 25%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Plaintiff's History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Pre-Accident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Parwani was born in Afghanistan. He is presently 46 years old. Mr. Parwani is a very well educated man with many intellectual interests. He speaks seven languages: Farsi, Russian, Hindi, Urdu, Taji, Pushti and English. From a very young age Mr. Parwani devoted much of his time to his passion for writing and social activism. He testified that since age 14 he has been an avid writer with published work. As a teenager he was a contract journalist for a newspaper regarding stories of the life of youths. In Grade 12 he wrote an article about the social situation and impact of the war, which was published. Mr. Parwani stated that the censors changed his article to side with the Russian regime so he ceased writing for the newspaper until the Soviet occupation 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Parwani is a devout Muslim. He testified that since the age of six he has performed the religious rituals of his faith five times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Parwani testified that he graduated from high school and then attended the law faculty in Afghanistan for one year. His education was interrupted during the Soviet invasion of Afghanistan. He and a group of students went on a scholastic strike in protest of the occupation. Russian troops broke into his home and arrested him and other members of his family including his father, cousin, and his soon to be brother-in-law. They were imprisoned for nine months. His father was executed. Mr. Parwani was released with the option of either serving in the army or attending university in Russia. He studied in Russia for six years, obtaining a Masters Degree in mechanical engineering. He also took Russian literature, language, history and philosophy courses, and obtained a diploma in literature and philosophy.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Parwani returned to Afghanistan in 1988 and served for six months in the army. In 1992, after the Soviet occupation, he resumed writing for the newspaper, but civil war broke out. Mr. Parwani then started a newspaper which gradually grew in size. It was the only newspaper operating in his city during the civil war.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Parwani worked for the Ministry of Transportation for three months and then obtained a job with an international transportation company. After two months he was promoted to Chief Engineer, a position he continued to hold until he left Afghanistan in 1999. Mr. Parwani stated that he used his authority as Chief Engineer of the transport company to help rescue civilians from war.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Parwani was married in 1992 and presently has three daughters. He stated that he encouraged his wife to obtain an education and she entered the faculty of journalism in Afghanistan.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1996 when the Taliban were becoming more powerful, Mr. Parwani felt that his life was in danger because of his moderate views and writings and he feared for the future of his wife and daughters under the rule of the Taliban. He believed that they would not have equality or freedom to be educated or freedom to live as they saw fit. Consequently, they left Afghanistan, made their way to India and shortly thereafter applied for Canadian refugee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While in India, Mr. Parwani worked as a translator and organized the publishing of a newspaper. At the same time he was running the newspaper, he also worked in the Embassy of Afghanistan in India as cultural attaché. At that time, India did not recognize the Taliban, but rather the old Northern Alliance.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Eventually in September of 2000, Mr. Parwani and his family were able to come to Canada as refugees. At first, Mr. Parwani supported the family with social assistance, while taking steps to improve his situation including taking English courses, attending job fairs and career building workshops offered through Langara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Parwani investigated the possibility of finding work as a mechanical engineer, but learned that his certification would not be recognized and that to pursue this vocational avenue, he would have to return to school for approximately five years during which time he would not be able to support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2003, he took advantage of an opportunity that presented itself in the hopes of improving his situation. Mr. Parwani accepted a position in India as First Secretary in charge of cultural affairs in New Delhi. His family stayed in Vancouver during this period. As cultural attaché, he tried to recreate the books burned by the Taliban. He testified that he made efforts to find copies of these books throughout the world and he retyped and designed approximately 55 books.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Parwani was only earning $600 per month at his position in New Delhi, which was not enough to support his family in Canada. At the beginning of 2004, he returned to Canada and decided to open and operate a painting business. He named his business Peacock Painting and Decorating. Mr. Parwani obtained a business licence from the City of Vancouver and began working with CertaPro Painters.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He worked for approximately eight months as a painter prior to the motor vehicle accident. He testified that he was doing very well and that his customers were happy. He stated that he had plans to expand the business and hire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Operating Manager of CertaPro Painters, Mr. Del Pellaro, testified that prior to the motor vehicle accident Mr. Parwani was one of his top painters. Mr. Del Pellaro testified that the plaintiff made clients happy, and he found Mr. Parwani to be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Parwani had authored and translated a number of books prior to the motor vehicle accident. At the time of the accident, he stated that he was working on three books one of which was a translation from Russian to Farsi. He also testified that prior to the accident he had authored well over 200 articles.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Karim Qayumi is a cardiovascular surgeon and full professor in the Faculty of Medicine at the University of British Columbia. He is one of the founders of Partnership Afghans in Canada ("PAC"), a non-profit society whose purposes include assisting and supporting in the reconstruction of Afghanistan, supporting the cultural integration of Afghan immigrants into Canadian society, and helping Canadians to understand the traditions and culture of Afghanistan. Dr. Qayumi is a major funder of PAC and serves on its board of directors. Mr. Parwani approached PAC when he came to Canada and provided some assistance to the society when he was working in India.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July 2004, Dr. Qayumi offered Mr. Parwani the opportunity to make a documentary film about the conditions of women and children in Afghanistan. The film was to be completed by September 2005. Mr. Parwani was to go to Afghanistan to do the filming. A crew and all the necessary permits had been arranged in Afghanistan and all was in readiness. Apparently, Mr. Parwani entered into a contract with PAC in relation to the project although the agreement was not in evidence. He was to be paid $15,000 on completion. Dr. Qayumi testified that he had a number of other projects in mind and that the first film was in the nature of a pilot project. If it had been successful, he estimated that perhaps three films a year could have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There is no evidence that Mr. Parwani ever initiated any work with respect to this project, either before or after the motor vehicle accident. In the result, the film was never made. Mr. Parwani testified that the reason for this was that his injuries prevented him from undertaking the project. PAC subsequently dropped the documentary film initiative.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Parwani testified that prior to the motor vehicle accident he performed his prayers at the prescribed intervals every day. Ms. Parwani worked outside the home and those days, after conducting his prayers, he would wake up his children, get them dressed, and make breakfast. He would get them ready and walk them to school. He would then walk back home and go to work. He stated that he would usually work for eight hours. He had to return home by 5:00 p.m. in order to pick up his children from daycare. After returning home with his children, he would help them with their homework and prepare dinner. If weather permitted, he would take the children out to play in the playground near their home, and play volleyball, soccer, and at times would take them swimming. The family belonged to the local community recreation center where they would go approximately twice a week. Later in the evening, he would spend approximately five hours working on his books and translations on the computer.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He stated that prior to the accident, he and his wife shared the household and childcare equally; their respective daily tasks were dependant on their schedules. However, he did most of the cooking because his children enjoyed his cooking more. Mr. Parwani testified that he enjoyed a family-oriented social life; the family's social life consisted mainly of having people over to their home or attending friend's homes or going out for barbeques in the park.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Post-Accident: October - December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Following the motor vehicle accident, Mr. Parwani stated that he had extreme pain in his neck, left shoulder and arm, left knee, and low back, and also suffered from headaches. He described the neck pain as severe and almost constant. The shoulder and arm pain was a constant, heavy pain that left him unable to use his left hand and arm. He described the pain in his knee as not constant; it was painful in the front and back of the knee, as if a heavy weight was hanging from the knee. The headaches were increasing, and were made worse with reading. Mr. Parwani described the low back pain as the worst pain of all. It was constant, and any movement made it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His evidence was that in the period between the accident and December 2004, he could not play with his children nor help with the housework. A friend, Ms. Shaima, came in to help out with the housekeeping. Mr. Parwani testified that he could not paint at all. He tried to work, but could not. He also could not help around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clinical and employment records are somewhat at odds with this testimony. Mr. Parwani first sought treatment on October 12, 2004, from Dr. Philip Styffe at the Brentwood Medical Clinic. Mr. Parwani explained this delay in part because of his concern for his wife who was also injured in the accident. Dr. Styffe's clinical notes reflect complaints of headache, neck pain and pain in Mr. Parwani's left arm and lower back. On examination, reduced range of motion was found in his neck and back. Dr. Styffe diagnosed a cervico-thoracic-lumbar strain, recommended heat, rest and perhaps physiotherapy, and prescribed medication for Mr. Parwani's pain and spasms. He recommended that Mr. Parwani increase his activities as tolerated. There was no note of complaints about his left shoulder or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Parwani returned to the doctor on October 23, 2004. He told the doctor he felt no better and that he was not working. He complained of pain in his lower back and neck, and on examination, he had some reduced range of motion in his back and neck. He complained for the first time of pain in his left knee. There was no complaint of headache.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Styffe ordered x-rays of Mr. Parwani's neck, back and knee. The report showed normal cervical spine, mild degeneration of the thoracic spine and changes at L2 and L3 suggestive of degeneration or an old injury. Mr. Parwani's left knee was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Parwani returned to the doctor on October 28, 2004. He reported that his neck was all better. On examination, the neck had normal range of motion. There was no complaint of pain in his left shoulder, arm, left knee and no complaint of headache. Mr. Parwani complained of tenderness in his lower back. On examination, there was some reduced range of motion in his back. Dr. Styffe suggested physiotherapy and work as tolerated. He did not prescribe any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Parwani attended at KARP Rehabilitation ("KARP") on December 3, 2004 for assessment. The Initial Assessment Report dated December 8, 2004 notes in part that Mr. Parwani reported pain in the left side of his neck and left shoulder. He complained of a bump under his right shoulder, causing pain and reported low back pain. He also complained of sleep disturbance. He reported that he was able to work at his painting job for five hours a day. He reported that he was unable to paint ceilings due to pain in his neck and shoulder. He reported that he had taken a month off work on his doctor's recommendation. On examination he was found to have poor flexibility in his neck, trunk and hamstrings, poor strength and reduced range of motion in his neck and back. Mr. Parwani tested positive for two of four Waddell non-organic tests. KARP recommended an active rehabilitation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Parwani's next visit with Dr. Styffe was on December 15, 2004. He complained of lower and occasional mid-back pain. He said he suffered from occasional left side neck pain. There were no complaints of pain in the left knee, shoulder or arm and no complaints of headache. There were no medications prescribed. He reported that he was only working three or four hours every several days. He reported that he could not pray due to pain. He was found to have full range of motion in his neck, but reduced range of motion in his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Parwani went back to Dr. Styffe on December 21, 2004 complaining of low back pain. There were no complaints of pain in his neck, left shoulder or arm, left knee or headache.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While Mr. Parwani apparently reported to his doctor on October 23 that he was not working and to KARP that he had taken a month off work after the accident, the record provided by CertaPro Painters suggests that he was working as a painter in October. It was the practice of CertaPro to pay on completion of the work and payment by the customer. The record reflects a significant contract was completed and paid out on November 3, 2004, suggesting work done during the month of October.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Parwani testified that he completed his existing sub-contract with some difficulty and then requested work on an hourly basis. He stated that after the accident he hired a worker to assist him to finish. No records were produced for 2005. However, the 2004 record reflects sub-contract work continued through November. His evidence in his discovery was that he could not recall when he had hired the worker.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Post-Accident: January - December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Parwani had a CT scan done on January 4, 2005 which showed minor L3-L4 disc bulging and a minor compression fracture at L3, possibly the result of an old injury. Mr. Parwani started active rehabilitation at KARP.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Parwani stated that the therapists at KARP trained him on how to do the exercises and stretches in his rehabilitation program. He said that he understood how to do the exercises. It was his testimony that he was told to continue the exercises after he concluded the program, but that he did not. He was of the view that his activity at home was like the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Final Assessment from KARP is dated March 15, 2005, based in part on an examination by Mr. Titus Tam, a Kinesiologist, on March 10. It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Parwani has attended 15 out of 12 to 15 allotted active rehabilitation sessions with his kinesiologist. He was frequently late for his scheduled appointments and he failed to show-up for one session and cancelled another session without providing 24 hours notice. Mr. Parwani has demonstrated improved overall mobility despite frequent complaints and poor recall to his assigned independent exercises. Physical testing revealed increased range of motion in his neck, trunk and shoulders, as well as improved abdominal strength and hamstring/trunk flexibility. There was a marked decrease in his grip strength with multiple testing, however, it appeared this was a result of poor effort rather than an inability to achieve a greater score.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report noted that Mr. Parwani now reports no difficulty with neck movements while sitting still, standing or walking. Mr. Parwani had been swimming laps at the pool, but had reduced that activity and now spent his time in the whirlpool or sauna. In his examination for discovery, held in September 2008, Mr. Parwani stated that he started swimming in 2005, but now only goes sporadically. He said that this is because back then he had more pain and he felt that it was necessary to treat it, but now because of the decrease in pain, he goes less often.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With respect to employment concerns, the report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Parwani reports he is working his regular work duties as a sub-contracted painter for Certapro Painters. He reports business has been slow and he is therefore only working 15 to 20 hours per week. He indicates the outdoor painting season should be starting next week, where in which his daily work hours should be at least eight to ten hours a day. During our program, Mr. Parwani has completed a gradual return to work plan, which allowed for him to resume his regular work duties on February 28,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Parwani agreed in cross-examination that that is what he told Mr. Tam. With respect to the graduated return to work, there is a plan in evidence that has been signed by Dr. Styffe, but not by Mr. Parwani.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Parwani's evidence with respect to working as a painter in 2005 is contradictory. He testified in cross-examination that he was painting while attending KARP. In re-examination, he stated that he last worked as a painter in January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Michael Del Pellaro is the owner of the painting company doing business as CertaPro Painters. Mr. Del Pellaro testified that Mr. Parwani always had a small crew working for him. He confirmed that prior to the motor vehicle accident Mr. Parwani had been one of his best sub-contractors. It was his evidence that Mr. Parwani did some sub-contracts in the spring and summer of 2005. It was his recollection that the quality of Mr. Parwani's work declined during that time and he let him 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Parwani reported to Dr. John Le Nobel during a 2009 assessment that he continued to work as a painter for seven to eight hours a day, although not every day, until September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Contrary to what was reported in the KARP Final Assessment with respect to the prospect of a return to painting and what he reported to Dr. Le Nobel and the testimony of Mr. Del Pellaro, Mr. Parwani testified that after he finished at KARP he concluded that he could not return to painting because of his injuries. He had to, in his words, start over from scratch. He stated that he completed 20 hours of media training as part of a Media and Advocacy training program in March 2005, for which he received a certificate dated March 16,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Parwani next saw Dr. Styffe on April 18, 2005 complaining of a posterior head and neck "boiling" feeling. There were no complaints of low back pain, left arm or shoulder pain left knee pain or headache. There was a complaint of some aching with full flexion of the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Styffe referred Mr. Parwani to Dr. Mark Adrian, a rehabilitation specialist, and Mr. Parwani saw Dr. Adrian on April 28, 2005. He complained of neck, back and left knee pain. While he had reported no difficulty with neck movement, sitting standing or walking at the time of the completion of the KARP program, he reported to Dr. Adrian that he was experiencing back pain with sitting, standing and walking. He reported that he had returned to work, but was working fewer hours. He said that he had difficulty with recreational activities and praying and that he could not sit for long periods at his computer. He reported, contrary to his evidence at trial, that he was continuing with his exercise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Adrian concluded that Mr. Parwani was suffering from mechanical neck and back pain and recommended that he continue with his exercise program. Dr. Adrian found no abnormalities with Mr. Parwani's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Parwani went to Afghanistan for a month long visit taking with her the eldest daughter, in May 2005. Mr. Parwani looked after the two younger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Parwani testified that by June 2005 his neck pain had improved somewhat; so that he could spend 30 minutes at the computer before the pain came back. He stated that shoulder and arm problems were resolved; however there had been no improvement at all with the symptoms in his left knee or his low back. He stated that he had constant pain in his low back. It was his evidence that there had never been any improvement in the low back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Parwani testified that he entered into an agreement with PAC to host, write and direct a program for Arianna TV. The agreement provided that he would be paid $1,000 per month. Mr. Parwani commenced his employment in September 2005. Mr. Parwani testified that PAC put him on a probationary term during which time he was expected to find a way to turn a profit through the television/media activities. In cross-examination, he agreed that he worked five hours a day at this position including time writing at his computer.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Parwani testified that he remained in the position until mid-2006. It was Mr. Parwani's testimony that he was unable to fulfil the requirements of the contract due to his injuries and so he gave up on the paying job, but continued as a volunteer. Mr. Parwani explained that he could not sit at the computer for extended periods and this prevented him from being able to find and exploit opportunities to earn a profit for PAC. However, on examination for discovery Mr. Parwani had agreed that he was able to do all the duties of that position. His explanation was that he was able to do the requirements for the television show, but not a range of other duties. Mr. Parwani continues as an unpaid volunteer working three hours on Mondays and five hours on Tuesdays.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Parwani attended Dr. Styffe's partner, Dr. Hunter, at the Brentwood clinic on September 12, 2005 with a complaint of stomach problems. There may have been a note of complaint of back pain, but there were no complaints of neck pain, left arm or shoulder pain, left knee pain or headache.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On September 20, 2005 Mr. Parwani consulted with Dr. William Weaver, Dr. Styffe's locum, for counselling, in regards to problems with his wife. There were no complaints noted with respect to Mr. Parwani's physical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On September 28, 2005, Mr. Parwani was back in to see Dr. Adrian. Dr. Adrian's report reflects that Mr. Parwani reported improvement until mid-September, with a recent flare up of symptoms in his low back and left shoulder. Mr. Parwani reported that he had required some time off from painting, but that his symptoms were improving. Dr. Adrian noted that he encouraged Mr. Parwani to remain active, and to expect fluctuation in his symptoms and gradual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Parwani was next back to see Dr. Hunter on December 12, 2005. On that visit he complained of back and knee pain. The examination was essentially normal.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Post-Accident: January 2006 -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As stated above, Mr. Parwani testified that he had to leave his paid position with Arianna TV and PAC in February or March 2006 because of his injuries. He stated that after that time, he was unemployed and lived off credit cards until he started his present job with SUCCESS, an agency which assists immigrants. He started on call in April 2007 and was promoted to a full-time supervisor within a couple of months. However, in his examination for discovery it was Mr. Parwani's evidence that he worked at the PAC position until January 2007. His explanation was that he must have been confused. Moreover, on discovery it was Mr. Parwani's evidence that he left the PAC position because he found a better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Parwani's position with SUCCESS involves working out of a booth at the airport and providing assistance to immigrant and refugee claimants. It was Mr. Parwani's testimony that he has pain on the job, but he is able to perform because the position is flexible. Mr. Parwani can change physical positions when he needs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Parwani visited his doctor in May 2006 for an unrelated complaint. There is no mention of back pain, neck pain, left arm and shoulder pain, left knee pain or headache.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Styffe provided a medical legal opinion dated April 18, 2007 which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conclusion, this patient reports being in a motor vehicle accident on October 8, 2004 followed by injuries involving the neck, back and knee consistent with the accident as described. He had no apparent pre-MVA issues. He subsequently suffered neck and shoulder soft tissue pain resulting in complete disability for perhaps a few weeks, followed by partial disability for several months. He continues to have some lingering problems off and on. I do not think he has any permanent injury sequelae. He has always been a pleasant and compliant patient. He does have age and possible old injury degenerative changes in the lumbar spine unlikely to be from the motor vehicle accident. These are likely to progress slowly over decades, but I can't put a specific prognosis on a specific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Parwani's next visit to Dr. Styffe was on November 10, 2008 where his complaint was of low back pain that he had experienced for three days. There was no reference to constant low back pain and no reference to pain in any other part of Mr. Parwani's body. Dr. Styffe agreed that this episode was not related to the accident. It is clear from Mr. Parwani's evidence that the precipitating event for the flare up was a stressful experience spread over a period of several days at his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Parwani was examined by Dr. Le Nobel, a specialist in physical medicine and rehabilitation, on December 15, 2008, for the purpose of obtaining a medical legal report. Dr. Le Nobel's report is dated December 18, 2008 and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Abdul Parwani's injuries were over four years and two months before today's evaluation. Given that he is still symptomatic and has remained symptomatic since the motor vehicle accident, over four years and two months ago, he is diagnosed with a chronic pain condition. My diagnosis is of chronic mechanical back pain, affecting his low back and neck and patellofemoral pain affecting his left knee.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to these areas of injury, Abdul Parwani is deconditioned with loss of flexibility, loss of muscle strength and endurance and loss of cardiovascular fitness, due to activity restriction, contributed to by effects of the motor vehicle accident October 8, 2004.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is not, at the present time, maximally medically recovered. He is, at the present time, partially disabled with respect to his work, athletic and avocational activities. He could, with a program of exercise rehabilitation, reduce the deconditioning component of his post-injury state. To achieve this he should be performing stretches on a daily or most days basis, concentrating on his lumbar spine, hips and thoracic spine, with slow sustained stretches done prior to and following exercise and/or heat application to warm and relax his muscles. Strength training, focusing on light resistance and high repetition progressive strengthening protocols, as well as non-impact cardiovascular fitness training with water exercises and/or machine exercises (stationary bike, elliptical trainer, ski machine) should, I believe, be incorporated into the rehabilitation exercise program. In order to engage in such a program, Abdul Parwani will require access to an exercise facility.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time elapsed since being injured, there is potential for improvement over a sustained period of 12-18 months. I believe that the majority of benefit to be achieved through such an exercise program can be realized in such an interval. I believe that with diligent application to such an exercise routine, he will stand his best chances for symptomatic and functional improvement. I believe that with such an approach there is a possibility of returning to more or all of his pre-accident capabilities.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Le Nobel prepared a second report dated February 6, 2009 in which he opines that it is now more probable than not that Mr. Parwani will not fully recover from his injuries. His second report was in response to a question from counsel. He did not examine Mr. Parwani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Parwani was examined by Dr. Jonathon Fenton, an orthopaedic surgeon, for the purposes of obtaining a medical legal opinion. Dr. Fenton's report is dated March 19, 2009, and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accept that he has ongoing subjective complaints. However, I do not think he is at risk if he works on increasing his level of physical fitness in order to try and better control the symptoms in his low back. At the present time he appears to be significantly de-conditioned both from the history of his activities which he gave me and from the general examination of his person. At the present time Mr. Parwani is employed in a position which would appear to me to be much better suited to his qualifications than that of a painter. However, he did say to me that he had noticed some benefit from the exercises that he had been doing with the physiotherapist and trainer and if this is the case I feel that he can probably control his back symptoms very much more readily if he continues to exercise. He will probably go on having intermittent episodes of low back pain but he does not on the basis of this examination require any further investigation.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think in the future that the back pain is going to be sufficiently severe to interfere with any of his working activities and in my opinion if he works at his level of physical fitness he will probably find that he will have fewer and less severe episodes of pain than he does at the present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Styffe prepared a supplemental report dated March 25, 2009 in which he states that having seen Dr. Le Nobel's report, he agrees with its conclusion. He had not examined Mr. Parwani since November 10,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Parwani stated that at present he experiences constant pain in his low back that fluctuates according to his activity. His left shoulder is now recovered. He experiences pain in his left knee that is intermittent. He experiences pain in his neck if he sits for longer than an hour at the computer. He continues to suffer from headaches although these have improved.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Positions of the Parties with Respect to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Non-Pecuniary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Counsel submits that the motor vehicle collision of October 8, 2004 changed Mr. Parwani's life considerably. He is no longer able to conduct his prayers as he used to. He is no longer able to participate in sporting activities with his children. His children can no longer jump into his arms when he comes home. He is no longer able to pursue his passion of authoring and translating books. The three books he was working on at the time of the collision remain unfinished until this day. His intimacy with his wife has been negatively affected. Their ability to socialize with family and friends has been negatively impacted. This loss is substantial and ongoing. Counsel submits that an award of $75,000 would be appropriate compensation for non-pecuniary damages for pain and suffering and loss of amenities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Counsel cites: </w:t>
      </w:r>
      <w:r>
        <w:rPr>
          <w:rFonts w:ascii="arial" w:eastAsia="arial" w:hAnsi="arial" w:cs="arial"/>
          <w:i/>
          <w:color w:val="000000"/>
          <w:sz w:val="20"/>
          <w:lang w:val="en-US" w:eastAsia="en-US" w:bidi="ar-SA"/>
        </w:rPr>
        <w:t>McCreight v. Currie</w:t>
      </w:r>
      <w:r>
        <w:rPr>
          <w:rFonts w:ascii="arial" w:eastAsia="arial" w:hAnsi="arial" w:cs="arial"/>
          <w:color w:val="000000"/>
          <w:sz w:val="20"/>
          <w:lang w:val="en-US" w:eastAsia="en-US" w:bidi="ar-SA"/>
        </w:rPr>
        <w:t xml:space="preserve">, [2007] </w:t>
      </w:r>
      <w:hyperlink r:id="rId392" w:history="1">
        <w:r>
          <w:rPr>
            <w:rFonts w:ascii="arial" w:eastAsia="arial" w:hAnsi="arial" w:cs="arial"/>
            <w:i/>
            <w:color w:val="0077CC"/>
            <w:sz w:val="20"/>
            <w:u w:val="single"/>
            <w:shd w:val="clear" w:color="auto" w:fill="FFFFFF"/>
            <w:lang w:val="en-US" w:eastAsia="en-US" w:bidi="ar-SA"/>
          </w:rPr>
          <w:t>2007 BCSC 127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Anderson v. Merritt (City)</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2006 BCSC 901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McFadyen (Guardian Ad Litem of) v. Dean</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2006 BCSC 779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Foran v. Nguyen</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2006 BCSC 605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Andres v. Leslie</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2005 BCSC 1096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Wagner v. Narang</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2003 BCSC 1750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Tung v. Allen</w:t>
      </w:r>
      <w:r>
        <w:rPr>
          <w:rFonts w:ascii="arial" w:eastAsia="arial" w:hAnsi="arial" w:cs="arial"/>
          <w:color w:val="000000"/>
          <w:sz w:val="20"/>
          <w:lang w:val="en-US" w:eastAsia="en-US" w:bidi="ar-SA"/>
        </w:rPr>
        <w:t xml:space="preserve">, </w:t>
      </w:r>
      <w:hyperlink r:id="rId398" w:history="1">
        <w:r>
          <w:rPr>
            <w:rFonts w:ascii="arial" w:eastAsia="arial" w:hAnsi="arial" w:cs="arial"/>
            <w:i/>
            <w:color w:val="0077CC"/>
            <w:sz w:val="20"/>
            <w:u w:val="single"/>
            <w:shd w:val="clear" w:color="auto" w:fill="FFFFFF"/>
            <w:lang w:val="en-US" w:eastAsia="en-US" w:bidi="ar-SA"/>
          </w:rPr>
          <w:t>2008 BCSC 666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Atwater v. Reese</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2009 BCSC 370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Shearsmith v. Houdek</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2008 BCSC 997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It was the position of the defence that, assuming some liability falls to Mr. Sekhon, Mr. Parwani suffered minor soft tissue injuries that resolved within a few months of the accident. He may have had some lingering complaints, but these did not impact him in any discernable way. The defendants' position is that general damages, assuming they are going to be awarded, should be in the range of $8,000.00 to $15,000.00. Counsel cited: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Mohammed v. Rai</w:t>
      </w:r>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2005 BCSC 1918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Dobie v. Brousseau</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2005 BCSC 1718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Ceraldi v. Dathie</w:t>
      </w:r>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2008 BCSC 1812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Shen v. Buchanan</w:t>
      </w:r>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2006 BCSC 432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Kain v. Kirkman</w:t>
      </w:r>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2006 BCSC 1770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Hall v. Day</w:t>
      </w:r>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2006 BCSC 874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Counsel for the plaintiff submits that $70,000 represents an appropriate assessment for the cumulative effect of the loss of opportunity to work as a painter and documentary filmmaker from the time of the accident to the time of trial. It was counsel's submission that following the motor vehicle collision, Mr. Parwani attempted to continue working as a painter until approximately May or June of 2005. Unfortunately, his symptoms caused him to perform poorly. Counsel referred to the evidence of Mr. Del Pellaro who stated that after Mr. Parwani left, two individuals namely Ray and Alonso were hired and became Mr. Del Pellaro's top painters. He testified that last year Ray generated $150,000 and Alonso generated $252,000. He estimated that they would pocket approximately 40% to 50% of that revenue. He also gave evidence with respect to the issue of employee/worker turn over and stated that 85.7% of their painters remain, as opposed to moving on to other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With respect to the opportunity to work as a documentary film writer and supervisor, counsel referred to the evidence of Dr. Qayumi who gave evidence that he had entered into a contract with Mr. Parwani in July 2004 prior to the accident and would have paid Mr. Parwani $15,000 per documentary for his services. Dr. Qayumi expected three documentaries a year would have been made.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Mr. Parwani seeks an award of $100,000 for loss of earning capacity, submitting that as a consequence of his injuries he was rendered less capable of earning income from all types of employment; is less attractive as a potential employee to new employers; is unable to take advantage of all job opportunities that may have been open to him; and is less valuable to himself, as a person capable of earning income in a competitive labour market; citing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10. The position of the defendants is that there is no evidence that would support a claim for loss of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Loss of Homemaking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Counsel for Mr. Parwani submits that the loss of housekeeping capacity is compensable as damages in a manner distinct from non-pecuniary damages for pain and suffering, citing </w:t>
      </w:r>
      <w:r>
        <w:rPr>
          <w:rFonts w:ascii="arial" w:eastAsia="arial" w:hAnsi="arial" w:cs="arial"/>
          <w:i/>
          <w:color w:val="000000"/>
          <w:sz w:val="20"/>
          <w:lang w:val="en-US" w:eastAsia="en-US" w:bidi="ar-SA"/>
        </w:rPr>
        <w:t>Kroeker v. Jansen</w:t>
      </w:r>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(1995), 4 B.C.L.R. (3d) 178</w:t>
        </w:r>
      </w:hyperlink>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58 B.C.A.C. 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Counsel submitted that, since the accident Mr. Parwani has had difficulty performing his household tasks. During the first few months following the collision, he and his wife relied heavily on the help of a family friend Ms. Shaima and he continued to rely on her help up until May 2009 at which point Ms. Shaima could no longer be of assistance due to her own health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Ms. Shaima gave evidence that in the first few months following the accident she was doing their housework approximately four to five times a week, working for approximately four hours per day. In the following months she continued to assist Mr. Parwani and his wife once a week. It was her evidence that she continued to come from time to time until she was injured in May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Ms. Parwani testified that Mr. Parwani requires help from the children when he is cooking and doing housework because he even has difficulty tying his own shoelaces and the children have to do it for him. She testified that when he has to bend to pick up an item the children will do it for him because they have learned what his limitations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Counsel submits that Mr. Parwani has suffered a reduction in his capacity to do housework and an award should be made to compensate him for same. Counsel submits $15,000.00 is an appropriate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position of the defendants is that the evidence does not support an award for this head of damages. Counsel submitted that the evidence of Ms. Shaima should be viewed with caution. There were no records of her attendances. The evidence was all a reconstruction. Her evidence is inconsistent with that of Mr. and Ms. Parwani. Mr. Parwani returned to work within two weeks, at a minimum, of the accident. Ms. Parwani returned to work full-time the first week of November 2004. Ms. Shaima's evidence was that Mr. Parwani did not return to work for two to three years following the accident and that Ms. Parwani never returned to work. Counsel submits that it is more likely that she assisted for a short period immediately following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Counsel seeks an award of $5,000 for this head, relying upon the recommendations concerning an active rehabilitation program contained in Dr. Le Nobel's December 18, 2008 report. The position of the defendants is that no award is justified given that that there is no evidence that Mr. Parwani will incur costs in the future in relation to his injuries and that in any event he has recovered from his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Counsel for the defendants submitted that all of the doctors and Mr. Tam state that Mr. Parwani's condition would benefit from exercise and stretching. Mr. Parwani was taught the exercises and stretches that he needed to perform in order to improve his condition. The fact that the exercises assisted him is evidenced by the health care professionals who stated that his condition improved with the exercises while he did them at KARP and at home while attending KARP. Mr. Parwani and Mr. Tam confirmed that he was able to do and tolerate the exercises while at KARP and at home. Mr. Parwani agreed that doing the exercises at KARP and at home benefited him. Yet, Mr. Parwani simply stopped doing the exercises. He was advised to exercise and stay active by Dr. Styffe shortly after the accident, by Dr. Adrian in April and September 2005, by Dr. Le Noble in December 2008, and by Dr. Fenton in March 2009. He was told by Mr. Tam to do the exercises in January and February 2005. Despite all of this advice, Mr. Parwani chose not to do the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It is submitted by counsel for the defendants that this can present as one of two scenarios:</w:t>
      </w:r>
      <w:r>
        <w:rPr>
          <w:rFonts w:ascii="arial" w:eastAsia="arial" w:hAnsi="arial" w:cs="arial"/>
          <w:sz w:val="20"/>
          <w:lang w:val="en-US" w:eastAsia="en-US" w:bidi="ar-SA"/>
        </w:rPr>
        <w:cr/>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Parwani did not follow the advice and do the exercises because he did not need to, as he essentially had recovered from any accident-related injuries.</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Mr. Parwani has failed to mitigate and continues to do so. If this is the situation, counsel submits any award made has to be reduced for Mr. Parwani's failure to mitigate. The evidence indicates that had he exercised, his condition would have been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Counsel submits that Mr. Parwani has a positive duty to mitigate. It is submitted that on the evidence in this case it is clear he did not mitigate. It is submitted that any award must be reduced by 35% to 50%. It is suggested that the reduction should be at the higher end of the range, given Mr. Parwani's conscious decision not to exercise despite all of the advice that he should.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position of counsel for Mr. Parwani was that there was no medical evidence that Mr. Parwani would have improved if he had exercised, as well as no evidence that anyone told him that if he did not exercise, he would not heal. Accordingly, it was argued the defendants have failed to establish a breach of the duty to mitigate.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It is clear to me on a review of the evidence as a whole that Mr. Parwani is an unreliable historian concerning the progress of his injuries. There is simply no reconciling the various accounts that he has given of the progress of his injuries. The histories he provided to physicians and the therapist at KARP were inconsistent, both with each other and with his evidence at trial. His evidence at trial was inconsistent with his evidence on discovery in significant respects. I agree with the submission of counsel for the defendants that in the circumstances the best evidence of the progress of Mr. Parwani's injuries comes from Dr. Styffe's notes and records, to which I would add the records and testimony with respect to KARP.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find that as a consequence of the accident, Mr. Parwani suffered soft tissue injuries to his neck, left shoulder and arm, and low back. I find that he did not suffer any injury of consequence to his left knee. I find that Mr. Parwani did suffer for a time from a partial disability and that for a time his ability to work was restricted. His ability to fully participate as a father and husband was for a time restricted, as was his ability to pray in accordance with the rituals of his faith. For a period, his ability to engage in his writing as fully as he wished was also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find that his symptoms had largely resolved by March 1, 2005, by which time Mr. Parwani had completed a graduated return to work program. Thereafter he experienced minor flare-ups of pain in his low back and on occasion, his neck. However, he was at that point able to resume his normal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With respect to Dr. Le Nobel's opinion, which is to the contrary, I note that it was based in large part on Mr. Parwani's self report. Dr. Le Noble concludes that Mr. Parwani has remained symptomatic since the accident. However, that observation is not consistent with the pattern of Mr. Parwani's visits to his treating physician and with his complaints, and more particularly, lack thereof. Nor is it consistent with the history given in the Final Assessment at KARP. The suggestion that problems associated with the left knee related to the motor vehicle accident are belied by the absence of contemporaneous complaints of knee pain and the absence of any report of knee pain after December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Dr. Le Noble notes that Mr. Parwani is deconditioned with a loss of flexibility, muscle strength, endurance, and cardiovascular fitness. He attributes this to the effects of the accident. I accept that Mr. Parwani is at present deconditioned. It may well be that this state contributes to the fatigue he presently experiences and the problems that his supervisor has observed at the workplace. However, given the history reflected in the medical records, I do not accept that this state is the product of the motor vehicle accident or that the motor vehicle accident has, since March 2005, produced any restriction in activity. Mr. Parwani testified that he stopped doing the prescribed exercises he had been taught, he stopped swimming laps, and does not appear to be engaging in any activities to promote his fitness. That in my view is the cause of his present deconditioned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fact that Mr. Parwani stopped doing the exercises he was taught and stopped swimming is significant in another respect. Mr. Parwani is an intelligent man who is motivated and disciplined. By his own testimony, he was prior to the accident an active and energetic man. Both the exercises and the swimming provided him with relief from his symptoms. To my mind the most likely inference that can be drawn from the fact that Mr. Parwani stopped these activities is that his condition had improved such that he no longer required the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view of the injuries, my findings regarding their duration and their impact upon Mr. Parwani's life in all its aspects, and in light of the authorities provided by counsel, I am of the view that the appropriate award for non-pecuniary loss is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With respect to past wage loss, while I am satisfied that Mr. Parwani suffered from physical limitations that impaired his ability to work for a period of time between October and March 2005, I find that he has failed to discharge his burden of proof with respect to establishing any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First, with respect to the documentary film project, I accept that there was an opportunity to make $15,000 for delivering one documentary film and that there could potentially have been opportunities for further productions at a similar price if the first project had been satisfactory. However, there is no evidence that any work whatsoever was done either before or after the accident in relation to this project. There was no impediment before the accident to commencement of the work. According to the KARP Final Assessment, by March 1, 2005 Mr. Parwani was not experiencing any difficulties sitting still. He reported no difficulties walking or standing and no difficulties with neck movement. I find that there was no impediment after March 1, 2005 to Mr. Parwani undertaking work on the project. All was in readiness from the time of contracting to the time the project was to have been delivered, for the work to be initiated. I conclude that whatever the reason for the work on the film not being undertaken, it was not due to the injuries Mr. Parwani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With respect to loss of income from painting, the problem is the absence of any evidence that would permit me to quantify such a loss. Mr. Parwani has not produced any business records. Mr. Del Pellaro, despite an order requiring production of documents, did not produce any records for 2005 and only partial records for 2004. Those records reflect payments made to Mr. Parwani. There is no evidence of sub-contracts foregone because of the injury. In addition, the injury occurred during the fall/winter season when work could be expected to slow down to some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evidence relied upon by plaintiff's counsel with respect to the earnings of other sub-contractors is of no assistance to me in this regard. Incomes in the order of $150,000 to $250,000 per annum were quoted by Mr. Del Pellaro for "Ray" and "Alonso". However, Mr. Parwani's gross business income for 2004 was $14,980. Even recognising that he only started part way through the year and had a period of at least partial disability following the accident, it is clear that he was earning nothing remotely close to these amounts. He testified that he had no business plan with respect to growing his business and no prior experience in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There is simply no reconciling the evidence with respect to how much and when Mr. Parwani was able to work as a painter after the accident. For example, he reported to KARP in December 2005 that he was able to work for five hours a day, but reported to Dr. Styffe in that same month that he was able to work only 3-4 hours every few days. He testified that he was unable to work immediately after the accident but the CertaPro records reflect otherwise. He testified that he was not able to work as a painter after January 2005, but reported to KARP that he was working 15-20 hours per week because business was slow and that he expected to resume full hours once the outdoor painting season started.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 Del Pellaro testified that Mr. Parwani continued to work as a sub-contractor in 2005, but produced no documents for the period. Mr. Parwani's income tax return does not disclose any business income for the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Mr. Del Pellaro testified that Mr. Parwani had a helper throughout the time he worked with CertaPro. Mr. Parwani testified that the helper was hired only after the accident. There are no documents produced with respect to the helper and no detail that would permit the court to assess the economic impact of the helper in relation to the alleged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short, the evidence establishes that Mr. Parwani was able to work as a painter during the period October to March 2005. It is not possible on the state of the evidence to conclude whether or to what extent Mr. Parwani suffered a loss of income as a painter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As noted above, I find that as of March 2005, Mr. Parwani was able to work as a painter without limitations. Therefore, I find there was no past wage loss following that date attributable to the accident. I believe that Mr. Parwani wanted to find work that was more consistent with his intellectual interests, training and past experiences. He found this with the opportunity at Arianna TV. I find further that Mr. Parwani left that opportunity, as he stated on his examination for discovery, to pursue a better opportunity at SUCCESS, the position he continues to 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find that the evidence does not support recovery for loss of future earning capacity or loss of homemaking capacity, nor for the costs of future care. In that regard, Mr. Parwani has had the benefit of a program of active rehabilitation, under the supervision of a professional. He was trained to do the exercises that he was instructed to follow through with after completion of the program. In that respect, he has received the necessary training and support. In addition, the evidence does not suggest that Mr. Parwani would make use of such services in the future. Contrary to the recommendations of not only the staff at KARP but every physician who has examined him, he stopped doing the exercises once he finished at KARP.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 the result, I have concluded that liability for the accident is to be apportioned 75% to Mr. Parwani and 25% to the defendants. I have awarded $25,000 non-pecuniary loss, but make no award for any other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C.E. ROSS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1"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14" w:history="1">
        <w:r>
          <w:rPr>
            <w:rFonts w:ascii="arial" w:eastAsia="arial" w:hAnsi="arial" w:cs="arial"/>
            <w:b/>
            <w:bCs/>
            <w:i/>
            <w:color w:val="0077CC"/>
            <w:kern w:val="32"/>
            <w:sz w:val="28"/>
            <w:szCs w:val="32"/>
            <w:u w:val="single"/>
            <w:shd w:val="clear" w:color="auto" w:fill="FFFFFF"/>
            <w:lang w:val="en-US" w:eastAsia="en-US" w:bidi="ar-SA"/>
          </w:rPr>
          <w:t>Potozny v. Burnaby (City), [2001] B.C.J. No. 1224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Burnyeat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26 - 28, March 1, 2, 19,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13,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C982207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1224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837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23 M.P.L.R. (3d) 100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105 A.C.W.S. (3d) 978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Patricia Lynn Potozny, plaintiff, and City of Burnaby,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2"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2" w:name="Keywords_19"/>
      <w:bookmarkEnd w:id="132"/>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Sports and games — Occupiers liability 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dangerous premises — Duty of Occupiers, foreseeability — Liability of particular occupiers (incl. duty and standard of care) — Recreational and sports arenas or facilities.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3" w:name="Case Summary_18"/>
            <w:bookmarkEnd w:id="13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action by Potozny for damages for injuries suffered as a result of a fall on a skating rink operated by the defendant City of Burnaby. The sole issue was liability. Potozny was part of a school trip to an Arena, which had been decorated as a Winter Wonderland. There were cut and live Christmas trees set up along the outside and in the middle of the ice surface, along with several other Christmas displays. Logs bordered the various displays, which were decorated with Christmas lights. The Arena lights were turned off and only the Christmas lights illuminated the surface. Witnesses testified that there was an accumulation of water on the ice as well as considerable debris from the decorations. The trees were within reach of children skating on the rink and they often pulled on the displays, causing branches and needles to scatter on the ice surface. The school trip involved two sessions of one hour each. The Arena's cleaning practice called for cleaning every hour and a half or between skating sessions. No cleaning took place between or during the school's two sessions. Potozny testified that while skating on the rink, her foot came to a sudden stop causing her to fall. At the time she indicated to witnesses who came to her assistance that she tripped on a piece of wood. One witness testified he picked up a piece of wood where Potozny had fallen and threw it into the Christmas display. The City argued that Potozny was contributorily negligent or had assumed an inherent risk in skating on the rink.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4" w:name="Holdings of Court_16"/>
            <w:bookmarkEnd w:id="134"/>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City of Burnaby did not meet the standard of care which was reasonable in all of the circumstances as Kensington Arena was not reasonably safe for users such as Potozny. The lighting in the Arena made it difficult for patrons and staff to see debris. While the City had a reasonable maintenance system in place, that system was not followed as the ice was not cleaned either between the two sessions or every hour and half. This resulted in an accumulation of water and debris on the ice surface. It was reasonably foreseeable that the failure to clean the ice would result in the users of the Arena tripping over accumulated debris. The City should have contemplated that the preponderance of young children as users might create greater debris, particularly as it was clear children were playing with the displays, causing parts of them to fall on the ice. Potozny's fall was caused by her skate coming into contact with a part of one of the display trees. There was no evidence that Potozny contributed to the fall or her injuries nor could it be said that she accepted any inherent risks when she chose to skate on the City Arena. The City breached the standard of care imposed by section 3 of the Occupiers Liability Act and was liable for the damages claimed.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5" w:name="Legislation Cited_16"/>
      <w:bookmarkEnd w:id="13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3"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Occupiers' Liability Act, s. 3, 3(3).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6" w:name="Counsel_18"/>
      <w:bookmarkEnd w:id="13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4" style="position:absolute;z-index:2517811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W.T. Morley, for the plaintiff. A. Sayn-Wittgenstein,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7" w:name="Judgment_19"/>
      <w:bookmarkEnd w:id="137"/>
      <w:r>
        <w:pict>
          <v:line id="_x0000_s1125" style="position:absolute;z-index:25183129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8" w:name="BURNYEAT J."/>
            <w:bookmarkEnd w:id="138"/>
            <w:r>
              <w:rPr>
                <w:rFonts w:ascii="arial" w:eastAsia="arial" w:hAnsi="arial" w:cs="arial"/>
                <w:b/>
                <w:color w:val="000000"/>
                <w:sz w:val="30"/>
                <w:lang w:val="en-US" w:eastAsia="en-US" w:bidi="ar-SA"/>
              </w:rPr>
              <w:t>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Each year, the City of Burnaby creates a "Winter Wonderland" at the Kensington Arena so that the citizens of Burnaby can enjoy a skating session within the Arena in a holiday setting atmosphere. Ms. Potozny went to the Kensington Arena on December 17, 1997 to accompany her daughter and to enjoy the experience offered. Such was not to be the case. Ms. Potozny fell and suffered a displaced bimaloelar fracture of her right ankle which required open reduction and internal fixation.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Ms. Potozny submits that her fall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City. She alleges that the defendant failed to clean the ice surface with sufficient frequency to prevent the spread of debris or deterioration of the ice surface, failed to inspect the ice surface with regularity and failed to warn her and others about the dangers associated with the spread of debris and deterioration of the ice surface when the City knew that the ice surface was dangerous to skate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City denies that it was negligent and submits that it had a reasonable and adequate system of inspection and maintenance in place and that, if the fall of Ms. Potozny came as a result of the condition of the ice surface that day, then the City had exercised all reasonable care and skill to prevent any such condition from existing and that the plaintiff was the author of her own misfortune.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By agreement, if the City is found to be solely liable for the damages suffered by Ms. Potozny, then her damages are $50,000. Except as otherwise noted, the quotations set out in this judgment reflect my notes taken during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1997, the children of Ms. Potozny attended Forest Grove Elementary School. Ms. Potozny was a number of parents who were accompanying their children that day. Two groups of students from Forest Grove were at Winter Wonderland. The first group was to skate from 12:30 to about 1:30 p.m. and the second group from 1:30 to about 2:30 p.m. I find that Ms. Potozny arrived at the Kensington Arena at approximately 1:00 p.m. and that Ms. Potozny and her daughter went onto the ice surface at about 1:30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Arena was decorated for the Winter Wonderland event. There were cut and live Christmas trees set up along the sides and in the middle of the ice surface. There were elves, sleighs and huts in the displays created as part of the Winter Wonderland ambience. Logs bordered the various displays and the displays were decorated with Christmas 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Approximately one-quarter of the ice surface was reserved for beginning skaters. This portion had plastic cones on the ice separating it from the ice surface where other skaters were skating.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was anticipated that approximately 100 to 125 skaters would attend the first session and about 100 skaters would attend the second session. While the estimates provided by the witnesses varied on the question of how many skaters were on the ice during the second session, I find that there were between 100 and 125 skaters during the second session, although not all of them were on the ice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During the second session, Ms. Potozny had been skating with her daughter in the larger portion of the ice surface. Ms. Potozny's daughter was skating in a "metal skating frame" as she was a beginning skater. Ms. Potozny was pushing that metal skating frame around the ice surface. After approximately 40 minutes, her lower back began to feel stiff because of the position she had to take to push the skating frame. Ms. Potozny took her daughter to a bench adjacent to the ice surface. After her daughter was on the bench, Ms. Potozny went back on to the ice surface to enjoy her skate and to stretch her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Ms. Potozny rounded the centre display in the area between the cones and the centre display, she says that "a group of boys" came "flying by" so that she "turned slightly" and "took a narrower turn" in order to avoid the boys who were skating "very quickly" and that, as she was gliding along, her left skate suddenly came to "an abrupt stop" and she fell. At issue is the cause of and liability for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LIGHTING IN THE ARENA DURING WINTER WONDERLAND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Wendell Cornwall is the Senior Ice Man for the Arena. As such, he oversees the ice maintenance for the Kensington Arena. His duties include ice maintenance, scheduling of employees, and preparation of the Winter Wonderland setting. Mr. Cornwall testified that all of the banks of lights were turned off and only the Christmas lights in the rafters and the light coming from areas adjacent to the ice surface illuminated the ice surface during Winter Wonderland. He stated that the ice surface would be "relatively dark. Dark spot in the middle." Mr. Cornwall stated that if the lights in the rafters had been illuminated, those lights would have had the following effect on the lighting: "Increased it significantly." Other witnesses called on behalf of the City had these observations: "It was dim." (Kathy Brooks) and "Still light." (Elizabeth Focand).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Witnesses on behalf of Ms. Potozny had various descriptions about the lighting of the Arena: "like about dusk" (John Yarnold), "dimmer than usual" (Lynn Kirkland-Harvey), "I could not say it was dim" (Kathy Daforge), "dusky" "enough to see but dark enough that lights on the trees would twinkle" (Kathy Nurmi). Ms. Potozny described the lighting as "dimmed" but that it was "nicer that way as you could see the Christmas 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the bases of the testimony of the witnesses and the video recordings of the conditions in 1996 and 1997 during Winter Wonderland which were in evidence, I find that the lighting conditions in the Arena were considerably dimmer than what might be expected during a recreational skate or other activities on equivalent indoor ice surfaces. As a result, it would be more difficult for staff to see items on the ice surface which should have been removed from the ice surface and it would be more difficult for skaters to see and avoid items on the ice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WATER ON THE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Witnesses on behalf of Ms. Potozny stated that there was water on the ice that day: "Water on the floor", especially in the area that had been "coned off" (Ms. Loftus); "lots of water which you had to skate around", but outside the coned area and more towards the middle of the ice surface (Ms. Daforge); and "huge puddles of water", near where the hot chocolate stand was set up so that "little kids were coming off soaking wet" (Ms. Nurmi).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Elizabeth Focand was the Program Leader on the ice that day. She states she was responsible for ice safety, supervising the other staff, scheduling breaks and "making sure the rules are followed", "make sure ice is safe." Ms. Focand stated that she was in the coned off area and that she did not observe any puddles near or anywhere near that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prefer the evidence of the other observers of whether or not there was water on the ice surface during the second session. Because those witnesses were accompanying children, I am satisfied that they would be more likely to observe water as it would have a direct effect on the comfort and clothing of the children they were accompanying. On the bases of the testimony of those witnesses, I find that there were pockets of accumulated water on the ice surface during the second skate on December 17,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Brian Cousineau was examined as a representative of the City. He is the Manager of Recreation Services for the facilities within North Burnaby. On the question of unsafe ice conditions, Mr. Cousineau was asked what he viewed were the signs of "unsafe ice conditions" and he responded: "... if there was significant rutting that takes place, if there is slushiness as well." He indicated that the slushy conditions would ordinarily be on the outside portion of the ice surface as opposed to the middle of the ice. When asked whether it would be appropriate to ask for a cleaning of the ice if the "periphery became slushy", Mr. Cousineau responded: "There is a possibility it would be asked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One of the purposes of having a Zamboni machine clean the ice surface is that it also provides a new surface clear of rutting and clear of slushy areas. If a Zamboni machine does not replace the surface of the ice with appropriate frequency, puddles and rutting will be two of the likely outcomes of any such deficiency.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CLEANING AND ICE RESURFACING EFFORTS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its Statement of Defence, the City states: "... the system of inspection and maintenance was created through a policy decision, based on budgetary restraints, and that the Defendant cannot be held responsible in law for any defects or deficiencies with respect to the said system of inspection and maintenance." Mr. Cornwall was asked to confirm that he was not under budgetary constraints relating to any decision that may have been made from time to time to stop a skating session that was ongoing in order that a mess could be cleaned up or if the ice surface became a problem. He responded: "No, we were not under any budgetary restraints." On the bases of that testimony and the lack of evidence to the contrary, I find that there were no budgetary constraints which affected the system of inspection and maintenance which was created for the Kensington Arena. What, then, was the "system of inspection and maintenance" which was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action of skates against ice produces "snow." This snow is removed by the Zamboni machine when it operates. I find that it was the usual practice for staff to sweep or shovel snow and any other debris from the perimeters of the ice surface where the Zamboni machine could not reach in order that the snow and debris could be picked up by the Zamboni machine. For the purposes of Winter Wonderland, the perimeters of the ice surface included not only the areas close to the "boards" but also the areas close to the displays which were at the sides, the ends and the middle of the ice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was the testimony of a number of witnesses called on behalf of Ms. Potozny that there was no cleaning of the ice surface by a Zamboni ice-cleaning machine between the two Forest Grove skating sessions that day. John Yarnold, Lynn Kirkland-Harvey, Heather Loftus, Kathy Daforge, Kathy Nurmi and Sheila Lacombe all testified that they did not see any sweeping, shovelling or cleaning between the two sessions. Ms. Potozny stated that she did not see any cleaning, shovelling or sweeping between the two skating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the bases of the testimony of all witnesses and no contrary evidence being presented, I find that the Zamboni machine was not used between the two skating sessions. Accordingly, I also find that any existing debris or snow resulting from the first skating session was not swept or shovelled by the staff from the perimeters of the ice surface that day so that it could be picked up by the Zamboni machine between the two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cleaning during and between the two skating sessions appears to have been that which would usually be in place while a skating session was ongoing - clearing "debris" from the ice surface as supervisory staff or people attending a skating session came across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December 17, 1997, the on-ice staff included one program leader, two skate patrol staff and one area service worker. There is nothing before me which would lead me to conclude that the staff was not diligently picking up debris as it came to their attention during and between the two skating sessions that day. A number of witnesses on behalf of the City indicated that anyone who was on the ice had the responsibility to clear debris. Elizabeth Focand described "debris" as including "wrappers, coins, tapes, twigs" as all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While I accept the evidence of the witnesses on behalf of the City in this regard, I also find that the potential effectiveness of such cleaning was diminished by the low lighting level in the Arena and the fact that debris might well have been hidden in accumulated snow which was not cleaned off by the Zamboni machine between the two skating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APPROPRIATE STANDARDS OF CLEANING AND RESURFACING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his examination for discovery, Brian Couzineau stated that cleaning "under normal circumstances" at the Kensington Arena would be every hour to every hour and a half but that the area service worker would have the option of holding off such a cleaning "... depending on the condition of the ice." Mr. Couzineau was also asked the following questions and gave the following answers at his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Generally, is the ice meant to be kept free of any debris?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it should not have mud on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Muddy footprints would be a bad thing on the ice?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 wouldn't want them there, 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Similarly, twigs and pine needles on the ice would be something you do not want on the ice?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the skaters' areas,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fair, you would want those things out of the skaters' areas?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Couzineau confirmed that there was no log or record of how often the ice was cleaned on December 17, 1997 although a log is now in place indicating when cleaning is performed. He also confirmed that there was nothing on the time cards or employment records of the area service workers to indicate when cleanings had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Under cross-examination, Mr. Cornwall stated that there would usually be a cleaning halfway through a session that was over an hour and a half. Ms. Focand stated that the following cleaning procedure was in place during the Winter Wonderland sessions: "Between every group there is time allocated for cleaning (15 minute breaks when all the ice cleans are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is apparent that the staff treated the two Forest Grove skating sessions as one session and not two. Accordingly, despite the fact that the total time for the Forest Grove skate would have been about one and a half to two hours, the usual practice that there be a Zamboni cleaning during a session that was over an hour and a half was not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Daniel Bourgeois is the Operations Supervisor of the Mariucci Arena at the University of Minnesota and also is a member of the Ontario Recreation Facilities Association (ORFA). He was qualified as an expert to give an opinion regarding ice maintenance and cleanliness standards. At trial, Mr. Bourgeois confirmed that there were no written industry standards in effect but that there were "unwritten", "common practices for recreational use of ice during public skating." He stated that common practice was "to provide a smooth surface - not too soft or too hard" and the ability to "skate on the ice without obstacles." He stated that the common standard regarding the frequency of cleaning was between one or two hour blocks of time but that the exceptions were if the ice becomes too snowy "more than one-eighth of an inch thick, if too rutted or if there was too much debris on the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He stated that, if one of the exceptions were met, it was common to "chase everyone off" so that there could be a cleaning. He stated that, if there were one hour blocks, arenas normally resurface between those blocks but that, during a two hour block, arenas would not normally do a resurfacing unless there was too much snow on the ice. Mr. Bourgeois stated that, if there was one-half of an inch of ice, it was as a result of the ice getting cut up and the danger was that the snow might be hiding debris. He stated that ruts should not be a problem for good skaters but that, for others, it would be a problem as those skaters might catch an edge or move in different directions if they got into a rut.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If the two skating sessions were treated as a two hour session, then the cleaning policy as stated by Mr. Cornwall was not undertaken. If the two sessions were treated as separate sessions, then the cleaning policy as stated by Ms. Focand was not undertaken. If the sessions were treated as separate sessions, then the "common practice" recommended by Mr. Bourgeois was not followed. If the two sessions were treated as one session, then the "common practice" suggested by Mr. Bourgeois was followed, unless it could be said that too much snow or debris had accumulated on the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My review of the cleaning practices which were usually in place for the Kensington Arena and the "common practices for recreational use of ice during public skating" as set out in the opinion of Mr. Bourgeois, allows me to conclude that the City did not have its usual system of maintenance in place for the two Winter Wonderland skating sessions of Forest Grove on December 17,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First, it was clear that the total session would be about two hours. Accordingly, the usual procedure in place would see a clean up halfway through such a session. Second, if the sessions were dealt with as separate sessions, I find that industry standards would have required a cleaning between the two blocks of one hour each. That was not done. What was common practice in the industry was not undertaken by the City that day. Third, I find that there was sufficient time between the two skates when no skaters were allowed on the ice but the Zamboni machine remained off the ice so that the usual cleaning and resurfacing was not undertaken. Accordingly, while the on-ice staff treated the session as two separate sessions, a cleaning and resurfacing had not been scheduled and, accordingly, the area service worker did not undertake a cleaning and resurfacing and the program leader and the skate patrol staff did not see fit to request such a cleaning and resurfacing between the two sessions or during the second 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SEPARATION OF THE DISPLAYS FROM THE ICE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Only logs separated the displays from the ice surface. At trial, Mr. Bourgeois indicated that he had set up several ice shows using trees but that he had always put down a 36 inch rubber runner around the display so that, if debris fell from the display, it fell on the rubber runners and not on the ice surface. He also stated that he had hired "big ugly football players" to move back and forth on the rubber runners to dissuade people from disturbing the displays.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Under cross-examination, he was adamant that putting trees near the surface was an unnecessary risk and that putting trees near an ice surface creates a significant safety hazard. This was his opinion despite the fact that he agreed that people had been outside for "thousands of years." It was his opinion that outdoor rinks do not create a significant safety hazard as there is not the same concentration of skaters. He also was of the opinion that debris from trees on the ice would not necessarily be a safety hazard to an experienced outdoor skater but might well be a danger for people who had not skated outdoors and they "wouldn't recognize that as a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To only separate the ice surface and the displays by logs created a greater possibility that portions of the cut and live trees and portions of that logs themselves could find their way onto the ice surface. The recommendation of rubber runners is an excellent one. It was a reasonable precaution to take to separate the displays and ice surfaces to a greater extent than what was present at the Winter Wonderland.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NATURE OF THE ICE SURFACE AND THE EXTENT OF THE DEBRIS DURING THE SECOND SKATING SESSION ON DECEMBER 17,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While I am satisfied that the witnesses for Ms. Potozny have greatly exaggerated the extent of the debris they saw on the ice, they and Ms. Potozny herself all state that they observed considerable debris. Mr. Yarnold stated that he saw "slivers" off the logs which bordered the displays, children touching the trees and the logs, "garden type debris everywhere", "brown trails" consisting of brown gritty material "like off the shoes from the parking lot", and the ice surface "just covered with debris." He also described snow from skates as being between one-quarter inch and one-half an inch in "the main traffic area" and the ice surface as being "very rutty."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Kirkland-Harvey described the snow as being about half an inch and "debris all over the ice - with dirt, mud, debris and needles." She described the mud and dirt as being "all around the rink", "more by the exit and entrance to the rink" and "mostly ground into the ice." She described the Christmas tree needles as being "especially around the centre." She described the needles as being "little thin wood pieces." She described the ice surface as "rough - hard to skate on as blade had to go through snow to move." Ms. Kirkland-Harvey did confirm that she did not see "chunks" of 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Loftus stated that the trees in the displays were close enough to touch and that she had to tell several boys to stop pulling on the trees. She stated the surface of the ice was "lumpy": "like veins on a hand." She described the debris as "everywhere", "green little portions of trees the size of my finger although flat."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Daforge stated that the ice surface was "really rough" with "ruts and gouges." She stated that there was "debris and stuff" on the ice, the snow was a lot deeper on the edges where she was skating, and there were "needles and little twigs" around the middle display and on the surface of the ice. Under cross-examination, however, she stated that she had no problem seeing the needles because she was a slow skater and "I watch my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Nurmi stated that some of the children were slapping the trees and that needles were dropping and that she had to tell them to stop that activity. She stated: "When skating by, kids would hold their hands out and hit the trees and the needles would fall and get kicked around." She stated that "twigs" were "all over the ice", the ice surface was "very bumpy", there was a lot of snow, the ice seemed "soft", the snow may have been a quarter of an inch thick to the sides of the ice surface outside the skating oval, the snow on the ice was like "two lines which tires produce on ice" and the clear section was at least three feet wide although in some places it was more narrow. Ms. Nurmi stated that she skated only about three laps before going to get hot chocolate but that she found the ice "very bumpy."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Under cross-examination, Ms. Nurmi described the conditions as being "uncomfortable" but not "unsafe." She confirmed that she did skate over the pine needles as she could see them because she was "skating slowly." However, she did not agree that the pine needles were "easy to avoid" and she stated that was why she did not stay out on the ice surface all that 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Lacombe stated that she saw "kids were pulling stuff off the trees - twigs and other stuff", there were little pieces of vegetation "all over the ice", there was a layer of snow on the ice and it was quite warm in the Arena that day. Under cross-examination, Ms. Lacombe could not recall exactly where she had observed debris.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Keri Brummitt was an Educational Assistant at Forest Grove and was assisting the teachers on the day of the Winter Wonderland skate. She described the ice conditions as "snowy", "maybe one-quarter inch", "like it had been skated on." She stated that she could not recall whether there was any debris on the ice, she was playing tag with the children and she would not have done so if she found the ice surface too cut up or "lumpy" or if she had been tripping on anything. She stated that she could not remember seeing "wrappers, pine needles, bits of wood, branches" although she did state that her recollection in this regard was "pretty good but not precise."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Kathy Brooks was a Teacher at Forest Grove. She appeared as a witness for the City. She described the ice conditions as not having a "wet clean sheen" and as being "dull snowy surface." She stated that the children were sweeping their hands around so that they could make a snowball from the snow that was on the ice. She stated that she did not see any "debris, wrappers, pine needles, candy wrappers, pieces of wood, branches, twigs or paper wrappings" and that she did not see any puddles at the north end of the Arena that was coned off for "bar skating."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Gilbert Gee was a Skate Patrol Attendant for the City. He was called as a rebuttal witness on behalf of Ms. Potozny. Mr. Gee could not remember whether the trees were overhanging the logs or not but he did state: "I knew the kids were trying to touch the trees all the time so that is how pine needles would get on the ice." Mr. Gee had no recollection of seeing pine needles around the centre display but did recall seeing pine needles although: "Can't remember how often." Regarding the area that he would be sweeping prior to the coverage of the ice surface by the Zamboni machine, Mr. Gee estimated that the number of pine needles would be three or four for each corner. It was his opinion that the pine needles would not be visible to the Zamboni driver: "Probably not. He was up high. Also they may be covered in snow."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Vicki Hickenbotham was a Teacher at Forest Grove. By deposition, she appeared as a witness on behalf of the City. A transcript of her deposition was available. She stated that the surface was "certainly snowy" but that she found the surface of the ice to be "like you find on public skating sessions." She stated that she did not notice any debris on the ice, did not have safety concerns about the fact that the ice was snowy and did not notice "an unusual amount of gouges or problems with the ice." Ms. Hickenbotham described herself as being an experienced skater including being a hockey player. She stated that she was aware of how important it was for the ice to be clean of debris "because it's dangerous", that debris can lead someone to a sudden stop but that even small debris can lead a person to catch an 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Potozny stated that the ice surface around the table and the cabin set up for hot chocolate was "black with dust", that the ice surface was "lumpy and rough" but that she had expected the rough surface because she had attended the 1996 Winter Wonderland. Regarding the snow on the ice, she stated that some children were sitting and making mounds like snowballs with their skates and that the snow at the edges of the ice surface was one-quarter inch thick and, in other areas, was about one-eighth of an inch thick at the beginning of the session. She stated that there were pine needles around the trees but: "You make sure you don't skate there." She stated that there were "small thin twigs", "mostly around the outside and the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Potozny stated that there were "gouges and cracks" in the ice surface but she denied that she was aware that these would cause people to fall. Ms. Potozny confirmed that she had approached an attendant in 1996 and asked the attendant why the ice was not clean.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Under cross-examination, Ms. Potozny denied that she had any safety concerns in 1996, stated that she knew she had to be careful in 1997 and that she had "safety concerns." She was asked to confirm that the pine needles were only in areas where skating was not intended and she stated that that was "partially correct" although she was adamant that there were needles in the centre of the skating surface and that the needles had not all been pushed against the logs which contained the Winter Wonderland displays.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 completely different scene about the state of the ice surface was presented in the evidence of Ms. Focand and Mr. Cornwall. Ms. Focand stated that she was checking the ice to see if it was "getting rough" and also checked it for "overall smoothness." She described the ice conditions on December 17, 1997 as being: "Normal as usual." "Didn't need a clean - ice conditions were good." As to the snow that was on the ice surface, Ms. Focand described it as follows: "not any more than a powder that would happen with normal skating."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However, under cross-examination, Ms. Focand indicated that she thought the ice conditions were "poor." She admitted that she had seen wood, branches and pine needles in the display areas and had noticed skaters in the display areas although it was only "occasionally" and that supervisory staff "got them out." She did agree that the trees were within the reach of skaters and that they could "whack" them and the needles would then fall. However, she denied that she had ever seen "twigs", did not remember seeing pine needles on the skating surface and did not recall seeing pine needles outside the displays whenever she swept the ice surface in preparation for the cleaning by the Zamboni machine. When asked to confirm that she had not seen even one needle she was adamant: "No - definitely not." When asked whether it was possible that there were pine needles on the ice, she stated: "Possible but I don't remember myself."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re-direct examination, Ms. Focand stated that there was not snow all over the ice surface at the time Ms. Potozny fell but, rather: "A bit of snow but not to the point where we needed a clean."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Cornwall was adamant that the needles and twigs from the trees were "never a problem." I found Mr. Cornwall not particularly credible in this regard. He first indicated that there was "no needles on the ice when I cleaned it up" and "there has never been debris on the ice pertaining to trees, twigs, pine needles, branches, that I am cleaning up." When it was put to him that a witness, Brian Gee, indicated that he found needles "around the side" he remained adamant that such was not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However, Mr. Cornwall then stated: "But to say there are needles in every single cleaning there isn't." The statement was again put to him that he had concluded that there were "never pine needles on the ice" and he stated: "I'm still saying never pine needles on the ice." However, he also stated "there could be cases where there are pine needles on the ice in most cases there is not"; "not regularly"; and "maybe ice man picked up pine needles from time to time but that's not a regular 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Cornwall confirmed that neither the cut nor the live trees were watered when they were on the ice but that the trees were kept moist the entire time as "fire retardant" was added to them. There was no explanation as how this would keep the trees from drying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Dealing with the question of whether debris fell from the trees but into the display areas, Mr. Cornwall did not agree that this happened to any great extent: "Minimal amount. Not twigs - maybe needles." However, Mr. Cornwall also stated that the staff had been instructed to make sure that all of the trees were "inside the logs." This contradicts his suggestion that it would not be possible for the trees to be outside the logs.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Cornwall may genuinely believe that there was never any pine needles on the ice. I conclude differently. To maintain the position that there was never even one pine needle on the ice and that no pine needles eventually showed up in what was removed from the ice by the Zamboni machine, simply defies logic and the testimony, not only of the witnesses who appeared on behalf of Ms. Potozny, but also the witnesses who appeared on behalf of the City. While the witnesses may well have a different recollection of the extent of pine needles and other tree debris on the ice surface, I have no hesitation in rejecting the testimony of Mr. Cornwall that there was never any pine needles or other tree debris on the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Under cross-examination, Mr. Cornwall agreed with the statement that twigs would be dangerous on the ice surface because, if they were on the top of the surface, it would be possible to slip and fall on them, and if they were frozen into the ice, they might cause skates to "jam."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Cornwall confirmed that ice deteriorates faster if it is soft. He was also of the opinion that one-sixteenth of an inch of snow would be "a lot" but that most snow would be in the corners or along the boards and not be "everywhere." If skaters were leaving because the ice surface was "lumpy", Mr. Cornwall confirmed that this would result in a cleaning of the ice if the skaters told the patrol about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 AND CASE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standard of care which was imposed on the City is governed by s. 3 of the Occupiers Liability Act which requires the City to take that care, that in all of the circumstances of the case, is reasonable to see that a person, such as Ms. Potozny, will be reasonably safe in using the premises. It is clear that perfection is not the standard: Milina v. Bartsch </w:t>
      </w:r>
      <w:hyperlink r:id="rId321"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(B.C.S.C.) (aff'd </w:t>
      </w:r>
      <w:hyperlink r:id="rId322" w:history="1">
        <w:r>
          <w:rPr>
            <w:rFonts w:ascii="arial" w:eastAsia="arial" w:hAnsi="arial" w:cs="arial"/>
            <w:i/>
            <w:color w:val="0077CC"/>
            <w:sz w:val="20"/>
            <w:u w:val="single"/>
            <w:shd w:val="clear" w:color="auto" w:fill="FFFFFF"/>
            <w:lang w:val="en-US" w:eastAsia="en-US" w:bidi="ar-SA"/>
          </w:rPr>
          <w:t>49 B.C.L.R. (2d) 99</w:t>
        </w:r>
      </w:hyperlink>
      <w:r>
        <w:rPr>
          <w:rFonts w:ascii="arial" w:eastAsia="arial" w:hAnsi="arial" w:cs="arial"/>
          <w:color w:val="000000"/>
          <w:sz w:val="20"/>
          <w:lang w:val="en-US" w:eastAsia="en-US" w:bidi="ar-SA"/>
        </w:rPr>
        <w:t xml:space="preserve">). It is also clear that the City is not an "insurer": Lamont v. Westfair Properties (Pacific Ltd.) et al [2000] B.C.S.C. 406 @ para. 20, </w:t>
      </w:r>
      <w:hyperlink r:id="rId415" w:history="1">
        <w:r>
          <w:rPr>
            <w:rFonts w:ascii="arial" w:eastAsia="arial" w:hAnsi="arial" w:cs="arial"/>
            <w:i/>
            <w:color w:val="0077CC"/>
            <w:sz w:val="20"/>
            <w:u w:val="single"/>
            <w:shd w:val="clear" w:color="auto" w:fill="FFFFFF"/>
            <w:lang w:val="en-US" w:eastAsia="en-US" w:bidi="ar-SA"/>
          </w:rPr>
          <w:t>[2000] B.C.J. No. 513</w:t>
        </w:r>
      </w:hyperlink>
      <w:r>
        <w:rPr>
          <w:rFonts w:ascii="arial" w:eastAsia="arial" w:hAnsi="arial" w:cs="arial"/>
          <w:color w:val="000000"/>
          <w:sz w:val="20"/>
          <w:lang w:val="en-US" w:eastAsia="en-US" w:bidi="ar-SA"/>
        </w:rPr>
        <w:t>. The City owed a duty of care to Ms. Potozny. I find that they did not meet the standard of care which was reasonable in all of the circumstances so that Kensington Arena was not reasonably safe for users such as Ms. Potozny.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lighting in the Arena made it difficult for staff and patrons to see debris so that debris could be removed from the ice surface. The failure to clean in accordance with industry standards and in accordance with the usual procedures which were in effect for the Arena, resulted in a situation where puddles of water, ruts, snow and the ordinary debris found at any skating session all accumulated. It was reasonably foreseeable that the accumulation of snow and ordinary debris and the failure to resurface might well result in a user of the Arena tripping over the ruts in the ice or accumulated debris. Whether or not the debris was readily apparent or hidden in the snow was exacerbated by the fact that this was not an ordinary skating session. Rather, it was an attempt to re-create an outdoor skating session for people who would not necessarily be accustomed to the hazards of an outdoor skate. As well, these particular skating sessions catered to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Although I am satisfied that children skating in a recreational session produce less snow that might be produced in other sessions not catering to children, the Arena should have contemplated that the preponderance of young children as users might well create greater debris than what might be experienced at Winter Wonderland by more mature skaters. First, it was clear that children were playing within the displays and that any debris within the displays could then be tracked onto the ice surface. Second, it is clear that children were swatting at the trees so that parts of the trees including pine needles might fall or be swatted onto the ice surface. Third, logs separated the displays from the ice surface. This had the potential of debris on the ice surface as parts of the logs could became detached on to the clothing of patrons who were sitting on the logs or directly on to the ice surface. Fourth, it is probably more likely that children would show less care with disposing of items in proper receptacles rather than allowing those items to go on to the ice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There is good reason why this Arena and other arenas have adopted a procedure to usually clean ice surfaces after every one hour of activity on the ice. By failing to have the Zamboni cleaner go onto the ice between the two Forest Grove skating sessions that day, the City ran the risk that accumulated ruts, snow which could hide debris and debris would make the Arena unsafe in all of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These were dangers which ought to have been known by the City. All of these results were reasonably foreseeable if an appropriate cleaning system was not in place at a time when the total Winter Wonderland experience was in place. It was reasonably foreseeable that an accident might be caused by the combination of subdued lighting and the failure to follow industry and Arena procedures relating to the cleaning and resurfacing of the ice surface between the two Forest Grove skating sessions at Winter Wonderland.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find that there was considerable accumulated debris, snow, snow hiding debris, muddy footprints and pools of water during the second Forest Grove skating session on December 17, 1997 and, in particular, at the time that Ms. Potozny fell. I also find that there was insufficient separation of the displays from the ice surface and insufficient supervision of children to stop them from disturbing the displays and/or going into the displays. In all of the circumstances, I find that the Kensington Arena was not reasonably safe for users such as Ms. Potozny on the day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A REASONABLE MAINTENANCE SYSTEM IN PLACE AND WAS THE SYSTEM FOLLOWED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Atkins v. Jim Pattison Industries Ltd., </w:t>
      </w:r>
      <w:hyperlink r:id="rId416" w:history="1">
        <w:r>
          <w:rPr>
            <w:rFonts w:ascii="arial" w:eastAsia="arial" w:hAnsi="arial" w:cs="arial"/>
            <w:i/>
            <w:color w:val="0077CC"/>
            <w:sz w:val="20"/>
            <w:u w:val="single"/>
            <w:shd w:val="clear" w:color="auto" w:fill="FFFFFF"/>
            <w:lang w:val="en-US" w:eastAsia="en-US" w:bidi="ar-SA"/>
          </w:rPr>
          <w:t>[1998] B.C.J. No. 3050</w:t>
        </w:r>
      </w:hyperlink>
      <w:r>
        <w:rPr>
          <w:rFonts w:ascii="arial" w:eastAsia="arial" w:hAnsi="arial" w:cs="arial"/>
          <w:color w:val="000000"/>
          <w:sz w:val="20"/>
          <w:lang w:val="en-US" w:eastAsia="en-US" w:bidi="ar-SA"/>
        </w:rPr>
        <w:t xml:space="preserve"> (B.C.C.A.), Ryan J.A. on behalf of the court stated that once a plaintiff had established a prima facie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defendant would be in a position to refute that by showing that not only was there a reasonable maintenance scheme was in place but also that the plan was being followed on the day in question: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paraphrase Cumming J.A. in Kayser v. Park Royal Shopping Centre Ltd. </w:t>
      </w:r>
      <w:hyperlink r:id="rId417" w:history="1">
        <w:r>
          <w:rPr>
            <w:rFonts w:ascii="arial" w:eastAsia="arial" w:hAnsi="arial" w:cs="arial"/>
            <w:i/>
            <w:color w:val="0077CC"/>
            <w:sz w:val="20"/>
            <w:u w:val="single"/>
            <w:shd w:val="clear" w:color="auto" w:fill="FFFFFF"/>
            <w:lang w:val="en-US" w:eastAsia="en-US" w:bidi="ar-SA"/>
          </w:rPr>
          <w:t>(1995) 16 B.C.L.R. (3rd) 330</w:t>
        </w:r>
      </w:hyperlink>
      <w:r>
        <w:rPr>
          <w:rFonts w:ascii="arial" w:eastAsia="arial" w:hAnsi="arial" w:cs="arial"/>
          <w:color w:val="000000"/>
          <w:sz w:val="20"/>
          <w:lang w:val="en-US" w:eastAsia="en-US" w:bidi="ar-SA"/>
        </w:rPr>
        <w:t xml:space="preserve"> @ p.334, there must be evidence from which it is reasonable to infer that the system in place for ensuring that hazards are minimized was followed on the day in question. (at para.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the case at bar, while I may have been prepared to find that the City had a reasonable maintenance system in place, I could not find that the system was followed on the day of the accident. I find that any reasonable maintenance system was not followed on the day in question. As well, the City would not be in a position to rely on any written log or record where the cards and employment records of the area service workers as such records were not kept at the time. Accordingly, the issue which must be determined is whether what was done or not done by the City that day caused the fall of Ms. Potozny.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THE CITY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 cannot presume that some act, or failure to act, on the part of the City caused Ms. Potozny to fall that day: Vandergaast v. Atterton </w:t>
      </w:r>
      <w:hyperlink r:id="rId418" w:history="1">
        <w:r>
          <w:rPr>
            <w:rFonts w:ascii="arial" w:eastAsia="arial" w:hAnsi="arial" w:cs="arial"/>
            <w:i/>
            <w:color w:val="0077CC"/>
            <w:sz w:val="20"/>
            <w:u w:val="single"/>
            <w:shd w:val="clear" w:color="auto" w:fill="FFFFFF"/>
            <w:lang w:val="en-US" w:eastAsia="en-US" w:bidi="ar-SA"/>
          </w:rPr>
          <w:t>[1988] B.C.J. No. 2695</w:t>
        </w:r>
      </w:hyperlink>
      <w:r>
        <w:rPr>
          <w:rFonts w:ascii="arial" w:eastAsia="arial" w:hAnsi="arial" w:cs="arial"/>
          <w:color w:val="000000"/>
          <w:sz w:val="20"/>
          <w:lang w:val="en-US" w:eastAsia="en-US" w:bidi="ar-SA"/>
        </w:rPr>
        <w:t xml:space="preserve"> (B.C.C.A.). Similarly, s. 3 of the Occupiers Liability Act does not create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Ms. Potozny must still be able to point to some act or failure to act by the City which actually caused the injury complained of: Bauman v. Stein </w:t>
      </w:r>
      <w:hyperlink r:id="rId419" w:history="1">
        <w:r>
          <w:rPr>
            <w:rFonts w:ascii="arial" w:eastAsia="arial" w:hAnsi="arial" w:cs="arial"/>
            <w:i/>
            <w:color w:val="0077CC"/>
            <w:sz w:val="20"/>
            <w:u w:val="single"/>
            <w:shd w:val="clear" w:color="auto" w:fill="FFFFFF"/>
            <w:lang w:val="en-US" w:eastAsia="en-US" w:bidi="ar-SA"/>
          </w:rPr>
          <w:t>(1991) 78 D.L.R. (4th) 118</w:t>
        </w:r>
      </w:hyperlink>
      <w:r>
        <w:rPr>
          <w:rFonts w:ascii="arial" w:eastAsia="arial" w:hAnsi="arial" w:cs="arial"/>
          <w:color w:val="000000"/>
          <w:sz w:val="20"/>
          <w:lang w:val="en-US" w:eastAsia="en-US" w:bidi="ar-SA"/>
        </w:rPr>
        <w:t xml:space="preserve"> @ 127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At trial, Ms. Potozny was adamant about the "dynamics" of the fall. She stated that she was no longer skating but was "gliding", and her speed was "walking speed." She stated the sensation as "like hitting a wall" as her left skate stopped and she had the sensation of falling forward. She then stated: "That is when I looked down and saw a small pine twig. Only a brief moment but that is what was sticking out of the left side of my left skate." She stated that she had time "to wave back and forth slightly" before falling on her "behind."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During cross-examination, Ms. Potozny was asked to demonstrate how the fall occurred and she stated: "My left leg stops. I felt my body go forward. I automatically looked down. My left skate and left leg were stopped." She then confirmed that her right leg kept moving but then indicated "I have no idea" when it was suggested to her that her right foot went forward. She then stated: "I would think so." Despite the indication in paragraph 6 of the Statement of Claim that she went "violently backwards", she denied that this was the case: "That's not true. No way to stop violently when you go backwards."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Regarding her testimony that she looked down for a "fraction of a second", she stated: "however long it takes to look down and then back up again." "I glanced down to see what made me stop." She described this whole process as taking "maybe half a second." Ms. Potozny was asked how she could see the debris if her boot was in the way and she stated: "I was just able to see it." "I pulled right back." "I looked down and then went over backwards." "I saw the debris attached to my skate blade." She confirmed that the debris was not obscured by snow: "I guess it wasn't." It was suggested to her that she told people that she had tripped over a branch. She stated this was not the case but it was: "a twig." "a piece." When it was suggested to her that she had said in her direct testimony that she had said a "branch", Ms. Potozny then stated: "I assume a branch might be a piece." Ms. Potozny did confirm that she had told the Arena staff that she had fallen on snow although she denied telling the Arena staff that she fell "for no reason whatsoever."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Counsel for the City made much of the fact that there were a number of versions of what it was suggested Ms. Potozny said about the fall and about the reasons for the fall shortly after the fall. At trial, Ms. Potozny stated that Mr. Yarnold and Ms. Kirkland-Harvey came over to assist her and that she said to them: "my leg stopped on a 'piece of wood' but not able to get into a description as my leg hurt too much." She states that she does not specifically recall the questions being asked of her by the staff but she does remember saying: "My leg had stopped." She recalls that a "girl" asked her whether the cause of the fall could have been snow or debris and she stated that she did not recall what her answers to that woman were. She recalls a discussion with the ambulance attendant but, at the time, she indicated that she was in a great deal of pain and that she was "scared" and "hysterical." When at the Royal Columbian Hospital, she recalls a discussion with a doctor and she recalls the doctor using the words "being planted" to describe what happened to her foot but indicated that that was what the doctor said to her and that she did not know what he meant by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Lacombe was the only witness who stated that she had seen Ms. Potozny fall. Before the fall, she described Ms. Potozny as "just skating normally." Ms. Lacombe was not asked nor did she testify about what she observed about the fall. Accordingly, while I applaud Ms. Lacombe's willingness to testify, I was not able to find that her testimony was of particular assistance on the "dynamics" of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John Yarnold stated that he skated over to Ms. Potozny while she was on the ice surface, he asked what had happened, and she stated: "I tripped over a piece of wood." Mr. Yarnold stated that he looked down between the legs of Ms. Potozny, saw a three-quarter of a inch in length and one-eighth of an inch in diameter piece of tree bent into a "Z" shape, said to Ms. Potozny that this is what she must have tripped over, picked up the piece which he described as being between her knee and her skate and threw it into the centre display area. He stated that the skate of Ms. Potozny was off at the time and that the piece of tree was less than a foot from her skate. Mr. Yarnold indicated that he was not sure whether he notified the two staff members about this piece of tree which he presumed had caused the fall. Mr. Yarnold thought that he might have shown the piece of wood to Ms. Potozny.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Brummitt thought that she might have been the first one to reach Ms. Potozny. She stated that she does not recall and didn't see a male skater finding a piece of twig or wood, she did not observe debris like pine needles or branches in the area of the fall and that she did not hear Ms. Potozny say what caused her fall. She described the condition of the ice in the area where Ms. Potozny fell as: "Hadn't been cleaned but not rough - not a lot of ruts. It was covered in snow."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On cross-examination by counsel for Ms. Potozny, it was suggested to Ms. Brummitt that she described the ice surface in the summer of 1999 as being "rough and snowy". Ms. Brummitt stated that she couldn't remember giving that description but that she could not deny it. It was also suggested to her that she was not looking for debris as she was minding the children and she agreed with that statement. It was also suggested to her that, during a February 25, 2001 conversation, she had said that she had looked around but did not see what had caused the plaintiff to fall and she stated: "Don't remember saying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Kirkland-Harvey also went over to assist Ms. Potozny. Ms. Kirkland-Harvey is a Registered Nurse. She found Ms. Potozny hyperventilating and described her condition as "serious" as she was "very distressed" and "quite scared." Ms. Kirkland-Harvey stated that she asked Ms. Potozny what she had tripped on and that Ms. Potozny answered: "a piece of wood." Mr. Kirkland-Harvey confirmed that she did not hear Ms. Potozny say that she had tripped over the ice or the snow or that she had fallen on a "branch." She also stated that she did not hear Mr. Yarnold say anything about what he had found on the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As a Registered Nurse who was intent on observing Ms. Potozny to monitor her to make sure that she was not going into shock or suffering from hypothermia, I am satisfied that Ms. Kirkland-Harvey was most likely to be aware of what Ms. Potozny said and was most able to hear what Ms. Potozny was saying. Accordingly, I give considerable importance to the testimony of Ms. Kirkland-Harvey and am satisfied that it most accurately represents what Ms. Potozny was saying immediately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Heather Loftus also went to assist Ms. Potozny. Ms. Loftus quotes Ms. Potozny as saying: "I hit something and I fell." Ms. Loftus stated that she did not look around near the ice surface where Ms. Potozny was lying and that she did not recall Ms. Potozny saying that she had hit "wood."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Ms. Hickenbotham indicated that she saw that the plaintiff had fallen. She quotes Ms. Potozny as saying: "all of a sudden I just fell. I just fell." She stated: "So she was repeating that ... that she had fallen and didn't know why." "I think she was saying things like - you know - all of a sudden I was skating along and I fell. I don't know what happened." She was then asked the following question and gave the following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did she make any - did she at any time say to you that she had fallen because of a stick or a twig or any other debris?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 that I remember, 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Under cross-examination, it was suggested to Ms. Hickenbotham that she had spoken to a colleague of counsel for Ms. Potozny in August of 1999 and that he said she recalled Ms. Potozny saying "she fell when she hit something on the ice and just crashed." Ms. Hickenbotham could not remember telling that person that. Later in cross-examination, she stated: "She certainly was questioning why she fell." "Yes, she did say that. She said, you know, 'all of a sudden I stopped suddenly and I fell'." When asked to confirm that what she was not clear about was whether Ms. Potozny also said 'I hit something', Ms. Hickenbotham stated: "That's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Ms. Focand was probably the first staff member to reach Ms. Potozny. Ms. Focand stated that she asked Ms. Potozny what happened and that a "male person" then said that Ms. Potozny had said she slipped "on a twig or a branch." Ms. Focand indicated that she looked for anything like that but couldn't see anything but that, at this point, Ms. Potozny said that she had fallen on a "piece of snow."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Focand confirmed that she did not hear the plaintiff say that she slipped on a branch. She also confirmed that the male person never showed her a piece of debris, wood or twig and that she never heard him say that he had found one and that she never saw him throw anything into the centre display. Regarding what Ms. Focand recalls Ms. Potozny saying, Ms. Focand confirmed that the statement was not made to her personally: "Not [told] me personally but generally she said she slipped on ice." Ms. Focand also quotes Ms. Potozny as later saying: "I just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Under cross-examination Ms. Focand stated that she could not recall Ms. Potozny saying that she was going to faint, could not recall whether a woman was taking her pulse and speaking to her, and agreed that "some things were fuzzy to her" as the accident had occurred three years previously. She stated that she immediately asked Ms. Potozny about what caused the fall, was adamant that she heard the plaintiff say that she slipped on snow after a man had said that she fell on a branch: "I asked her right away because I wanted to clarify", but admitted that none of what was said was said directly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After Ms. Potozny was taken from the ice, Ms. Focand made a record of the accident. While Ms. Focand was adamant that Ms. Potozny stated that she "just fell", Ms. Focand had no explanation as to why she did not put down the explanation "I just fell" down in what she recorded. After reviewing the evidence of Mr. Gee who overheard Ms. Focand speaking about the accident, I am satisfied that Ms. Focand had considerable confusion at the time about what had caused the fall and what Ms. Potozny had said about the cause of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During cross-examination, Ms. Focand confirmed that, when she was recording the information, she had a discussion about the fall. She was asked to confirm that she had said "She tripped on a log but then she said she tripped on a branch." She stated: "I didn't think I said a log. I would have said a branch."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am not prepared to find that the record made by Ms. Focand accurately records the cause of the fall or what Ms. Potozny had said about the cause of the fall. Ms. Focand did not record everything that she had heard about what caused the fall and, at the time she made the record, it is apparent that she remained confused about what had caused the fall. As well, it is obvious to state that she was merely recounting what others had said or what was being said to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 ABOUT WHAT CAUSED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dealing with the "dynamics" of the fall, I am not satisfied that Ms. Potozny has shown on a balance of probabilities that the fall and her observation of the foliage occurred exactly the way she has testified. I am satisfied that Ms. Potozny has attempted to reconstruct what must have happened as she attempts to relive in her own mind the "dynamics" of her fall. I cannot find that she did actually observe something was sticking out of her skate while she was in the process of falling. However, I do find that the fall of Ms. Potozny on December 17, 1997 was caused by her skate coming into contact with a part of one of the display trees which was on the ice surface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accept the evidence of Mr. Yarnold and Ms. Kirkland-Harvey about what they observed and what they recall Ms. Potozny saying about the cause of the fall. I find that the left skate of Ms. Potozny came to an abrupt stop as a result of it coming into contact with a piece of foliage which was approximately three-quarters of an inch in length and one-eighth of an inch in diameter. I also find that what Mr. Yarnold and Ms. Kirkland-Harvey report Ms. Potozny as saying accurately represents the explanation given by Ms. Potozny immediately after the fall about what caused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am satisfied that any contradictions within the reasons that Ms. Potozny later gave about the fall can be explained by the pain, the shock, the hysteria, the painkillers and her condition approaching hypothermia.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the circumstances, I find that Ms. Potozny has shown on a balance of probabilities that the fall that day was caused by a piece of foliage which stopped completely the progress of her left skate and that this, in turn, caused her to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also reject the suggestion that Ms. Potozny had merely "caught an edge." Ms. Potozny described what happens when you catch an edge as being very different than what happened on December 17, 1997: "Depending on which side, it holds you straight on left or right" and does not pull you to a "full stop." Rather, it is like a 'railway track.'" Under cross-examination, Ms. Potozny stated that she had caught an edge and had fallen maybe once every three or four skates. This answer is consistent with her discovery. She further described what would happen if you caught an edge as: "Will hold you in position. Still moving. Pull you in a different position or direction still moving."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explanation provided by Mr. Bourgeois about what happens when a skater comes in contact with a rut or catches an edge is consistent with the explanation provided by Ms. Potozny about the difference between catching an edge and coming to an abrupt stop as a result of coming into contact with debris and is inconsistent with what occurred on December 17,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Even Mr. Cornwall agreed that twigs frozen into the ice might cause skates to "jam." The difference between catching an edge and coming to an abrupt stop is also illustrated in the testimony of Ms. Hickenbotham.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Taking into account all of the evidence, I find that the fall of Ms. Potozny was not caused by her catching an edge and/or having her skate caught in a rut but was caused by her skate coming into contact with debris from one of the trees that formed part of the display at Winter Wonderland. That piece of debris should not have been on the ice surface. The debris was on the ice surface because the City did not exercise the appropriate standard of maintenance and supervision. While other falls may have been occasioned by inexperienced skaters or skaters catching an edge or having their skate caught in a rut on the ice, I find that the fall of Ms. Potozny was as a result of the inadequate maintenance and supervision of the ice surface during the December 17, 1997 skating sessions of Forest Grove Elementary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Counsel for the City explored the possibility that the skates worn by Ms. Potozny may have contributed to causing the accident. The plaintiff was wearing CCM figure skates which were bought in 1995 and which she described as being "in excellent condition." She indicated that the laces were long, that she had tied them around the back with a knot in front and the laces were dangling only about two inches from the top of the boot. I find that is nothing about how Ms. Potozny was wearing her skates that day which in any way contributed to causing her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At trial, Ms. Potozny was asked whether she checked the blades and she stated: "Yes I did. Always do. If put away too soon may rust." I find that there is nothing about the condition of the blades of her skates which in any way contributed to causing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obligation is on the City to prove on a balance of probabilities that the skates of Ms. Potozny contributed to causing the accident. I find that they have not proven that this was the case. In fact, I find that Ms. Potozny has proven the contrary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Counsel for the City also asked Ms. Potozny about previous problems that she had had with "ankle inversions." Dr. Wright testified in this regard after he was qualified as an expert in orthopaedic surgery and sports medicine. On the basis of the testimony of Dr. Wright, I can be satisfied that any pre-existing conditions of the plaintiff in no way contributed to causing her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am also satisfied that Dr. Wright was correct in stating that it was very difficult to roll over on skates if the skates were properly fitting and laced up appropriately and that it was only likely that there would be an inversion if the boots were very loose. In his capacity as an advisor and team doctor to the Canadian Ski Association and the Canadian Figure Skating Association, I am satisfied that Dr. Wright has considerable experience in evaluating and analyzing falls even though I did not qualify him as an expert to provide an opinion in that regard. However, I do adopt his conclusion that, while previous injuries make a skater more susceptible to injury, any increased flexibility that might have been present in the ankles of Ms. Potozny did not create an instability which might have contributed to causing her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am satisfied that there is nothing that Ms. Potozny did or failed to do which in any way contributed to causing her fall that day. Not only has the City failed to prove on a balance of probabilities that what she did or did not do contributed to causing the fall, I am satisfied that Ms. Potozny has proven the contrary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EFFECT OF SECTION 3(3) OF THE OCCUPIERS LIABILITY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its defence, the City relies on s. 3(3) of the Occupiers Liability Act:</w:t>
      </w:r>
      <w:r>
        <w:rPr>
          <w:rFonts w:ascii="arial" w:eastAsia="arial" w:hAnsi="arial" w:cs="arial"/>
          <w:sz w:val="20"/>
          <w:lang w:val="en-US" w:eastAsia="en-US" w:bidi="ar-SA"/>
        </w:rPr>
        <w:cr/>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an occupier has no duty of care to a person in respect of risks willingly assumed by that person other than a duty not to</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create a danger with intent to do harm to the person or damage to the person's property, or</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 with reckless disregard to the safety of the person or the integrity of the person's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In dealing with this section, McKenzie J. in Woelbern v. Liberty Leasing of Canada No.3 Ltd. </w:t>
      </w:r>
      <w:hyperlink r:id="rId420" w:history="1">
        <w:r>
          <w:rPr>
            <w:rFonts w:ascii="arial" w:eastAsia="arial" w:hAnsi="arial" w:cs="arial"/>
            <w:i/>
            <w:color w:val="0077CC"/>
            <w:sz w:val="20"/>
            <w:u w:val="single"/>
            <w:shd w:val="clear" w:color="auto" w:fill="FFFFFF"/>
            <w:lang w:val="en-US" w:eastAsia="en-US" w:bidi="ar-SA"/>
          </w:rPr>
          <w:t>(1978) 8 B.C.L.R. 352</w:t>
        </w:r>
      </w:hyperlink>
      <w:r>
        <w:rPr>
          <w:rFonts w:ascii="arial" w:eastAsia="arial" w:hAnsi="arial" w:cs="arial"/>
          <w:color w:val="000000"/>
          <w:sz w:val="20"/>
          <w:lang w:val="en-US" w:eastAsia="en-US" w:bidi="ar-SA"/>
        </w:rPr>
        <w:t xml:space="preserve"> (B.C.S.C.) stated that "dominant duty" must lie on the occupier: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do not exonerate the occupier under the provisions of s. 3(3), because I cannot find that the plaintiff willingly accepted any risk as his own risk. ... It seems to me that the dominant duty must lie upon the occupier to ensure that his premises are reasonably safe because they are under his control and within his power to make reasonably safe, ... Were I to hold that the dominant duty is imposed by s. 3(3) upon the person using the premises, then the occupier could only simply let nature take its course ... and any person ... would be willingly accepting the risks it imposed as his own risks. (at pp. 356-7)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Section 3(3) of the Occupiers Liability Act is merely a statutory restatement of the maxim volenti non fit injuria: Goldsmith v. Callaghan Construction Co., </w:t>
      </w:r>
      <w:hyperlink r:id="rId421" w:history="1">
        <w:r>
          <w:rPr>
            <w:rFonts w:ascii="arial" w:eastAsia="arial" w:hAnsi="arial" w:cs="arial"/>
            <w:i/>
            <w:color w:val="0077CC"/>
            <w:sz w:val="20"/>
            <w:u w:val="single"/>
            <w:shd w:val="clear" w:color="auto" w:fill="FFFFFF"/>
            <w:lang w:val="en-US" w:eastAsia="en-US" w:bidi="ar-SA"/>
          </w:rPr>
          <w:t>[1988] B.C.J. No. 908</w:t>
        </w:r>
      </w:hyperlink>
      <w:r>
        <w:rPr>
          <w:rFonts w:ascii="arial" w:eastAsia="arial" w:hAnsi="arial" w:cs="arial"/>
          <w:color w:val="000000"/>
          <w:sz w:val="20"/>
          <w:lang w:val="en-US" w:eastAsia="en-US" w:bidi="ar-SA"/>
        </w:rPr>
        <w:t xml:space="preserve"> (B.C.S.C.); Waldick et al v. Malcolm et al </w:t>
      </w:r>
      <w:hyperlink r:id="rId422" w:history="1">
        <w:r>
          <w:rPr>
            <w:rFonts w:ascii="arial" w:eastAsia="arial" w:hAnsi="arial" w:cs="arial"/>
            <w:i/>
            <w:color w:val="0077CC"/>
            <w:sz w:val="20"/>
            <w:u w:val="single"/>
            <w:shd w:val="clear" w:color="auto" w:fill="FFFFFF"/>
            <w:lang w:val="en-US" w:eastAsia="en-US" w:bidi="ar-SA"/>
          </w:rPr>
          <w:t>(1987), 61 O.R. (2d) 624</w:t>
        </w:r>
      </w:hyperlink>
      <w:r>
        <w:rPr>
          <w:rFonts w:ascii="arial" w:eastAsia="arial" w:hAnsi="arial" w:cs="arial"/>
          <w:color w:val="000000"/>
          <w:sz w:val="20"/>
          <w:lang w:val="en-US" w:eastAsia="en-US" w:bidi="ar-SA"/>
        </w:rPr>
        <w:t xml:space="preserve">; and Baines v. Hill </w:t>
      </w:r>
      <w:hyperlink r:id="rId423" w:history="1">
        <w:r>
          <w:rPr>
            <w:rFonts w:ascii="arial" w:eastAsia="arial" w:hAnsi="arial" w:cs="arial"/>
            <w:i/>
            <w:color w:val="0077CC"/>
            <w:sz w:val="20"/>
            <w:u w:val="single"/>
            <w:shd w:val="clear" w:color="auto" w:fill="FFFFFF"/>
            <w:lang w:val="en-US" w:eastAsia="en-US" w:bidi="ar-SA"/>
          </w:rPr>
          <w:t>(1992), 68 B.C.L.R. (2d) 193</w:t>
        </w:r>
      </w:hyperlink>
      <w:r>
        <w:rPr>
          <w:rFonts w:ascii="arial" w:eastAsia="arial" w:hAnsi="arial" w:cs="arial"/>
          <w:color w:val="000000"/>
          <w:sz w:val="20"/>
          <w:lang w:val="en-US" w:eastAsia="en-US" w:bidi="ar-SA"/>
        </w:rPr>
        <w:t xml:space="preserve"> (B.C.C.A.). Even assuming that the concept of volenti non fit injuria has survived the recent pronouncements of the Supreme Court of Canada regarding it, I am satisfied that it cannot be said Ms. Potozny: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knowing of the virtually certain risk of harm, in essence bargained away ... [her] right to sue for injuries incurred as a result of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defendant's part. The acceptance of risk ... will arise ... only where there can truly be said to be an understanding on the part of both parties that the defendant assumed no responsibility to take due care for the safety of the plaintiff, and that the plaintiff did not expect him to. (per Estey J. in Dube v. Labar </w:t>
      </w:r>
      <w:hyperlink r:id="rId424" w:history="1">
        <w:r>
          <w:rPr>
            <w:rFonts w:ascii="arial" w:eastAsia="arial" w:hAnsi="arial" w:cs="arial"/>
            <w:i/>
            <w:color w:val="0077CC"/>
            <w:sz w:val="20"/>
            <w:u w:val="single"/>
            <w:shd w:val="clear" w:color="auto" w:fill="FFFFFF"/>
            <w:lang w:val="en-US" w:eastAsia="en-US" w:bidi="ar-SA"/>
          </w:rPr>
          <w:t>[1986] 1 S.C.R. 649</w:t>
        </w:r>
      </w:hyperlink>
      <w:r>
        <w:rPr>
          <w:rFonts w:ascii="arial" w:eastAsia="arial" w:hAnsi="arial" w:cs="arial"/>
          <w:color w:val="000000"/>
          <w:sz w:val="20"/>
          <w:lang w:val="en-US" w:eastAsia="en-US" w:bidi="ar-SA"/>
        </w:rPr>
        <w:t xml:space="preserve"> @ p. 658)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It is always the "dominant duty" of the occupier to make the premises reasonably safe. The City did not do so. Just as Ms. Potozny did not contribute to causing her fall that day, so also did she not bargain away her right to sue and she did not reach the understanding that the City would assume no responsibility to take due care for her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THERE AN "INHERENT RISK" WHICH WAS ACCEPTED BY MS. POTOZNY?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On the assumption that I found that there was no voluntary assumption of risk 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City submitted that there was an "inherent risk" which was accepted by Ms. Potozny. Unlike the concept of "voluntary assumption of risk", inherent risk is not a separate defence that comes into play after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established but is a recognition by the courts that what constitutes reasonable care will depend upon the perils which a person engaged in an activity might reasonably be expected to encounter. In other words, it gives effect to the words "in all the circumstances" contained in s. 3(1)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A number of decisions were cited by counsel for the defence regarding inherent risk: Malcolm v. B.C. Transit </w:t>
      </w:r>
      <w:hyperlink r:id="rId425" w:history="1">
        <w:r>
          <w:rPr>
            <w:rFonts w:ascii="arial" w:eastAsia="arial" w:hAnsi="arial" w:cs="arial"/>
            <w:i/>
            <w:color w:val="0077CC"/>
            <w:sz w:val="20"/>
            <w:u w:val="single"/>
            <w:shd w:val="clear" w:color="auto" w:fill="FFFFFF"/>
            <w:lang w:val="en-US" w:eastAsia="en-US" w:bidi="ar-SA"/>
          </w:rPr>
          <w:t>(1988), 32 B.C.L.R. (2d) 317</w:t>
        </w:r>
      </w:hyperlink>
      <w:r>
        <w:rPr>
          <w:rFonts w:ascii="arial" w:eastAsia="arial" w:hAnsi="arial" w:cs="arial"/>
          <w:color w:val="000000"/>
          <w:sz w:val="20"/>
          <w:lang w:val="en-US" w:eastAsia="en-US" w:bidi="ar-SA"/>
        </w:rPr>
        <w:t xml:space="preserve"> (B.C.C.A.); Hagerman v. City of Niagara Falls et al </w:t>
      </w:r>
      <w:hyperlink r:id="rId426" w:history="1">
        <w:r>
          <w:rPr>
            <w:rFonts w:ascii="arial" w:eastAsia="arial" w:hAnsi="arial" w:cs="arial"/>
            <w:i/>
            <w:color w:val="0077CC"/>
            <w:sz w:val="20"/>
            <w:u w:val="single"/>
            <w:shd w:val="clear" w:color="auto" w:fill="FFFFFF"/>
            <w:lang w:val="en-US" w:eastAsia="en-US" w:bidi="ar-SA"/>
          </w:rPr>
          <w:t>(1980), 29 O.R. (2d) 609</w:t>
        </w:r>
      </w:hyperlink>
      <w:r>
        <w:rPr>
          <w:rFonts w:ascii="arial" w:eastAsia="arial" w:hAnsi="arial" w:cs="arial"/>
          <w:color w:val="000000"/>
          <w:sz w:val="20"/>
          <w:lang w:val="en-US" w:eastAsia="en-US" w:bidi="ar-SA"/>
        </w:rPr>
        <w:t xml:space="preserve"> (Ont.H.C.); Unruh (Guardian ad litem of) v. Webber </w:t>
      </w:r>
      <w:hyperlink r:id="rId427" w:history="1">
        <w:r>
          <w:rPr>
            <w:rFonts w:ascii="arial" w:eastAsia="arial" w:hAnsi="arial" w:cs="arial"/>
            <w:i/>
            <w:color w:val="0077CC"/>
            <w:sz w:val="20"/>
            <w:u w:val="single"/>
            <w:shd w:val="clear" w:color="auto" w:fill="FFFFFF"/>
            <w:lang w:val="en-US" w:eastAsia="en-US" w:bidi="ar-SA"/>
          </w:rPr>
          <w:t>(1994) 88 B.C.L.R. (2d) 353</w:t>
        </w:r>
      </w:hyperlink>
      <w:r>
        <w:rPr>
          <w:rFonts w:ascii="arial" w:eastAsia="arial" w:hAnsi="arial" w:cs="arial"/>
          <w:color w:val="000000"/>
          <w:sz w:val="20"/>
          <w:lang w:val="en-US" w:eastAsia="en-US" w:bidi="ar-SA"/>
        </w:rPr>
        <w:t xml:space="preserve"> (B.C.C.A.); Feniuk v. Bulkley Valley School District No.54, </w:t>
      </w:r>
      <w:hyperlink r:id="rId428" w:history="1">
        <w:r>
          <w:rPr>
            <w:rFonts w:ascii="arial" w:eastAsia="arial" w:hAnsi="arial" w:cs="arial"/>
            <w:i/>
            <w:color w:val="0077CC"/>
            <w:sz w:val="20"/>
            <w:u w:val="single"/>
            <w:shd w:val="clear" w:color="auto" w:fill="FFFFFF"/>
            <w:lang w:val="en-US" w:eastAsia="en-US" w:bidi="ar-SA"/>
          </w:rPr>
          <w:t>[1991] B.C.J. No. 2163</w:t>
        </w:r>
      </w:hyperlink>
      <w:r>
        <w:rPr>
          <w:rFonts w:ascii="arial" w:eastAsia="arial" w:hAnsi="arial" w:cs="arial"/>
          <w:color w:val="000000"/>
          <w:sz w:val="20"/>
          <w:lang w:val="en-US" w:eastAsia="en-US" w:bidi="ar-SA"/>
        </w:rPr>
        <w:t xml:space="preserve"> (B.C.S.C.); and Mahlow v. Coquitlam (City) </w:t>
      </w:r>
      <w:hyperlink r:id="rId429" w:history="1">
        <w:r>
          <w:rPr>
            <w:rFonts w:ascii="arial" w:eastAsia="arial" w:hAnsi="arial" w:cs="arial"/>
            <w:i/>
            <w:color w:val="0077CC"/>
            <w:sz w:val="20"/>
            <w:u w:val="single"/>
            <w:shd w:val="clear" w:color="auto" w:fill="FFFFFF"/>
            <w:lang w:val="en-US" w:eastAsia="en-US" w:bidi="ar-SA"/>
          </w:rPr>
          <w:t>[1996] B.C.J. No. 1966</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Malcolm, supra, McEachern C.J.B.C. (as he then was)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is not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a breach of any duty not to warn an adult person, not suffering under any disability, of the ordinary risks arising out of the exigencies of everyday life. Any such adult person without being warned knows and accepts the risks of falling on a steep, wet, grassy slope or a path and it was not necessary, in my view, to give a warning of such a common everyday risk. ... such a warning is superfluous. (at p.318)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Similarly, in Hagerman, supra, Lambrosse J. stated: ... Furthermore, the duty owed in respect of reasonably foreseeable risks may be limited where the person, to whom the duty might otherwise be owed, appreciates those risks and it is reasonable to expect him to assume them. No duty of care arises with respect to those risks appreciated and assumed. I use the word "assumed" reluctantly because this situation is not the same as that in which the defence of volenti non fit injuria or voluntary assumption of risk, is asserted. (at pp.612)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Unruh, supra, the court quotes with approval the judgment of Diplock L.J. in Wooldridge v. Sumner [1962] 2 All E.R. 978 (C.A.) where Diplock L.J. states that, just as the question of what reasonable care must be taken is to be judged by an objective test so also is the question of the inherent risk which was being accepted by patrons judged by an objective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In Milina v. Bartsch, </w:t>
      </w:r>
      <w:hyperlink r:id="rId321"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(B.C.S.C.), McLachlin J. (as then was) stated that, in considering the duty to take reasonable care to ensure that a person using the premises will be reasonably safe, the court must take into consideration the nature of the undertaking, its inherent risks, and the appreciation of those risks by the participant. In this regard, McLachlin J. cited with approval Hagerman, supra, where Lambrosse J. stated that it must be shown that the defendant "... has failed in its duty to provide reasonable protection, given the nature of the game, its inherent risks and the appreciation of those risks by the viewing public." (at p.615) At the same time,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will not be found as a result of: "... the failure of the defendant to warn the plaintiff of the obvious and inherent risks of the game within the knowledge of the ordinary spectator." (at p.615)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considering the question of whether the City was liable because it had breached its duty of care to users such as Ms. Potozny, I have taken into account the questions of whether patrons would appreciate the reasonably foreseeable risks associated with the Winter Wonderland skating experience and whether it was reasonable in the circumstances to expect similar patrons to assume those inherent risks. Taking that into account, I still come to the conclusion noted above about the nature and extent of the duty of care owed by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am satisfied that it was not reasonable for Ms. Potozny or any other user of the premises that day to both appreciate and assume the risks that were present. Recreational ice skating is not an inherently dangerous sport. Arena operators are under an obligation to make arenas reasonably safe although they are not required to eliminate risks inherent to the type of activity on the ice at any particular time. While Ms. Potozny must be taken to have been aware of the inherent risks associated with recreational ice skating and to have willingly accepted those risks when she went on the ice, it is not reasonable to assume that she or any other patron that day would appreciate that the Arena would not be cleaned in accordance with its own standards or industry standards, that parts of the trees on display would be allowed to fall and then remain on the ice surface, that staff would not be diligent in keeping children away from the displays thereby causing debris from the displays to go on to the ice surface or that inadequate separation of displays from the ice surface would be countenanced.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City was creating a holiday atmosphere. It was not attempting to duplicate all of what would be found in an outdoor skating session where maintenance and supervision would not be up to the standards reasonably expected for an indoor setting. The City is not in a position to rely on the ambience that they created to import into the Arena the standards of maintenance and supervision which would reasonably be expected by outdoor recreational skaters.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make my findings on the duty of care owed even though I also find that Ms. Potozny was a fairly experienced skater, had attended Winter Wonderland in 1996, was aware of some of the 1996 problems and was aware of pine needles being on the ice when she went on the ice in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am satisfied that the "reasonable spectator" on December 17, 1997 would have come to the conclusion not only that the Arena was not reasonably safe for patrons but also that it was not reasonable to conclude that patrons appreciated all of the risks that day and assumed them as inherent risks. While Ms. Potozny was a willing participant in a skating setting which had some inherent risk for the potential for falls and consequential injuries, she was not a willing participant in a skating session where the usual maintenance precautions were absent, the danger of the displays was present, and the failure to control the actions of children regarding those displays was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reasonable occupier would know that diverse members of the public would be using the rink, including those of various ages and ability. The obligation which was owed by the City could not vary depending on the experience and age of the patron. Otherwise, the duty of care owed would be judged by a subjective standard rather than by an objective standard. That cannot be the case as an occupier would never know the standard of care owed as the occupier would not know the specific knowledge and backgrounds of each of the skaters who would be using an arena on a particular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Rather, all patrons are entitled to expect the same duty of care which would generally be owed to the type of patron that was on the ice at the time. For figure skaters, the duty of care which was reasonable for ice being used by figure skaters would be the same for each skater and not on whether a particular figure skater was very experienced or was inexperienced. Similarly, experienced recreational skaters were entitled to have the benefit of the type of ice surface which was suitable for inexperienced or young skaters if inexperienced and young skaters were the main users of the ice surface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plaintiff is entitled to damages of $50,000. If the parties do not wish to speak to the question of costs, the plaintiff will be entitled to Party and Party (Scale 3)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6"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30"/>
          <w:headerReference w:type="default" r:id="rId431"/>
          <w:footerReference w:type="even" r:id="rId432"/>
          <w:footerReference w:type="default" r:id="rId433"/>
          <w:headerReference w:type="first" r:id="rId434"/>
          <w:footerReference w:type="first" r:id="rId43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36" w:history="1">
        <w:r>
          <w:rPr>
            <w:rFonts w:ascii="arial" w:eastAsia="arial" w:hAnsi="arial" w:cs="arial"/>
            <w:b/>
            <w:bCs/>
            <w:i/>
            <w:color w:val="0077CC"/>
            <w:kern w:val="32"/>
            <w:sz w:val="28"/>
            <w:szCs w:val="32"/>
            <w:u w:val="single"/>
            <w:shd w:val="clear" w:color="auto" w:fill="FFFFFF"/>
            <w:lang w:val="en-US" w:eastAsia="en-US" w:bidi="ar-SA"/>
          </w:rPr>
          <w:t>Rollins v. Lovely, [2007] B.C.J. No. 2595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 Dickson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16-27,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3,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M041488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2595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2007 BCSC 1752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60 M.V.R. (5th) 40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2007 CarswellBC 2907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163 A.C.W.S. (3d) 248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Richard Scott Leslie Rollins, Plaintiff, and Ronald Frederick Daniel Lovely,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7"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9" w:name="Keywords_20"/>
      <w:bookmarkEnd w:id="139"/>
      <w:r>
        <w:rPr>
          <w:rFonts w:ascii="arial" w:eastAsia="arial" w:hAnsi="arial" w:cs="arial"/>
          <w:b/>
          <w:color w:val="000000"/>
          <w:sz w:val="20"/>
          <w:lang w:val="en-US" w:eastAsia="en-US" w:bidi="ar-SA"/>
        </w:rPr>
        <w:t>Damages — General damages — For personal injuries — Cost of future care — Non-pecuniary damages, including pain and suffering — The defendant was found to be 90 per cent responsible for the accident, and the plaintiff's damages were assessed at $140,200 — He was awarded $40,000 for non-pecuniary loss, as he was ineligible for membership in the ERT or strike force; but the court found his pain related to his hip and groin injuries was not seriously debilitating, and was transient in nature.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injuries — Leg injuries — Age of claimant — 26 to 35 — Non-pecuniary award — $20,001 to $40,000 — The defendant was found to be 90 per cent responsible for the accident, and the plaintiff's damages were assessed at $140,200 — He was awarded $40,000 for non-pecuniary loss, as he was ineligible for membership in the ERT or strike force; but the court found his pain related to his hip and groin injuries was not seriously debilitating, and was transient in nature.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Motor vehicles — Liability of driver — Had the defendant observed the rules of the road the plaintiff would have had sufficient time to make it safely across the street.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0" w:name="Case Summary_19"/>
            <w:bookmarkEnd w:id="14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33-year-old plaintiff sought damages for personal injuries sustained in a motor vehicle accident -- The defendant contested both liability and the amount of damages claimed -- The plaintiff, a police officer, claimed that his career opportunities had been significantly compromised as had his athletic and personal activities by his hip and groin injuries -- HELD: The defendant was found to be 90 per cent responsible for the accident, and the plaintiff's damages were assessed at $140,200 -- The court accepted the plaintiff's evidence and rejected that of the defendant -- Had the defendant observed the rules of the road, the plaintiff would have had sufficient time to make it safely across the street -- The defendant became a hazard after he completed his right turn and sped down the hill toward the crossing the plaintiff's car, distracted and veering into its path -- In so doing, he failed to drive with reasonable care and created the hazardous circumstances that were the primary cause of the accident: excessive speed and prolonged inattention -- However, it was incumbent upon the plaintiff to take greater care as he crossed the westbound lanes, and he ought to have accelerated sooner and sounded the horn -- The plaintiff was 10 per cent negligent and the defendant 90 per cent -- The plaintiff's decision to continue playing as a hockey goalie was not a failure to mitigate, but rather evidence of his positive attitude and the manageable nature of his periodic pain -- He was awarded $40,000 for non-pecuniary loss, as he was ineligible for membership in the ERT or strike force; but the court found his pain was not seriously debilitating, and was transient in nature -- He was awarded $45,200 for lost past income, $50,000 for loss of future earning capacity, $5,000 for costs of future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1" w:name="Legislation Cited_17"/>
      <w:bookmarkEnd w:id="14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8"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438" w:history="1">
        <w:r>
          <w:rPr>
            <w:rFonts w:ascii="arial" w:eastAsia="arial" w:hAnsi="arial" w:cs="arial"/>
            <w:i/>
            <w:color w:val="0077CC"/>
            <w:sz w:val="20"/>
            <w:u w:val="single"/>
            <w:shd w:val="clear" w:color="auto" w:fill="FFFFFF"/>
            <w:lang w:val="en-US" w:eastAsia="en-US" w:bidi="ar-SA"/>
          </w:rPr>
          <w:t>R.S.B.C. 1996, c. 318, s. 176</w:t>
        </w:r>
      </w:hyperlink>
      <w:r>
        <w:rPr>
          <w:rFonts w:ascii="arial" w:eastAsia="arial" w:hAnsi="arial" w:cs="arial"/>
          <w:color w:val="000000"/>
          <w:sz w:val="20"/>
          <w:lang w:val="en-US" w:eastAsia="en-US" w:bidi="ar-SA"/>
        </w:rPr>
        <w:t>(2)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2" w:name="Counsel_19"/>
      <w:bookmarkEnd w:id="14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9" style="position:absolute;z-index:2517821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J.M. Cameron and D. Miura.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J.M. Noble and K. Anderson.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3" w:name="Judgment_20"/>
      <w:bookmarkEnd w:id="143"/>
      <w:r>
        <w:pict>
          <v:line id="_x0000_s1130" style="position:absolute;z-index:2518323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4" w:name="G. DICKSON J."/>
            <w:bookmarkEnd w:id="144"/>
            <w:r>
              <w:rPr>
                <w:rFonts w:ascii="arial" w:eastAsia="arial" w:hAnsi="arial" w:cs="arial"/>
                <w:b/>
                <w:color w:val="000000"/>
                <w:sz w:val="30"/>
                <w:lang w:val="en-US" w:eastAsia="en-US" w:bidi="ar-SA"/>
              </w:rPr>
              <w:t>G. DICKSON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Scott Rollins, claims damages for personal injuries sustained in a motor vehicle accident. The defendant, Ronald Lovely, contests both liability and the quantum of damages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Rollins, on off-duty police officer, was driving northbound across Cameron Street in Burnaby, British Columbia from one mall parking lot to another when he was struck by Mr. Lovely, who was driving westbound on Cameron. Mr. Rollins was injured in the accident and claims that, as a result, his policing and other career opportunities have been significantly compromised, as have his athletic and personal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issues for determination are:</w:t>
      </w:r>
      <w:r>
        <w:rPr>
          <w:rFonts w:ascii="arial" w:eastAsia="arial" w:hAnsi="arial" w:cs="arial"/>
          <w:sz w:val="20"/>
          <w:lang w:val="en-US" w:eastAsia="en-US" w:bidi="ar-SA"/>
        </w:rPr>
        <w:cr/>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is responsible for the accident, and to what extent?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injuries did Mr. Rollins suffer as a result of the accident?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effect of Mr. Rollins' injuries on his personal and professional life?</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Mr. Rollins properly mitigated 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Rollins is, at present, a thirty-three year old police officer employed by the Vancouver Police Department (the "VPD"). He lives with his wife, Amanda, and young daughter, Ella, in Port Coquitlam,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accident occurred in the late afternoon of July 23, 2002 near the intersection of North Road and Cameron Street in Burnaby. North Road runs north and south and Cameron Street runs east and west. The intersection is controlled by traffic lights and a shopping mall is located on both sides.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Cameron Street has two eastbound lanes, two westbound lanes, and a center turning lane with a median. There are two mall parking lots on either side of Cameron which have entrance lanes that face one another directly. In the entranceway area of Cameron there is a break in the median dividing the east and westbound lanes.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mall entranceway area of Cameron is located approximately 55 to 60 yards west of the North Road and Cameron intersection. The intersection is elevated above the entranceway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the day of the accident Mr. Rollins and his wife (then girlfriend), Amanda, wanted to rent a movie and decided, for this purpose, to drive from the mall lot on the south side of Cameron to the mall lot located across the street, on the north. Mr. Rollins was driving. Ms. Rollins was in the front passenger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day was clear and the roads were dry. Mr. Rollins was familiar with the area and had driven straight across Cameron Street from one lot to the other on many previous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Rollins stopped his car prior to entering the eastbound lanes of Cameron Street from the south side mall lot. He looked to the left to make sure that no eastbound traffic was approaching and, as there was none, drove to the center of Cameron in the area where the median breaks. There he stopped his car again, this time to look right to check for westbound traffic approaching on Cameron.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Rollins and Mr. Lovely take very different positions as to what happened next. It is appropriate, therefore, to summarize the key testimony, opposing positions and my factual findings on this contentious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Rollins testified that, when he checked to his right from the centre area, there were no cars travelling westbound on Cameron, although he noticed a burgundy car was proceeding south on North Road in either the second or turning lane. Because the way was clear on Cameron, he said, he began to drive across the westbound lanes.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According to Mr. Rollins, as he was crossing the westbound lanes he sensed something to his right at the point when he had reached the curb lane. At the same moment, he heard his wife call out "He's not looking". He looked right again and saw the burgundy car speeding toward them with its driver, Mr. Lovely, looking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Rollins accelerated hard in an attempt to avoid a collision and almost made it off of Cameron Street, into the north mall entranceway. Unfortunately, however, approximately two feet of his car remained on Cameron when it was struck by the Lovely car. Mr. Rollins estimated the Lovely car's speed at the time of impact at approximately 60 to 70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Rollins testified that the Lovely car was approximately 30 yards away from his own on Cameron when he first saw it bearing down upon him. He could tell that Mr. Lovely did not see him, but he did not honk his horn. Mr. Lovely took no evasive action prior to the collision and Mr. Rollins conceded that the collision might have been avoided had the Lovely car turned a bit to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Rollins' evidence regarding the accident was similar to that of her husband. She confirmed that Mr. Rollins checked to the right from the centre median area of Cameron and testified that she, too, looked to the right when the Rollins car was stopped in the centre lane. Like her husband, she saw the Lovely car on North Road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According to Ms. Rollins, Mr. Rollins began to cross the westbound lanes of Cameron after he had checked to the right and determined that the way was clear. When he began to cross she was not worried about the safety of the crossing manoeuvre.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the Rollins car proceeded across the westbound lanes Ms. Rollins looked to the right again. This time she saw the Lovely car accelerating toward them and curving to the right. Its driver, Mr. Lovely, was looking down. Ms. Rollins yelled out a warning to her husband, who accelerated, but did not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Kelly Reid was an independent witness. She was the driver of a car facing north at the intersection of North Road and Cameron when she observed the Lovely car travelling south, about to turn right onto Cameron to proceed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Reid intended to turn left at the intersection so that she, too, could proceed west on Cameron. She decided to wait for the Lovely car to complete its right turn, however, which it did, she said, widely and straddling two lanes.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Reid turned left onto Cameron after the Lovely car had turned right. She drove behind the Lovely car and watched as it accelerated rapidly while it travelled west down Cameron toward the Rollins car. Ms. Reid testified that Mr. Lovely was veering to the right as he sped down the hill and she could see that he was looking down. Like Mr. Rollins, she approximated Mr. Lovely's speed at 60 to 70 kilometres per hour at the time of impact. She testified that the Lovely car did not brake or skid in any way prior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Reid had just turned onto Cameron when she first noticed the Rollins car crossing the westbound lanes toward the mall lot entranceway. She said that, in her opinion based on her experience, when she first saw the Rollins car it had more than enough time to reach the entranceway. That changed, however, because the Lovely car began to speed and veer into the path of the crossing Rollins car. Ms. Reid was unable to say whether the Rollins car or the Lovely car came into the westbound lanes of Cameron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Lovely challenges Mr. Rollins' credibility and, in particular, his account of how the accident occurred. He alleges that he was already approaching westbound on Cameron when Mr. Rollins began to cross the westbound lanes, directly into his path.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According to Mr. Lovely, when he turned the corner at the intersection of North Road and Cameron and began to travel westbound the road ahead of him was unobstructed and clear. His attention was briefly diverted by a ringing cell phone, however, and this caused him to look down for one or two seconds. When he looked back up again he saw the Rollins car crossing in front of him and veered to the left to try to avoid it, but did not succeed. He estimated his speed at 50 kilometres per hour at the time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Mr. Lovely's submission, Mr. Rollins' claim that the Lovely car was not yet approaching westbound on Cameron when he left the center median area and began to cross is not credible. This is apparent, he says, because Mr. Rollins has made prior inconsistent statements and it is inherently unlikely the collision would have occurred in the manner he describes.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Despite Mr. Lovely's arguments, I accept Mr. Rollins' evidence regarding the circumstances of the accident. His evidence is corroborated in a number of important respects by that of Ms. Rollins and Ms. Reid, which evidence I also accept. In so far as Mr. Rollins' evidence differs from that of Mr. Lovely, I accept the evidence of Mr. Rollins and reject the evidence of Mr. Lovely.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conclude that the Lovely car had not yet turned onto Cameron when, from the centre median area, Mr. Rollins checked to the right for westbound traffic. He saw no traffic approaching directly, although he did see the Lovely car in the turning lane at the North Road intersection when it was about to commence its right turn. Had Mr. Lovely turned right onto Cameron without speeding and veering to the right I am satisfied that Mr. Rollins had sufficient time to get across the westbound lanes.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After Mr. Rollins determined that there was no westbound traffic approaching directly he began to cross the westbound lanes of Cameron toward the mall entranceway. As he began his crossing manoeuvre, he was looking straight ahead. He continued to do so until Ms. Rollins yelled "He's not looking," at which time Mr. Rollins looked right again and saw the Lovely car bearing down upon him rapidly. He accelerated hard, but just failed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am satisfied that the collision would probably have been avoided if, rather than looking straight ahead as he crossed Cameron, Mr. Rollins had continued to glance to his right, honked his horn as soon as the Lovely car began speeding and veering toward him, and accelerated at an earlier point than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accept that Mr. Lovely was travelling at approximately 60 to 70 kilometres per hour when he collided with the Rollins car. He was not watching the road during the entire time he was driving on Cameron Street and, because he was distracted, he veered to the right toward the Rollins car as he sped down the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to Mr. Rollins' alleged prior inconsistent statements, I conclude that, although sincere, Ms. Sandhu, the Dial-A-Claim employee who took Mr. Rollins' telephone statement, did not understand clearly what he was trying to tell her. In particular, I accept Mr. Rollins' testimony that he did not tell Ms. Sandhu he saw Mr. Lovely turn westbound onto Cameron from North Road before he began to cross the westbound lanes. In addition, in my view, the statement recorded in Dr. Gouws' report - "He had noticed a Thunderbird that was travelling south on North Road and turning west onto Cameron " - is probably an error and, in any event, is ambiguous. Neither statement detracts from Mr. Rollins'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Rollins and Mr. Lovely were both upset after the accident. There was a verbal confrontation in the parking lot and Mr. Rollins pushed Mr. Lovely away when he approached. Control was quickly regained, however, and the necessary information was exchanged.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Section 176(2)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about to enter or cross a highway from an alley, lane, driveway, building or private road must yield the right of way to traffic approaching on the highway so closely that it constitutes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When does an approaching vehicle constitute an "immediate hazard"? This question was considered by the British Columbia Court of Appeal in </w:t>
      </w:r>
      <w:r>
        <w:rPr>
          <w:rFonts w:ascii="arial" w:eastAsia="arial" w:hAnsi="arial" w:cs="arial"/>
          <w:b/>
          <w:i/>
          <w:color w:val="000000"/>
          <w:sz w:val="20"/>
          <w:lang w:val="en-US" w:eastAsia="en-US" w:bidi="ar-SA"/>
        </w:rPr>
        <w:t>Raie v. Thorpe</w:t>
      </w:r>
      <w:r>
        <w:rPr>
          <w:rFonts w:ascii="arial" w:eastAsia="arial" w:hAnsi="arial" w:cs="arial"/>
          <w:color w:val="000000"/>
          <w:sz w:val="20"/>
          <w:lang w:val="en-US" w:eastAsia="en-US" w:bidi="ar-SA"/>
        </w:rPr>
        <w:t xml:space="preserve"> (1963), 43 W.W.R. 405, a left turn case. In </w:t>
      </w:r>
      <w:r>
        <w:rPr>
          <w:rFonts w:ascii="arial" w:eastAsia="arial" w:hAnsi="arial" w:cs="arial"/>
          <w:b/>
          <w:i/>
          <w:color w:val="000000"/>
          <w:sz w:val="20"/>
          <w:lang w:val="en-US" w:eastAsia="en-US" w:bidi="ar-SA"/>
        </w:rPr>
        <w:t>Raie</w:t>
      </w:r>
      <w:r>
        <w:rPr>
          <w:rFonts w:ascii="arial" w:eastAsia="arial" w:hAnsi="arial" w:cs="arial"/>
          <w:color w:val="000000"/>
          <w:sz w:val="20"/>
          <w:lang w:val="en-US" w:eastAsia="en-US" w:bidi="ar-SA"/>
        </w:rPr>
        <w:t>, Tysoe J.A. stated at p. 410: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propose to attempt an exhaustive definition of "immediate hazard". For the purposes of this appeal it is sufficient for me to say that, in my opinion, if an approaching car is so close to the intersection when a driver attempts to make a left turn that a collision threatens unless there be some violent or sudden avoiding action on the part of the driver of the approaching car, the approaching car is an "immediate hazard" within the meaning of section 164.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question of immediate hazard and right of way is to be assessed temporally in the moment before the driver proposing to make the manoeuvre at issue commences to make it: </w:t>
      </w:r>
      <w:r>
        <w:rPr>
          <w:rFonts w:ascii="arial" w:eastAsia="arial" w:hAnsi="arial" w:cs="arial"/>
          <w:b/>
          <w:i/>
          <w:color w:val="000000"/>
          <w:sz w:val="20"/>
          <w:lang w:val="en-US" w:eastAsia="en-US" w:bidi="ar-SA"/>
        </w:rPr>
        <w:t>Raie</w:t>
      </w:r>
      <w:r>
        <w:rPr>
          <w:rFonts w:ascii="arial" w:eastAsia="arial" w:hAnsi="arial" w:cs="arial"/>
          <w:color w:val="000000"/>
          <w:sz w:val="20"/>
          <w:lang w:val="en-US" w:eastAsia="en-US" w:bidi="ar-SA"/>
        </w:rPr>
        <w:t xml:space="preserve">, pp. 413-414. If an approaching car does not present an immediate hazard when the manoeuvre is commenced but later creates one by unreasonable conduct such as speeding the approaching driver will be held responsible for an ensuring collision: </w:t>
      </w:r>
      <w:r>
        <w:rPr>
          <w:rFonts w:ascii="arial" w:eastAsia="arial" w:hAnsi="arial" w:cs="arial"/>
          <w:b/>
          <w:i/>
          <w:color w:val="000000"/>
          <w:sz w:val="20"/>
          <w:lang w:val="en-US" w:eastAsia="en-US" w:bidi="ar-SA"/>
        </w:rPr>
        <w:t>Devidi v. Lam</w:t>
      </w:r>
      <w:r>
        <w:rPr>
          <w:rFonts w:ascii="arial" w:eastAsia="arial" w:hAnsi="arial" w:cs="arial"/>
          <w:color w:val="000000"/>
          <w:sz w:val="20"/>
          <w:lang w:val="en-US" w:eastAsia="en-US" w:bidi="ar-SA"/>
        </w:rPr>
        <w:t xml:space="preserve">, </w:t>
      </w:r>
      <w:hyperlink r:id="rId439" w:history="1">
        <w:r>
          <w:rPr>
            <w:rFonts w:ascii="arial" w:eastAsia="arial" w:hAnsi="arial" w:cs="arial"/>
            <w:i/>
            <w:color w:val="0077CC"/>
            <w:sz w:val="20"/>
            <w:u w:val="single"/>
            <w:shd w:val="clear" w:color="auto" w:fill="FFFFFF"/>
            <w:lang w:val="en-US" w:eastAsia="en-US" w:bidi="ar-SA"/>
          </w:rPr>
          <w:t>[1998] B.C.J. No. 912</w:t>
        </w:r>
      </w:hyperlink>
      <w:r>
        <w:rPr>
          <w:rFonts w:ascii="arial" w:eastAsia="arial" w:hAnsi="arial" w:cs="arial"/>
          <w:color w:val="000000"/>
          <w:sz w:val="20"/>
          <w:lang w:val="en-US" w:eastAsia="en-US" w:bidi="ar-SA"/>
        </w:rPr>
        <w:t xml:space="preserve"> (1998) CanLII 6405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When a driver concludes, reasonably, that no immediate hazard is posed by oncoming traffic and commences to cross a multi-lane highway care must be taken to keep a proper lookout as each lane is crossed: </w:t>
      </w:r>
      <w:r>
        <w:rPr>
          <w:rFonts w:ascii="arial" w:eastAsia="arial" w:hAnsi="arial" w:cs="arial"/>
          <w:b/>
          <w:i/>
          <w:color w:val="000000"/>
          <w:sz w:val="20"/>
          <w:lang w:val="en-US" w:eastAsia="en-US" w:bidi="ar-SA"/>
        </w:rPr>
        <w:t>Carich v. Cook</w:t>
      </w:r>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[1992] 90 D.L.R. (4th) 322</w:t>
        </w:r>
      </w:hyperlink>
      <w:r>
        <w:rPr>
          <w:rFonts w:ascii="arial" w:eastAsia="arial" w:hAnsi="arial" w:cs="arial"/>
          <w:color w:val="000000"/>
          <w:sz w:val="20"/>
          <w:lang w:val="en-US" w:eastAsia="en-US" w:bidi="ar-SA"/>
        </w:rPr>
        <w:t xml:space="preserve"> (BCCA) p. 326. In the words of Lambert J.A. in </w:t>
      </w:r>
      <w:r>
        <w:rPr>
          <w:rFonts w:ascii="arial" w:eastAsia="arial" w:hAnsi="arial" w:cs="arial"/>
          <w:b/>
          <w:i/>
          <w:color w:val="000000"/>
          <w:sz w:val="20"/>
          <w:lang w:val="en-US" w:eastAsia="en-US" w:bidi="ar-SA"/>
        </w:rPr>
        <w:t>Carich</w:t>
      </w:r>
      <w:r>
        <w:rPr>
          <w:rFonts w:ascii="arial" w:eastAsia="arial" w:hAnsi="arial" w:cs="arial"/>
          <w:color w:val="000000"/>
          <w:sz w:val="20"/>
          <w:lang w:val="en-US" w:eastAsia="en-US" w:bidi="ar-SA"/>
        </w:rPr>
        <w:t>, another left turn case that applies by analogy: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as a driver turns left is whether there is any vehicle in any approaching lanes that constitutes an immediate hazard. If there is, the turn should not be made. If there is not, then the turn can be made and of course, care should be taken throughout the turn and as each new lane is entered to make sure that the situation as it was assessed when the turn started has not changed in the meantime. But that care is more a matter of the ordinary duty of a reasonably careful driver and not a duty, in my view, imposed specifically by s. 176 which, in my view, states the situation when the turn is commenced. Once the turn is commenced both of the drivers in that situation, the one who is doing a left turn and the ones that are approaching straight ahead in a situation where a vehicle could turn in front of them, all must keep a proper look-out.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Drivers are generally entitled to assume others will observe the rules of the road, except where they know or should know otherwise: </w:t>
      </w:r>
      <w:r>
        <w:rPr>
          <w:rFonts w:ascii="arial" w:eastAsia="arial" w:hAnsi="arial" w:cs="arial"/>
          <w:b/>
          <w:i/>
          <w:color w:val="000000"/>
          <w:sz w:val="20"/>
          <w:lang w:val="en-US" w:eastAsia="en-US" w:bidi="ar-SA"/>
        </w:rPr>
        <w:t>Kamoschinski v. Hein</w:t>
      </w:r>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[1989] B.C.J. No. 909</w:t>
        </w:r>
      </w:hyperlink>
      <w:r>
        <w:rPr>
          <w:rFonts w:ascii="arial" w:eastAsia="arial" w:hAnsi="arial" w:cs="arial"/>
          <w:color w:val="000000"/>
          <w:sz w:val="20"/>
          <w:lang w:val="en-US" w:eastAsia="en-US" w:bidi="ar-SA"/>
        </w:rPr>
        <w:t xml:space="preserve">. As noted by Drossos Co. Ct. J. in </w:t>
      </w:r>
      <w:r>
        <w:rPr>
          <w:rFonts w:ascii="arial" w:eastAsia="arial" w:hAnsi="arial" w:cs="arial"/>
          <w:b/>
          <w:i/>
          <w:color w:val="000000"/>
          <w:sz w:val="20"/>
          <w:lang w:val="en-US" w:eastAsia="en-US" w:bidi="ar-SA"/>
        </w:rPr>
        <w:t>Kamoschinski</w:t>
      </w:r>
      <w:r>
        <w:rPr>
          <w:rFonts w:ascii="arial" w:eastAsia="arial" w:hAnsi="arial" w:cs="arial"/>
          <w:color w:val="000000"/>
          <w:sz w:val="20"/>
          <w:lang w:val="en-US" w:eastAsia="en-US" w:bidi="ar-SA"/>
        </w:rPr>
        <w:t xml:space="preserve">, however, this general rule is limited to the extent described by Lord Dunedin in </w:t>
      </w:r>
      <w:r>
        <w:rPr>
          <w:rFonts w:ascii="arial" w:eastAsia="arial" w:hAnsi="arial" w:cs="arial"/>
          <w:b/>
          <w:i/>
          <w:color w:val="000000"/>
          <w:sz w:val="20"/>
          <w:lang w:val="en-US" w:eastAsia="en-US" w:bidi="ar-SA"/>
        </w:rPr>
        <w:t>Fardon v. Harcourt-Rivington</w:t>
      </w:r>
      <w:r>
        <w:rPr>
          <w:rFonts w:ascii="arial" w:eastAsia="arial" w:hAnsi="arial" w:cs="arial"/>
          <w:color w:val="000000"/>
          <w:sz w:val="20"/>
          <w:lang w:val="en-US" w:eastAsia="en-US" w:bidi="ar-SA"/>
        </w:rPr>
        <w:t xml:space="preserve"> (1932), 48 T.L.R. 215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root of this liability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what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depends on the facts with which you have to deal. If the possibility of the danger emerging is reasonably apparent, then to take no precautions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if the possibility of danger emerging is only a mere possibility which would never occur to the mind of a reasonable man, then there is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not having taken extraordinary precautions.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All drivers, whether dominant or servient, have a common law duty of care to avoid a collision which can reasonably be foreseen and avoided: </w:t>
      </w:r>
      <w:r>
        <w:rPr>
          <w:rFonts w:ascii="arial" w:eastAsia="arial" w:hAnsi="arial" w:cs="arial"/>
          <w:b/>
          <w:i/>
          <w:color w:val="000000"/>
          <w:sz w:val="20"/>
          <w:lang w:val="en-US" w:eastAsia="en-US" w:bidi="ar-SA"/>
        </w:rPr>
        <w:t>Atchison v. Kummetz</w:t>
      </w:r>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(1995), 14 M.V.R. (2d) 271</w:t>
        </w:r>
      </w:hyperlink>
      <w:r>
        <w:rPr>
          <w:rFonts w:ascii="arial" w:eastAsia="arial" w:hAnsi="arial" w:cs="arial"/>
          <w:color w:val="000000"/>
          <w:sz w:val="20"/>
          <w:lang w:val="en-US" w:eastAsia="en-US" w:bidi="ar-SA"/>
        </w:rPr>
        <w:t xml:space="preserve"> (BCCA). Where a dominant driver poses an immediate hazard, the burden of proof on the servient driver to cast a portion of the blame on the dominant driver is significant. In the words of Cartwright J. in </w:t>
      </w:r>
      <w:r>
        <w:rPr>
          <w:rFonts w:ascii="arial" w:eastAsia="arial" w:hAnsi="arial" w:cs="arial"/>
          <w:b/>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decision of every motor vehicle collision case must depend on its particular facts, I am of the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 mali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Mr. Rollins was the driver of a vehicle crossing a highway from a laneway when he began to cross the westbound lanes of Cameron. As such, he was obliged to yield the right of way to traffic approaching so closely that it constituted an immediate hazard: s. 176(2),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Was Mr. Lovely the driver of such a vehicle at that point? In my view, he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When Mr. Rollins began his crossing manoeuvre Mr. Lovely had not yet turned right onto Cameron, although I am satisfied that it was reasonably apparent he was about to do so. At that time, Mr. Lovely was not approaching so closely that a collision threatened unless he was to take evasive action. On the contrary, had Mr. Lovely observed the rules of the road Mr. Rollins would have had sufficient time to make it safely across Cameron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As in </w:t>
      </w:r>
      <w:r>
        <w:rPr>
          <w:rFonts w:ascii="arial" w:eastAsia="arial" w:hAnsi="arial" w:cs="arial"/>
          <w:b/>
          <w:i/>
          <w:color w:val="000000"/>
          <w:sz w:val="20"/>
          <w:lang w:val="en-US" w:eastAsia="en-US" w:bidi="ar-SA"/>
        </w:rPr>
        <w:t>Devidi</w:t>
      </w:r>
      <w:r>
        <w:rPr>
          <w:rFonts w:ascii="arial" w:eastAsia="arial" w:hAnsi="arial" w:cs="arial"/>
          <w:color w:val="000000"/>
          <w:sz w:val="20"/>
          <w:lang w:val="en-US" w:eastAsia="en-US" w:bidi="ar-SA"/>
        </w:rPr>
        <w:t>, however, the situation changed in the midst of Mr. Rollins' driving manoeuvre. Mr. Lovely became a hazard after he completed his right turn and sped down the hill toward the crossing Rollins car, distracted and veering into its path. In so doing, he failed to drive with reasonable care and created the hazardous circumstances that were the primary cause of the accident: excessive speed and prolonged inattention. The hazard created by his conduct was particularly dangerous given the proximity of the intersection and the centre median crossing area between the two malls.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Although Mr. Lovely is, in my view, primarily responsible for the collision, Mr. Rollins must also bear some of the responsibility. As noted in </w:t>
      </w:r>
      <w:r>
        <w:rPr>
          <w:rFonts w:ascii="arial" w:eastAsia="arial" w:hAnsi="arial" w:cs="arial"/>
          <w:b/>
          <w:i/>
          <w:color w:val="000000"/>
          <w:sz w:val="20"/>
          <w:lang w:val="en-US" w:eastAsia="en-US" w:bidi="ar-SA"/>
        </w:rPr>
        <w:t>Carich</w:t>
      </w:r>
      <w:r>
        <w:rPr>
          <w:rFonts w:ascii="arial" w:eastAsia="arial" w:hAnsi="arial" w:cs="arial"/>
          <w:color w:val="000000"/>
          <w:sz w:val="20"/>
          <w:lang w:val="en-US" w:eastAsia="en-US" w:bidi="ar-SA"/>
        </w:rPr>
        <w:t>, when crossing a multi-lane highway, drivers must take care to keep a proper lookout as each lane is crossed. In this case, Mr. Rollins checked to the right when he began to cross the westbound lanes of Cameron but he did not do so again until Mr. Lovely's car was bearing down upon him. In addition, although he knew Mr. Lovely did not see him, he accelerated but did not attempt to get his attention immediately by honking the horn.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Given the short distance between the intersection and the centre median area, Mr. Lovely's obviously imminent right turn, and the downhill slope of Cameron, which could predictably increase the risk of on-coming vehicles speeding it was incumbent upon Mr. Rollins to take greater care than he did as he crossed the westbound lanes. The possibility of danger emerging was reasonably apparent and the situation should have been assessed on a continuous basis as each new lane was crossed.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Had Mr. Rollins glanced repeatedly to his right as he crossed the westbound lanes of Cameron he would have seen Mr. Lovely speeding distractedly toward him sooner than he did. Had this happened, he would have accelerated sooner and he could and should have sounded his horn. In all of the circumstances, both of these precautionary steps would, in my view, have been taken by a reasonably careful and skilful driver. Taking into account the fact that Mr. Rollins almost avoided the collision without having taken them, I am satisfied that, had he done so, the collision would probably have been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all of the circumstances, I conclude that liability should be apportioned 10% to Mr. Rollins and 90% to Mr. Lovely.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Injury and Its Impact upon Mr. Rollins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accident was significant. Mr. Lovely was travelling 60 to 70 kilometres per hour when he collided with the right rear corner of the Rollins car, causing it to spin more than 90 degrees.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Rollins was undoubtedly injured as a result of the accident. The questions for analysis regarding the appropriate quantum of damages concern the extent of his injury, its impact upon his professional and personal life, and whether he has properly mitigated 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Prior to the accident Mr. Rollins was physically fit and in good health. He excelled in sports and, while at school, played hockey and baseball on a competitive level. He worked out regularly and, in his twenties, enjoyed body building and fitness modelling. Although he experienced "tweaking" in his hip and groin area from time to time in connection with his athletic lifestyle it did not limit his activities and he did not complain about it to his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Rollins demonstrated a strong and consistent work ethic early in life. He began work as a paperboy when he was fourteen and took a job at Safeway at age sixteen. Following high school graduation in 1992 he studied criminology at Kwantlen College part-time and continued to work at Safeway, where he was rapidly promoted. He graduated from Kwantlen College in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Rollins did well at Safeway. He was quickly promoted to a management position and eventually enrolled in a retail development program. He had also submitted an application to join the VPD, however, and, in 2000, shortly after the training program began his VPD application was accepted. Wishing to follow in his father's footsteps, he decided to pursue a policing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Rollins took a leave of absence from Safeway while he trained at the police academy and completed a six-month probationary period as a patrol constable with the VPD. He did well at the police academy, where the physical demands of training were significant, and he graduated in May,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VPD patrol officers typically work eleven-hour shifts, with four days on duty and the following four days off. As a consequence, they have blocks of time in which to do other work should they so choose. Many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Following his VPD probationary period, Mr. Rollins chose to return to work at Safeway on a part-time basis. He worked one eight-hour night shift every week or two organising and shelving products at the Safeway located on Austin Road in Coquitlam. In May, 2002, he also agreed to add an extra two shifts per month at the Lougheed Safeway, commencing in August, 2002, to assist with staffing problems that existed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addition to working full-time as a VPD constable and part-time at Safeway, immediately prior to the accident Mr. Rollins sometimes worked over-time as a police officer and took on extra "call-out" duties. These duties include working on roadblocks, traffic control and security for special events. Many, but not all, call-outs involve a lot of standing around.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Rollins was, and is, an ambitious young police officer. His father, Richard Rollins, was Deputy Chief Constable of the VPD when he retired in 1998 and Mr. Rollins aspired also to rise and succeed in his policing career. Prior to the accident, consistent with his athleticism, his career goals focused primarily on the operational side of police work, particularly membership in the elite Emergency Response Team ("ERT") or Strike Force squad.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Rollins felt pain and stiffness in his neck, lower back and, to a lesser extent, left groin area within hours of the accident. He also developed a headache and nausea. As a result, the next day he went to a walk-in clinic where he was advised to rest and take painkillers and muscle relaxants, which he did. He was also advised not to return to work until he felt able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Rollins saw his family doctor, Dr. Eddy, five days after the accident. He described his neck and back complaints to the doctor, but did not immediately mention hip or groin pain. Despite this omission, I accept that Mr. Rollins experienced pain in his left hip and groin area immediately after the accident and initially interpreted it as a groin pull of the sort he had previously suffered from time to time in sporting activities. I also find that this hip and groin pain was, at the outset, less significant and debilitating from his perspective than the pain in his neck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Eddy's advice was similar to that Mr. Rollins received at the walk-in clinic: to rest and take painkillers and muscle relaxants. He followed it, and missed four shifts of police work. He stopped working at Safeway entirely, however, because, as a result of his injury, he felt unable to manage the physical demands of that job, which included a lot of turning, bending and lifting.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Rollins testified, and I accept, that he returned to his normal police duties quickly despite the fact that he was experiencing on-going discomfort in connection with the injury he suffered in the accident. He did so because of his competitive personality and desire not to be, or appear to be, weak. He also acknowledged, and I find, that, despite his injury, he was able to fulfill all of the sometimes physically demanding requirements of the job. Although he did not take on many extra call-out duties for a few months after the accident, within a short time in addition to his base salary he was earning extra income within the average $10,000 to $15,000 range for combined call-out and over-time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September, 2002, Dr. Eddy referred Mr. Rollins to physiotherapy. He attended at KARP Rehabilitation on several occasions, to positive effect. By January, 2003 he had fully recovered from the injury to his neck and shoulder area and his low back pain had decreased significantly. Within approximately one year, his neck and back complaints were largely resolved, however, those related to his hip and groin area were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Since 2003, Mr. Rollins has attempted multiple treatments, such as acupuncture, chiropractic and physiotherapy, to help address his hip and groin complaint, without significant success. He continues to experience intermittent discomfort in his left hip area over the greater trochanter, with pain sometimes radiating to the area of the left groin. His symptoms increase with running or twisting activities, such as chasing suspects or getting out of a police car. In addition, certain forms of sexual activity, such as the missionary position, can be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Despite his hip and groin complaint, in addition to returning promptly to work Mr. Rollins returned promptly to most of his former athletic activities, including recreational hockey. He plays the goalie position, which predictably taxes his groin area, and has done so well and frequently since the spring of 2003, except for a one year period in which he stopped because of an unrelated knee injury. He also works out regularly in the gym, without any difficulty becoming apparent to a colleague with whom he has exercised and against whom he competes.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precise nature of Mr. Rollins' hip and groin complaint has not been definitively diagnosed by his medical practitioners, although it appears generally to be a soft tissue injury to the pelvic complex. I accept this diagnosis as accurate and find Mr. Rollins' ongoing hip and groin complaint is real and caused by the accident. I also find that it does not interfere significantly with most activities of his current social, athletic and professional life, although he feels transient pain and stiffness after physically demanding work and leisure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Although Mr. Rollins has generally followed medical advice in connection with his injury he did not stop playing hockey, as he was advised by Dr. Schamberger, a physiatrist, to do. Dr. Schamberger assessed Mr. Rollins in November, 2006 and diagnosed a pelvic malalighment with tense and tender left hip abductor muscle and iliotibial band complex. He recommended various treatments, including continued chiropractic and acupuncture and possible prolotherapy injections, and suggested that Mr. Rollins stop sports activities likely to put him back out of alignment, such as running and hockey. Despite this suggestion, Mr. Rollins played hockey on four occasions after Dr. Schamberger's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conclude that Mr. Rollins' failure to follow Dr. Schamberger's recommendation regarding hockey reflects two realities in connection with his hip and groin problem: i) his determination to overcome physical discomfort and pursue activities of his choosing; and, ii) the transient and moderate nature of the pain. He is a highly motivated, stoic person who enjoys physical activity and is unwilling to be held back by periodic painful tweaking and stiffness in his groin. In my view, it is reasonable for Mr. Rollins to continue playing hockey in all of the circumstances and his choice to do so does not amount to a failure to mitigate. Rather, it is evidence of both his positive attitude and the manageable nature of his periodic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Schamberger is optimistic that, with consistent treatment, within one or two years Mr. Rollins has a good chance of reaching the stage where recurrences of malalignment are no more frequent than they would have been in the absence of the accident. He notes, however, that, if Mr. Rollins fails to respond to treatment, "he would conceivably be at risk of developing degenerative changes in that hip earlier and more quickly in the future". Other doctors, such as Dr. Adrian, also a physiatrist, are somewhat more pessimistic regarding the future and consider the prospect for further spontaneous improvement in Mr. Rollins' symptoms or function to be poor.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Given the passage of time since the accident and multiple unsuccessful treatments attempted, I accept Dr. Adrian's relative pessimism regarding Mr. Rollins' future prognosis. In particular, I accept his opinion that "Mr. Rollins will continue to experience exacerbation of his pain symptoms that will require further temporary modification of his activities". I am satisfied, however, that the temporary modifications undertaken and required have been, and will continue to be, modest and involve avoidance of, but not abstention from, lengthy periods of standing, walking, running, and twisting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Rollins is a highly competent and professional patrol officer. As noted, when he joined the VPD his goal was to join the ERT or Strike Force squad. As is typical, he has worked as a regular patrol officer in the early years of his policing career. In 2005, he was approached by supervisors of these specialty squads about the possibility of becoming a member. Due to his hip injury, however, he doubted his physical ability to meet the extraordinary physical testing and requirements associated with that work and, with considerable sadness, declined.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accept the opinion of Dr. Gouws, an occupational health physician, that Mr. Rollins is no longer a suitable candidate for the ERT and Strike Force squads as a result of his hip and joint injury. Although he is able to fulfill the physical requirements of ordinary policing duties, it would be unsafe for him to work in this environment because of the extra running, twisting and other physical demands of the job and the compromise, albeit intermittent and moderate, to his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also accept that, but for the hip injury, despite the limited number of positions and stiff competition, Mr. Rollins would probably have been accepted as a member of the ERT or Strike Force squads. Sergeant Harris and others testified convincingly regarding Mr. Rollins talent and potential and I am satisfied that he probably would have reached this important career goal. I am also satisfied that its loss has been deeply distressing for Mr. Rollins.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Despite his inability to join the ERT and Strike Force squads, Mr. Rollins has many opportunities to advance and succeed within the VPD in other, less physically demanding specialty squads. He is obliged to mitigate his loss and pursue these opportunities, and I have no doubt that this is what he will do. As would be expected from an individual of such determination and ability, Mr. Rollins has not given up on the prospect of promotion and, in March, 2007, he wrote and passed VPD exams for the acting supervisor/sergeant position he had been fulfilling for his patrol squad.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Counsel for Mr. Lovely submitted that Mr. Rollins deliberately misled the court by failing to mention the VPD exam and acting supervisor/sergeant position in his trial testimony in connection with the prospect of future promotion. Surprisingly, that information came from Amanda Rollins in cross-examination rather than directly from Mr. Rollins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Despite defence counsel's forceful and fair submissions on credibility, I am not satisfied, based on this omission and other weaknesses in some of his testimony, that Mr. Rollins was a generally untruthful or unreliable witness. On the contrary, as is apparent from the foregoing, I accept much of his description of what occurred and its effect upon his life. I agree, however, that Mr. Rollins' failure to mention such an obviously relevant matter does not reflect well on his evidence regarding his future prospects within the VPD and I view it as a significant error in judgment. Mr. Rollins is an intelligent and sophisticated individual. Although counsel attempted to take responsibility for that misjudgment, it is a responsibility that Mr. Rollins must share.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Rollins submits that he has suffered a significant and chronic injury to his left hip and groin area and, as a result, his ability to enjoy leisure activities and stay in excellent physical shape has been compromised. In addition, sexual relations with his wife have been affected and he has experienced emotional trauma in connection with his reduced function and employment prospects. In the result, he submits that an award of $125,000 in non-pecuniary damages should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support of his submission, Mr. Rollins cited </w:t>
      </w:r>
      <w:r>
        <w:rPr>
          <w:rFonts w:ascii="arial" w:eastAsia="arial" w:hAnsi="arial" w:cs="arial"/>
          <w:b/>
          <w:i/>
          <w:color w:val="000000"/>
          <w:sz w:val="20"/>
          <w:lang w:val="en-US" w:eastAsia="en-US" w:bidi="ar-SA"/>
        </w:rPr>
        <w:t>Skoda v. Kim</w:t>
      </w:r>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[1997] B.C.J. No. 2568</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Kosugi v. Krueger</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[2007] B.C.J. No. 409</w:t>
        </w:r>
      </w:hyperlink>
      <w:r>
        <w:rPr>
          <w:rFonts w:ascii="arial" w:eastAsia="arial" w:hAnsi="arial" w:cs="arial"/>
          <w:color w:val="000000"/>
          <w:sz w:val="20"/>
          <w:lang w:val="en-US" w:eastAsia="en-US" w:bidi="ar-SA"/>
        </w:rPr>
        <w:t>. In my view, the injuries at issue in both cases, and their effects, were much more serious than those suffered by Mr. Rollins.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Skoda</w:t>
      </w:r>
      <w:r>
        <w:rPr>
          <w:rFonts w:ascii="arial" w:eastAsia="arial" w:hAnsi="arial" w:cs="arial"/>
          <w:color w:val="000000"/>
          <w:sz w:val="20"/>
          <w:lang w:val="en-US" w:eastAsia="en-US" w:bidi="ar-SA"/>
        </w:rPr>
        <w:t>, the plaintiff experienced persistent chronic hip pain in connection with all normal activity, including reclining, sitting, standing or walking. He was impaired in self-care and ambulation skills, as well as in his ability to return to work as a concrete worker, or any other vocation with physical demands. In these circumstances, $140,000 in non-pecuniary loss was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Kosugi</w:t>
      </w:r>
      <w:r>
        <w:rPr>
          <w:rFonts w:ascii="arial" w:eastAsia="arial" w:hAnsi="arial" w:cs="arial"/>
          <w:color w:val="000000"/>
          <w:sz w:val="20"/>
          <w:lang w:val="en-US" w:eastAsia="en-US" w:bidi="ar-SA"/>
        </w:rPr>
        <w:t>, the plaintiff suffered from permanent ongoing pain in her back and left buttock and was, as a result, partially disabled and dramatically limited in her activities. She had difficulty sleeping as a result of her pain, suffered constant fatigue and was depressed. An award of $110,000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According to defence counsel the appropriate range of damages for non-pecuniary loss for hip injuries of the sort suffered by Mr. Rollins is $30,000 to $40,000. In support, he cites </w:t>
      </w:r>
      <w:r>
        <w:rPr>
          <w:rFonts w:ascii="arial" w:eastAsia="arial" w:hAnsi="arial" w:cs="arial"/>
          <w:b/>
          <w:i/>
          <w:color w:val="000000"/>
          <w:sz w:val="20"/>
          <w:lang w:val="en-US" w:eastAsia="en-US" w:bidi="ar-SA"/>
        </w:rPr>
        <w:t>Farewell v. Cook</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[1999] B.C.J. No. 1801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Ewing v. Sidhu</w:t>
      </w:r>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[2000] B.C.J. No. 1528</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MacCarthy v. Singh</w:t>
      </w:r>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[1997] B.C.J. No. 2782</w:t>
        </w:r>
      </w:hyperlink>
      <w:r>
        <w:rPr>
          <w:rFonts w:ascii="arial" w:eastAsia="arial" w:hAnsi="arial" w:cs="arial"/>
          <w:color w:val="000000"/>
          <w:sz w:val="20"/>
          <w:lang w:val="en-US" w:eastAsia="en-US" w:bidi="ar-SA"/>
        </w:rPr>
        <w:t xml:space="preserve"> and urges an award at the lower end of the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have concluded that, due to his hip and groin injury, Mr. Rollins is no longer eligible for membership in the ERT or Strike Force squads of the VPD and this, from his perspective, is a significant and distressing loss. He is, however, a competent, resilient individual who will nonetheless continue to fare well in his career, social and recreational pursuits and maintain a physically active, enjoyable lifestyle despite the intermittent groin pain he experiences. His pain is not seriously debilitating and it is transient in nature. In all of the circumstances, I award $40,000 for non-pecuniary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As noted, prior to the accident Mr. Rollins worked part-time at Safeway in addition to his full-time, overtime and call-out police work. He earned approximately $600 per month at Safeway and was planning to increase his hours to something in range of $900 per month. He testified that, but for the accident, he would have continued to work at Safeway until he was in a position to take on more demanding and remunerative police specialty work. He estimated that this would likely have occurred by January, 2005 and seeks a total award of $27,300 for past income loss in connection with his Safeway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Rollins also seeks an award for past income loss for over-time and call-out duties he says he was unable to perform as a result of his hip injury. In particular, he seeks $1,200 for the week of work lost immediately following the accident, $30,000 for loss of call-out assignments for the period June, 2002 to June, 2005 (ie., $10,000 per year) and lost overtime of $22,500 for the period from June, 2005 on the basis that he would have become a member of the ERT by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evidence reveals that patrol officers typically earn an annual average of $10,000 to $15,000 over their base salary for combined over-time and call-out duties. ERT members, on the other hand, typically earn an annual average for such work in the $25,000 to $30,000 range. Members of several other specialty squads, such as drugs and gangs, also earn more than the ordinary combined over-time and call-out income levels on an annual basis. Taking into account all of the evidence, I conclude that there is, on average, a $15,000 differential in available combined over-time and call-out income between ordinary patrol work, on the one hand, and specialty squad work, on the other. I also accept that membership in specialty squads such as ERT and Strike Force is limited to approximately five years in duration, due, in part, to the extreme physical demands of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have concluded that Mr. Rollins was unable to continue working at Safeway as a result of his hip and groin injury. This conclusion relates to both Safeway locations and assumes a past income loss of approximately $900 per month for approximately three years. The sum awarded must be net of income taxes and employment insurance benefits. In all of the circumstances, I award $22,000 for this loss. In addition, I award $1,200 for past income loss for the week of patrol duties 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am not satisfied, however, that Mr. Rollins has established a past income loss in connection with lost over-time and call-out duties except for a brief period immediately following the accident. Taking into account all of the evidence, I conclude that Mr. Rollins would likely have earned an additional $2,000 for over-time and call-out duties in the latter part of 2002 but for the accident. Accordingly, I award this sum.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As previously noted, I accept that, but for the accident, Mr. Rollins would probably have met his goal of joining the ERT or Strike Force squads within the VPD. Taking into account the fact that he was approached by his supervisors in 2005, I conclude that he would probably have joined one of these squads by early 2006 and award the sum of $20,000 for the difference in extra income he would likely have earned for over-time and special off-duty assignments.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Mr. Rollins seeks an award in excess of $500,000 for his future loss of income and income earning capacity. In his submission, he will continue, well into the future, to lose extra income of $15,000 to $30,000 per year for over-time and special off-duty work as a member of the ERT or Strike Force squads. In addition, his promotional competitiveness is diminished because he cannot gain experience in these special operational squads and his income earning capacity, viewed as a capital asset, has been seriously compromised as a result: see </w:t>
      </w:r>
      <w:r>
        <w:rPr>
          <w:rFonts w:ascii="arial" w:eastAsia="arial" w:hAnsi="arial" w:cs="arial"/>
          <w:b/>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[1999] B.C.J. No. 270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Pallos v. I.C.B.C.</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two possible approaches to assessing future income loss were identified: i) analysing the impairment of the capital asset that is a person's income earning capacity; and, ii) determining whether there is a real or substantial possibility of future events taking place which will lead to an income loss: </w:t>
      </w:r>
      <w:r>
        <w:rPr>
          <w:rFonts w:ascii="arial" w:eastAsia="arial" w:hAnsi="arial" w:cs="arial"/>
          <w:b/>
          <w:i/>
          <w:color w:val="000000"/>
          <w:sz w:val="20"/>
          <w:lang w:val="en-US" w:eastAsia="en-US" w:bidi="ar-SA"/>
        </w:rPr>
        <w:t>MacCarthy v. Singh</w:t>
      </w:r>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[1997] B.C.J. No. 2782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two approaches to assessing future income loss should not be treated as separate and distinct heads of damages and all relevant factors, including the individual's future potential, must be taken into account in reaching an award that is reasonable: </w:t>
      </w:r>
      <w:r>
        <w:rPr>
          <w:rFonts w:ascii="arial" w:eastAsia="arial" w:hAnsi="arial" w:cs="arial"/>
          <w:b/>
          <w:i/>
          <w:color w:val="000000"/>
          <w:sz w:val="20"/>
          <w:lang w:val="en-US" w:eastAsia="en-US" w:bidi="ar-SA"/>
        </w:rPr>
        <w:t>Friesen v. Pretorius Estate</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(1997), 37 B.C.L.R. (3d) 255</w:t>
        </w:r>
      </w:hyperlink>
      <w:r>
        <w:rPr>
          <w:rFonts w:ascii="arial" w:eastAsia="arial" w:hAnsi="arial" w:cs="arial"/>
          <w:color w:val="000000"/>
          <w:sz w:val="20"/>
          <w:lang w:val="en-US" w:eastAsia="en-US" w:bidi="ar-SA"/>
        </w:rPr>
        <w:t xml:space="preserve">. The task of the court is to assess damages, not to calculate them according to a mathematical formula: </w:t>
      </w:r>
      <w:r>
        <w:rPr>
          <w:rFonts w:ascii="arial" w:eastAsia="arial" w:hAnsi="arial" w:cs="arial"/>
          <w:b/>
          <w:i/>
          <w:color w:val="000000"/>
          <w:sz w:val="20"/>
          <w:lang w:val="en-US" w:eastAsia="en-US" w:bidi="ar-SA"/>
        </w:rPr>
        <w:t>Durand v. Bolt</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2007 BCSC 480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have concluded that Mr. Rollins has lost the opportunity to earn additional over-time and special duty income as a member of the ERT or Special Strike force as a result of his hip and groin problem. I am, however, satisfied that he is an excellent candidate for another specialty squad, such as drugs or gangs, and that such work will provide him with an enhanced, though slightly lesser, opportunity for such extra income to be earned. Taking into account his intelligence, drive and excellent reputation I conclude that Mr. Rollins will choose to mitigate his loss in this manner and will probably be admitted into a specialty squad other than ERT or Strike Force within approximately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also conclude that Mr. Rollins' prospects for continued promotion within the VPD have been only marginally compromised by his inability to join the ERT or Strike Force squads. His father was very successful in the VPD without having enjoyed such membership and, although his hip injury has been a set-back, I am confident that Mr. Rollins will be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Taking into account all of the circumstances, I conclude that the appropriate award for loss of future earning capacity is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Cost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evidence regarding Mr. Rollins' out of pocket expenses for over-the-counter medication, therapy costs and items such as orthotics was vague and general. Taking into account his doctors' suggestion for continued chiropractic and acupuncture treatments, as well a possible prolotherapy, he submits the global sum of $15,000 for past care expenses and reasonably likely future care costs should be made. In my view, the evidence does not support an award of this magnitude. An award of $5,000 under this head of damages, however, is justified and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summary, the damages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1673"/>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Loss</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$ 40,000.00</w:t>
            </w:r>
          </w:p>
        </w:tc>
        <w:tc>
          <w:tcPr>
            <w:tcW w:w="368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Income Loss</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45,200.00</w:t>
            </w:r>
          </w:p>
        </w:tc>
        <w:tc>
          <w:tcPr>
            <w:tcW w:w="368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Earning Capacity</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50,000.00</w:t>
            </w:r>
          </w:p>
        </w:tc>
        <w:tc>
          <w:tcPr>
            <w:tcW w:w="368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Care</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5,000.00</w:t>
            </w:r>
          </w:p>
        </w:tc>
        <w:tc>
          <w:tcPr>
            <w:tcW w:w="368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68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$140,200.00</w:t>
            </w:r>
          </w:p>
        </w:tc>
        <w:tc>
          <w:tcPr>
            <w:tcW w:w="368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 DICKSON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1" style="position:absolute;z-index:2518804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56" w:history="1">
        <w:r>
          <w:rPr>
            <w:rFonts w:ascii="arial" w:eastAsia="arial" w:hAnsi="arial" w:cs="arial"/>
            <w:b/>
            <w:bCs/>
            <w:i/>
            <w:color w:val="0077CC"/>
            <w:kern w:val="32"/>
            <w:sz w:val="28"/>
            <w:szCs w:val="32"/>
            <w:u w:val="single"/>
            <w:shd w:val="clear" w:color="auto" w:fill="FFFFFF"/>
            <w:lang w:val="en-US" w:eastAsia="en-US" w:bidi="ar-SA"/>
          </w:rPr>
          <w:t>Simmons v. Yeager Properties Inc., [2013] B.C.J. No. 1052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 Fisher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8,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S64245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Nanaimo</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1052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889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Theresa Simmons, Plaintiff, and Yeager Properties Inc. and Your Local Bakery Cafe Ltd. carrying on business as, Utopia European Bakery Cafe,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2"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5" w:name="Keywords_21"/>
      <w:bookmarkEnd w:id="145"/>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Application by defendants for summary dismissal of plaintiff's action dismissed — Plaintiff tripped and fell due to drop between bakery patio and front entrance landing — White paint on edge of step insufficient in itself to warn customers of potential danger — Warning sign ineffective, as its lettering was almost illegible due to fading — While Court found defendants failed to take reasonable care to ensure exterior of bakery was safe, it found plaintiff failed to keep reasonable lookout for her own safety — Plaintiff's liability set at 75 per cent and defendants' liability set at 25 per cent.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Occupiers' liability — Dangerous premises — Duty of occupier — Knowledge of danger — Duty to warn — To warn of danger — Particular situations — Floors — Application by defendants for summary dismissal of plaintiff's action dismissed — Plaintiff tripped and fell due to drop between bakery patio and front entrance landing — White paint on edge of step insufficient in itself to warn customers of potential danger — Warning sign ineffective, as its lettering was almost illegible due to fading — While Court found defendants failed to take reasonable care to ensure exterior of bakery was safe, it found plaintiff failed to keep reasonable lookout for her own safety — Plaintiff's liability set at 75 per cent and defendants' liability set at 25 per cent.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6" w:name="Case Summary_20"/>
            <w:bookmarkEnd w:id="14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for summary dismissal of the plaintiff's action. The plaintiff tripped and fell at the front entrance of a bakery owned by the defendants. The plaintiff claimed she tripped because of a two to four inch drop between the bakery's patio and its front entrance landing, which had not been properly marked. The defendants argued that the plaintiff's fall was more likely caused by plaintiff tripping over herself and failing to pay attention to where she was going. Alternatively, the defendants argued that if the Court found that the plaintiff tripped on the patio step, that it had taken reasonable steps to ensure the exterior area was safe and that it had adequately marked the step by painting its edges white and by installing warning signs.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7" w:name="Holdings of Court_17"/>
            <w:bookmarkEnd w:id="147"/>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commercial occupier was required to protect customers from reasonably foreseeable hazards. That being said, a customer had a duty to take reasonable care by keeping a reasonable lookout for his or her own safety. The Court was satisfied that the plaintiff fell because she tripped on the patio step. It was also satisfied that the plaintiff fell because of the patio step and not because she tripped over herself. The white paint on the step was not, in and of itself, a sufficient warning of the potential danger posed by the patio step. The outdoor sign that was posted as an additional warning was ineffective due to wear and tear that rendered the writing almost illegible. There was no record of how often the sign was inspected and replaced. As such, the Court found the defendants failed to take reasonable care to ensure the exterior area leading to the entrance of the bakery was reasonably safe due to their failure to maintain the outdoor warning sign. However, the Court found the plaintiff significantly at fault for the accident, as she failed to keep a reasonable lookout for her own safety. The patio step was there to be seen by the plaintiff had she paid attention to where she was going. Considering the plaintiff's lack of care, the Court found apportioned her liability at 75 per cent and the defendants' liability at 25 per cent.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8" w:name="Legislation Cited_18"/>
      <w:bookmarkEnd w:id="14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3"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238" w:history="1">
        <w:r>
          <w:rPr>
            <w:rFonts w:ascii="arial" w:eastAsia="arial" w:hAnsi="arial" w:cs="arial"/>
            <w:i/>
            <w:color w:val="0077CC"/>
            <w:sz w:val="20"/>
            <w:u w:val="single"/>
            <w:shd w:val="clear" w:color="auto" w:fill="FFFFFF"/>
            <w:lang w:val="en-US" w:eastAsia="en-US" w:bidi="ar-SA"/>
          </w:rPr>
          <w:t>RSBC 1996, CHAPTER 337, s. 3</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CHAPTER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Rules, Rule 9-7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9" w:name="Counsel_20"/>
      <w:bookmarkEnd w:id="14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4" style="position:absolute;z-index:2517831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J.J. Murphy.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K.M. Low.</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0" w:name="Judgment_21"/>
      <w:bookmarkEnd w:id="150"/>
      <w:r>
        <w:pict>
          <v:line id="_x0000_s1135" style="position:absolute;z-index:2518333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1" w:name="B. FISHER J._0"/>
            <w:bookmarkEnd w:id="151"/>
            <w:r>
              <w:rPr>
                <w:rFonts w:ascii="arial" w:eastAsia="arial" w:hAnsi="arial" w:cs="arial"/>
                <w:b/>
                <w:color w:val="000000"/>
                <w:sz w:val="30"/>
                <w:lang w:val="en-US" w:eastAsia="en-US" w:bidi="ar-SA"/>
              </w:rPr>
              <w:t>B. FISHER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December 6, 2010, the plaintiff, Theresa Simmons, tripped and fell in front of a bakery owned and operated by the defendants and was injured. She brings this action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and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She says that the defendants created a hazard by constructing a patio adjacent to the front entrance of the bakery with a two to four inch drop that was not properly marked and thus failed to take reasonable precautions to protect her against the risk of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this summary trial under Rule 9-7, the defendants seek a dismissal of the action against them. They acknowledge that they were at all times an occupier of the premises but say that they took reasonable care to ensure the premises were reasonably safe. The plaintiff seeks a dismissal of the defendants' application and judgment in her favour, with damages to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made a preliminary objection that this matter was not suitable for summary trial due to a material conflict in the evidence. That conflict was in relation to whether the principal of the defendants had any prior knowledge of other people tripping on the step. I determined that this was a conflict that could not be resolved on affidavit evidence, as it involved issues of credibility arising from alleged prior inconsistent statements. The question was whether liability could be determined without resolving the conflict. The defendants considered this and decided to proceed with both applications on the basis of an admission that they had this prior knowledge. Given this admission, there was no longer any basis for the plaintiff's objection and I determined that it was appropriate to proceed by way of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in s. 3, provides that an occupier owes a duty to take reasonable care to see that a person on the premises will be reasonably safe in using the premises. This duty applies in relation to the condition of the premises, activities on the premises, or the conduct of third parties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 commercial occupier is required to protect customers from reasonably foreseeable hazards. The standard of care is one of reasonableness, not perfection. An occupier is not an insurer against every eventuality that may occur on the premises and the duty of care does not extend so far as to require a defendant to remove every possibility of danger: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aff'd </w:t>
      </w:r>
      <w:hyperlink r:id="rId322"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Ball v GAP (Canada) Ltd.</w:t>
      </w:r>
      <w:r>
        <w:rPr>
          <w:rFonts w:ascii="arial" w:eastAsia="arial" w:hAnsi="arial" w:cs="arial"/>
          <w:color w:val="000000"/>
          <w:sz w:val="20"/>
          <w:lang w:val="en-US" w:eastAsia="en-US" w:bidi="ar-SA"/>
        </w:rPr>
        <w:t xml:space="preserve">, </w:t>
      </w:r>
      <w:hyperlink r:id="rId457" w:history="1">
        <w:r>
          <w:rPr>
            <w:rFonts w:ascii="arial" w:eastAsia="arial" w:hAnsi="arial" w:cs="arial"/>
            <w:i/>
            <w:color w:val="0077CC"/>
            <w:sz w:val="20"/>
            <w:u w:val="single"/>
            <w:shd w:val="clear" w:color="auto" w:fill="FFFFFF"/>
            <w:lang w:val="en-US" w:eastAsia="en-US" w:bidi="ar-SA"/>
          </w:rPr>
          <w:t>2001 BCSC 1106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fact of injury does not create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burden is on the plaintiff to establish on a balance of probabilities that the injury resulted from a breach of the defendant's duty of care. The plaintiff must establish some act or failure to act on the part of the defendant that caused the injury. This burden remains the same in an application under Rule 9-7: </w:t>
      </w:r>
      <w:r>
        <w:rPr>
          <w:rFonts w:ascii="arial" w:eastAsia="arial" w:hAnsi="arial" w:cs="arial"/>
          <w:i/>
          <w:color w:val="000000"/>
          <w:sz w:val="20"/>
          <w:lang w:val="en-US" w:eastAsia="en-US" w:bidi="ar-SA"/>
        </w:rPr>
        <w:t>Charlie v Canada Safeway Limited</w:t>
      </w: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2010 BCSC 618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Bauman v Stein</w:t>
      </w:r>
      <w:r>
        <w:rPr>
          <w:rFonts w:ascii="arial" w:eastAsia="arial" w:hAnsi="arial" w:cs="arial"/>
          <w:color w:val="000000"/>
          <w:sz w:val="20"/>
          <w:lang w:val="en-US" w:eastAsia="en-US" w:bidi="ar-SA"/>
        </w:rPr>
        <w:t xml:space="preserve"> </w:t>
      </w:r>
      <w:hyperlink r:id="rId419" w:history="1">
        <w:r>
          <w:rPr>
            <w:rFonts w:ascii="arial" w:eastAsia="arial" w:hAnsi="arial" w:cs="arial"/>
            <w:i/>
            <w:color w:val="0077CC"/>
            <w:sz w:val="20"/>
            <w:u w:val="single"/>
            <w:shd w:val="clear" w:color="auto" w:fill="FFFFFF"/>
            <w:lang w:val="en-US" w:eastAsia="en-US" w:bidi="ar-SA"/>
          </w:rPr>
          <w:t>(1991), 78 D.L.R. (4th) 118</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plaintiff's claim is also based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Negligent conduct was succinctly defined in this passage from </w:t>
      </w: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xml:space="preserve">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Conduct is negligent if it creates an objectively unreasonable risk of harm. To avoid liability, a person must exercise the standard of care that would be expected of an ordinary, reasonable and prudent person in the same circumstances. The measure of what is reasonable depends on the facts of each case, including the likelihood of a known or foreseeable harm, the gravity of that harm, and the burden or cost which would be incurred to prevent the injury. In addition, one may look to external indicators of reasonable conduct, such as custom, industry practice, and statutory or regulatory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addition, the plaintiff has a duty to take reasonable care by keeping a reasonable lookout for her own safety. A failure to observe something that is there to be seen may amount to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Gervais v Do</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2000 BCSC 1271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Wendy Laughlin is an owner-operator of the defendant Your Local Bakery Cafe Ltd., which owns and operates the Utopia European Bakery, located in Chemainus, BC. The bakery was built by the defendants in 2007. All construction complied with the applicable building codes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 is a concrete landing in front of entrance to the bakery and an outdoor wooden patio deck adjacent to the entrance (I will refer to this as the patio deck). The front of the bakery faces west. There are front stairs and a wheelchair ramp leading to the entrance, all made of concrete. There are also back stairs leading up to the patio deck from the north side of the bakery. The back stairs are also made of concrete but they have a wood surface with non-slip mats nailed to the top of each stair.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front concrete landing is level. The patio deck is elevated from the landing by two to four inches by a step along the entire edge (I will refer to this as the patio step).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the time of this incident, the edges of the front and back stairs and the patio step were painted white. These had been painted in 2007 and were still visible at the time of this incident in 2010. There were also two warning signs with red and black lettering posted in and around the area of the front entrance stating "Watch Your Step Please". One of the signs was posted from the inside window beside the front door and the other was on the edge of an outdoor post, about three feet from the ground, facing the bakery. The words "Watch" and "Step" on the sign located on the outdoor post were quite faded and difficult to see. There was one patio table and two chairs on the patio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December 6, 2010, the plaintiff tripped and fell near the front entrance of the bakery. She had entered the premises by way of the back stairs to the patio deck. She did not see the warning signs as she crossed the patio deck and did not notice the patio step. She deposed that a three to four inch drop between the patio deck and the concrete landing caused her to trip. She also deposed that the white paint on the edge of the patio step did not alert her to the hazard and she had no reason to believe that the surface would not be level to the front entrance.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defendants read in portions of the plaintiff's examination for discovery, where she had difficulty remembering details about how she entered the premises or where she was looking at the time. More particularly, she did not recall going up any stairs or walking over the patio deck, nor did she recall where she was looking. She said she was following another lady and concentrating on the bakery doors. Because of her lack of recall, the plaintiff attended at the bakery in August 2012, retraced her steps, and provided a statement and further photographs that clarified how she entered from the back stairs and walked through the patio deck towards the entrance. In this statement she said that she did not realize what caused her to fall until she was on the ground, where she saw for the first time "a ledge" showing the difference between the patio deck and the concrete landing.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deposed that within seconds of her fall, a woman who was working at the bakery opened the entrance door and stated that she knew something like this was going to happen. Ms. Laughlin deposed that she went outside and found a woman sitting on the concrete landing in front of the entrance; she denied conveying that message. There is no evidence that the defendants knew of any prior falls but, despite Ms. Laughlin's evidence, they have admitted knowledge that others had tripped.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Laughlin made and posted the warning signs. She did not consider placing a sign facing the patio at or near eye level and she did not consider a sign that more specifically warned of the step. The outdoor sign needed to be replaced every six to eight months due to fading. She did not have a record of when she replaced the signs. However, she deposed that she was at the bakery almost every day and was aware of the condition of the painted stairs and the warning signs, and she would prepare a new sign when needed due to general wear and tear. She did not consider that the painted edges of the stairs and the patio step required a new coat of paint at the time of this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After this incident, the defendants re-painted the edges of the patio step, and all other steps, with yellow paint. They also replaced the warning signs with yellow paper and black letters, and added an additional warning sign at about eye level facing the patio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says that the two to four inch difference in height between the patio deck and the concrete landing constituted a foreseeable trip hazard and the defendants knew this, as evidenced by their efforts to demarcate the drop with white paint and post warning signs. Mr. Murphy submits that the defendants failed to discharge their duty of care because the painted edge of the patio step was faded, the warning signs were not placed such that a person coming from the plaintiff's direction would see them, and the outdoor warning sign was so faded that the words "Please" and "Step" were virtually illegible. Moreover, the defendants' act of taking more effective measures to warn patrons after this incident is indicative of the insufficiency of the previous marks and 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also says that there is no evidence that she was doing anything other than paying reasonable attention to her surroundings and walking in a reasonably prudent manner at the time she tripped.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defendants say that the cause of the plaintiff's fall is based on speculation and theory and she has not met her burden of proving that something the defendants did or omitted to do caused her to trip and fall. Ms. Low submits that it is more likely that the plaintiff failed to pay any attention to where she was going and tripped over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Even if the court finds that the plaintiff tripped on the patio step, the defendants say that she has failed to establish that the bakery was not reasonably safe. They submit that they took reasonable steps to ensure the exterior area was reasonably safe by obtaining approval of the construction in accordance with the applicable building code, painting the top and side edges of the patio step as well as the front and back stairs white, installing slip resistant mats on the top of the back stairs, and placing warning signs in contrasting colours. They further submit that the warning signs were not necessary in light of the painted edges of all the stairs as well as the patio step, which was there to be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defendants say that their subsequent actions in re-painting the edges with yellow paint and installing new signs are not determinative that such steps were required to make the premises reasonably safe, and given that the plaintiff was not looking where she was going, such actions would have made no difference.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assessing whether the defendants are liable, the issues to be determined are:</w:t>
      </w:r>
      <w:r>
        <w:rPr>
          <w:rFonts w:ascii="arial" w:eastAsia="arial" w:hAnsi="arial" w:cs="arial"/>
          <w:sz w:val="20"/>
          <w:lang w:val="en-US" w:eastAsia="en-US" w:bidi="ar-SA"/>
        </w:rPr>
        <w:cr/>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plaintiff's fall was caused by tripping on the patio step;</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defendants failed to make the premises outside the bakery entrance reasonably safe for the use of the plaintiff and others; and</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defendants are liable, whether the plaintiff was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 and findings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Was the plaintiff's fall caused by tripping on the patio step?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plaintiff must show that something the defendants did or did not do caused her to trip and fall and the court must not speculate on what caused the trip in this case: </w:t>
      </w:r>
      <w:r>
        <w:rPr>
          <w:rFonts w:ascii="arial" w:eastAsia="arial" w:hAnsi="arial" w:cs="arial"/>
          <w:i/>
          <w:color w:val="000000"/>
          <w:sz w:val="20"/>
          <w:lang w:val="en-US" w:eastAsia="en-US" w:bidi="ar-SA"/>
        </w:rPr>
        <w:t>Bauman</w:t>
      </w:r>
      <w:r>
        <w:rPr>
          <w:rFonts w:ascii="arial" w:eastAsia="arial" w:hAnsi="arial" w:cs="arial"/>
          <w:color w:val="000000"/>
          <w:sz w:val="20"/>
          <w:lang w:val="en-US" w:eastAsia="en-US" w:bidi="ar-SA"/>
        </w:rPr>
        <w:t xml:space="preserve"> at 127; </w:t>
      </w:r>
      <w:r>
        <w:rPr>
          <w:rFonts w:ascii="arial" w:eastAsia="arial" w:hAnsi="arial" w:cs="arial"/>
          <w:i/>
          <w:color w:val="000000"/>
          <w:sz w:val="20"/>
          <w:lang w:val="en-US" w:eastAsia="en-US" w:bidi="ar-SA"/>
        </w:rPr>
        <w:t>Newsham v Canwest Trade Shows Inc.</w:t>
      </w:r>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2012 BCSC 289</w:t>
        </w:r>
      </w:hyperlink>
      <w:r>
        <w:rPr>
          <w:rFonts w:ascii="arial" w:eastAsia="arial" w:hAnsi="arial" w:cs="arial"/>
          <w:color w:val="000000"/>
          <w:sz w:val="20"/>
          <w:lang w:val="en-US" w:eastAsia="en-US" w:bidi="ar-SA"/>
        </w:rPr>
        <w:t xml:space="preserve"> at para. 96; </w:t>
      </w:r>
      <w:r>
        <w:rPr>
          <w:rFonts w:ascii="arial" w:eastAsia="arial" w:hAnsi="arial" w:cs="arial"/>
          <w:i/>
          <w:color w:val="000000"/>
          <w:sz w:val="20"/>
          <w:lang w:val="en-US" w:eastAsia="en-US" w:bidi="ar-SA"/>
        </w:rPr>
        <w:t>Lansdowne v United Church of Canada</w:t>
      </w:r>
      <w:r>
        <w:rPr>
          <w:rFonts w:ascii="arial" w:eastAsia="arial" w:hAnsi="arial" w:cs="arial"/>
          <w:color w:val="000000"/>
          <w:sz w:val="20"/>
          <w:lang w:val="en-US" w:eastAsia="en-US" w:bidi="ar-SA"/>
        </w:rPr>
        <w:t xml:space="preserve">, </w:t>
      </w:r>
      <w:hyperlink r:id="rId460" w:history="1">
        <w:r>
          <w:rPr>
            <w:rFonts w:ascii="arial" w:eastAsia="arial" w:hAnsi="arial" w:cs="arial"/>
            <w:i/>
            <w:color w:val="0077CC"/>
            <w:sz w:val="20"/>
            <w:u w:val="single"/>
            <w:shd w:val="clear" w:color="auto" w:fill="FFFFFF"/>
            <w:lang w:val="en-US" w:eastAsia="en-US" w:bidi="ar-SA"/>
          </w:rPr>
          <w:t>2000 BCSC 1604</w:t>
        </w:r>
      </w:hyperlink>
      <w:r>
        <w:rPr>
          <w:rFonts w:ascii="arial" w:eastAsia="arial" w:hAnsi="arial" w:cs="arial"/>
          <w:color w:val="000000"/>
          <w:sz w:val="20"/>
          <w:lang w:val="en-US" w:eastAsia="en-US" w:bidi="ar-SA"/>
        </w:rPr>
        <w:t xml:space="preserve">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plaintiff's evidence about how she fell was initially quite vague. Until she went back to re-trace her steps, she could not remember how she entered the bakery or if she walked up any stairs at all, and she could not remember walking across the patio deck. She then was able to recall that she followed a lady up the back stairs, turned left and continued to walk toward the front entrance of the bakery. She saw the patio step for the first time when she was on the ground. Before that, she thought the surface she was walking on was level to the front doors. This is the basis for her statement that the difference in levels caused her to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 were no witnesses to the actual fall. However, it is quite clear that the plaintiff landed on the concrete landing in front of the entrance doors. Ms. Laughlin found her there immediately 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Given the plaintiff's direction of travel, her belief that the surfaces were level, and the location where she landed, I find it more probable than not that she tripped on the patio step and this is what caused her to fall.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Did the defendants fail to make the premises outside the bakery entrance reasonably safe for the use of the plaintiff and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There is no dispute that the area where the plaintiff fell, including the patio deck, the patio step and the concrete landing, was constructed in accordance with the applicable building code at the time. This is a factor to consider in assessing whether premises are reasonably safe, but it is not determinative. The relevance of legislative standards was discussed in </w:t>
      </w:r>
      <w:r>
        <w:rPr>
          <w:rFonts w:ascii="arial" w:eastAsia="arial" w:hAnsi="arial" w:cs="arial"/>
          <w:i/>
          <w:color w:val="000000"/>
          <w:sz w:val="20"/>
          <w:lang w:val="en-US" w:eastAsia="en-US" w:bidi="ar-SA"/>
        </w:rPr>
        <w:t>Ryan</w:t>
      </w:r>
      <w:r>
        <w:rPr>
          <w:rFonts w:ascii="arial" w:eastAsia="arial" w:hAnsi="arial" w:cs="arial"/>
          <w:color w:val="000000"/>
          <w:sz w:val="20"/>
          <w:lang w:val="en-US" w:eastAsia="en-US" w:bidi="ar-SA"/>
        </w:rPr>
        <w:t xml:space="preserve">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Legislative standards are relevant to the common law standard of care, but the two are not necessarily co-extensive. The fact that a statute prescribes or prohibits certain activities may constitute evidence of reasonable conduct in a given situation, but it does not extinguish the underlying obligation of reasonableness. Thus, a statutory breach does not automatically give rise to civil liability; it is merely some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same token, </w:t>
      </w:r>
      <w:r>
        <w:rPr>
          <w:rFonts w:ascii="arial" w:eastAsia="arial" w:hAnsi="arial" w:cs="arial"/>
          <w:color w:val="000000"/>
          <w:sz w:val="20"/>
          <w:u w:val="single"/>
          <w:lang w:val="en-US" w:eastAsia="en-US" w:bidi="ar-SA"/>
        </w:rPr>
        <w:t>mere compliance with a statute does not, in and of itself, preclude a finding of civil liability</w:t>
      </w:r>
      <w:r>
        <w:rPr>
          <w:rFonts w:ascii="arial" w:eastAsia="arial" w:hAnsi="arial" w:cs="arial"/>
          <w:color w:val="000000"/>
          <w:sz w:val="20"/>
          <w:lang w:val="en-US" w:eastAsia="en-US" w:bidi="ar-SA"/>
        </w:rPr>
        <w:t>. Statutory standards can, however, be highly relevant to the assessment of reasonable conduct in a particular case, and in fact may render reasonable an act or omission which would otherwise appear to be negligent. This allows courts to consider the legislative framework in which people and companies must operate, while at the same time recognizing that one cannot avoid the underlying obligation of reasonable care simply by discharging statutory duties.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Gagne v Fourneau</w:t>
      </w:r>
      <w:r>
        <w:rPr>
          <w:rFonts w:ascii="arial" w:eastAsia="arial" w:hAnsi="arial" w:cs="arial"/>
          <w:color w:val="000000"/>
          <w:sz w:val="20"/>
          <w:lang w:val="en-US" w:eastAsia="en-US" w:bidi="ar-SA"/>
        </w:rPr>
        <w:t xml:space="preserve">, </w:t>
      </w:r>
      <w:hyperlink r:id="rId461" w:history="1">
        <w:r>
          <w:rPr>
            <w:rFonts w:ascii="arial" w:eastAsia="arial" w:hAnsi="arial" w:cs="arial"/>
            <w:i/>
            <w:color w:val="0077CC"/>
            <w:sz w:val="20"/>
            <w:u w:val="single"/>
            <w:shd w:val="clear" w:color="auto" w:fill="FFFFFF"/>
            <w:lang w:val="en-US" w:eastAsia="en-US" w:bidi="ar-SA"/>
          </w:rPr>
          <w:t>2005 BCSC 725</w:t>
        </w:r>
      </w:hyperlink>
      <w:r>
        <w:rPr>
          <w:rFonts w:ascii="arial" w:eastAsia="arial" w:hAnsi="arial" w:cs="arial"/>
          <w:color w:val="000000"/>
          <w:sz w:val="20"/>
          <w:lang w:val="en-US" w:eastAsia="en-US" w:bidi="ar-SA"/>
        </w:rPr>
        <w:t xml:space="preserve"> at para. 13, where it was held that compliance with a building code in effect from time to time may be comparative evidence in assessing whether premises are reasonably safe. In this case there is no evidence of any subsequent changes to the applicable building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principle expressed in </w:t>
      </w:r>
      <w:r>
        <w:rPr>
          <w:rFonts w:ascii="arial" w:eastAsia="arial" w:hAnsi="arial" w:cs="arial"/>
          <w:i/>
          <w:color w:val="000000"/>
          <w:sz w:val="20"/>
          <w:lang w:val="en-US" w:eastAsia="en-US" w:bidi="ar-SA"/>
        </w:rPr>
        <w:t>Ryan</w:t>
      </w:r>
      <w:r>
        <w:rPr>
          <w:rFonts w:ascii="arial" w:eastAsia="arial" w:hAnsi="arial" w:cs="arial"/>
          <w:color w:val="000000"/>
          <w:sz w:val="20"/>
          <w:lang w:val="en-US" w:eastAsia="en-US" w:bidi="ar-SA"/>
        </w:rPr>
        <w:t xml:space="preserve"> would also apply in respect of evidence of prior safe use: see </w:t>
      </w:r>
      <w:r>
        <w:rPr>
          <w:rFonts w:ascii="arial" w:eastAsia="arial" w:hAnsi="arial" w:cs="arial"/>
          <w:i/>
          <w:color w:val="000000"/>
          <w:sz w:val="20"/>
          <w:lang w:val="en-US" w:eastAsia="en-US" w:bidi="ar-SA"/>
        </w:rPr>
        <w:t>Cahoon v Wendy's Restaurant of Canada Inc.</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2000 BCSC 629</w:t>
        </w:r>
      </w:hyperlink>
      <w:r>
        <w:rPr>
          <w:rFonts w:ascii="arial" w:eastAsia="arial" w:hAnsi="arial" w:cs="arial"/>
          <w:color w:val="000000"/>
          <w:sz w:val="20"/>
          <w:lang w:val="en-US" w:eastAsia="en-US" w:bidi="ar-SA"/>
        </w:rPr>
        <w:t xml:space="preserve">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Here, there is no evidence that the defendants were aware that other people had fallen due to the patio step but there is evidence, by admission, that they were aware that others had tripped in that location. This is a factor to consider but it is also not determinative of a lack of reasonable care. I do not find it to be determinative in this case because the defendants took measures to alert customers to the existence of the patio step, measures which may or may not have been motivated by any prior knowledge. The question is whether the measures they took were sufficient to ensure that the premises were reasonably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plaintiff equates her situation with that in </w:t>
      </w:r>
      <w:r>
        <w:rPr>
          <w:rFonts w:ascii="arial" w:eastAsia="arial" w:hAnsi="arial" w:cs="arial"/>
          <w:i/>
          <w:color w:val="000000"/>
          <w:sz w:val="20"/>
          <w:lang w:val="en-US" w:eastAsia="en-US" w:bidi="ar-SA"/>
        </w:rPr>
        <w:t>Lysack v Burrard Motor Inn Ltd.</w:t>
      </w:r>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(1991), 58 B.C.L.R. (2d) 33</w:t>
        </w:r>
      </w:hyperlink>
      <w:r>
        <w:rPr>
          <w:rFonts w:ascii="arial" w:eastAsia="arial" w:hAnsi="arial" w:cs="arial"/>
          <w:color w:val="000000"/>
          <w:sz w:val="20"/>
          <w:lang w:val="en-US" w:eastAsia="en-US" w:bidi="ar-SA"/>
        </w:rPr>
        <w:t xml:space="preserve"> (CA). In that case, the Inn was found liable, not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but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for obstructing passage along a sidewalk with large circular planters and diverting pedestrians toward an uneven trip in the pavement. The majority of the Court held that the likelihood of a pedestrian being injured was reasonably foreseeable because the face of the trip was disguised for westbound pedestrians by the joint between two types of concrete.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 do not see the case at bar as comparable to </w:t>
      </w:r>
      <w:r>
        <w:rPr>
          <w:rFonts w:ascii="arial" w:eastAsia="arial" w:hAnsi="arial" w:cs="arial"/>
          <w:i/>
          <w:color w:val="000000"/>
          <w:sz w:val="20"/>
          <w:lang w:val="en-US" w:eastAsia="en-US" w:bidi="ar-SA"/>
        </w:rPr>
        <w:t>Lysack</w:t>
      </w:r>
      <w:r>
        <w:rPr>
          <w:rFonts w:ascii="arial" w:eastAsia="arial" w:hAnsi="arial" w:cs="arial"/>
          <w:color w:val="000000"/>
          <w:sz w:val="20"/>
          <w:lang w:val="en-US" w:eastAsia="en-US" w:bidi="ar-SA"/>
        </w:rPr>
        <w:t xml:space="preserve"> because the patio step was marked with white paint on the top and side edges such that the step was not disguised for anyone walking toward it, and there were warning signs posted in the area. I find that the outdoor warning sign was visible to someone coming from the plaintiff's direction. The photographs of the area show that the white paint and the outdoor warning sign were visible from all directions, including the direction the plaintiff was walking. I do not agree with the plaintiff that the outdoor warning sign was posted too low to the ground or was directed the wrong way for someone to see it from the patio deck. However, this warning sign was faded such that one could not readily read the words "Watch" and "Step" and I find that the faded words rendered this sign ineffective as a warning. The warning sign posted beside the entrance door, which was not faded, was directed toward people coming from the front entrance although it may have been visible to the plaintiff had she been looking toward the front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defendants say that the warning signs were superfluous as they were not necessary in light of the white paint marking the patio step, which was there to be seen. They rely on these comments in </w:t>
      </w:r>
      <w:r>
        <w:rPr>
          <w:rFonts w:ascii="arial" w:eastAsia="arial" w:hAnsi="arial" w:cs="arial"/>
          <w:i/>
          <w:color w:val="000000"/>
          <w:sz w:val="20"/>
          <w:lang w:val="en-US" w:eastAsia="en-US" w:bidi="ar-SA"/>
        </w:rPr>
        <w:t>Malcolm v British Columbia Transit</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32 B.C.L.R. (2d) 317</w:t>
        </w:r>
      </w:hyperlink>
      <w:r>
        <w:rPr>
          <w:rFonts w:ascii="arial" w:eastAsia="arial" w:hAnsi="arial" w:cs="arial"/>
          <w:color w:val="000000"/>
          <w:sz w:val="20"/>
          <w:lang w:val="en-US" w:eastAsia="en-US" w:bidi="ar-SA"/>
        </w:rPr>
        <w:t xml:space="preserve"> at 318-319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is not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a breach of any duty not to warn an adult person, not suffering under any disability, of the ordinary risks arising out of the exigencies of everyday life. Any such adult person without being warned knows and accepts the risks of falling on a steep, wet, grassy slope or a path and it was not necessary, in my view, to give a warning of such a common everyday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Gagne</w:t>
      </w:r>
      <w:r>
        <w:rPr>
          <w:rFonts w:ascii="arial" w:eastAsia="arial" w:hAnsi="arial" w:cs="arial"/>
          <w:color w:val="000000"/>
          <w:sz w:val="20"/>
          <w:lang w:val="en-US" w:eastAsia="en-US" w:bidi="ar-SA"/>
        </w:rPr>
        <w:t xml:space="preserve">, it was held that these comments are applicable in circumstances involving the use of a staircase on the basis that stairs and landings are commonplace and part of everyday life, a point made in </w:t>
      </w:r>
      <w:r>
        <w:rPr>
          <w:rFonts w:ascii="arial" w:eastAsia="arial" w:hAnsi="arial" w:cs="arial"/>
          <w:i/>
          <w:color w:val="000000"/>
          <w:sz w:val="20"/>
          <w:lang w:val="en-US" w:eastAsia="en-US" w:bidi="ar-SA"/>
        </w:rPr>
        <w:t>Delgado v Wong</w:t>
      </w:r>
      <w:r>
        <w:rPr>
          <w:rFonts w:ascii="arial" w:eastAsia="arial" w:hAnsi="arial" w:cs="arial"/>
          <w:color w:val="000000"/>
          <w:sz w:val="20"/>
          <w:lang w:val="en-US" w:eastAsia="en-US" w:bidi="ar-SA"/>
        </w:rPr>
        <w:t xml:space="preserve">, </w:t>
      </w:r>
      <w:hyperlink r:id="rId463" w:history="1">
        <w:r>
          <w:rPr>
            <w:rFonts w:ascii="arial" w:eastAsia="arial" w:hAnsi="arial" w:cs="arial"/>
            <w:i/>
            <w:color w:val="0077CC"/>
            <w:sz w:val="20"/>
            <w:u w:val="single"/>
            <w:shd w:val="clear" w:color="auto" w:fill="FFFFFF"/>
            <w:lang w:val="en-US" w:eastAsia="en-US" w:bidi="ar-SA"/>
          </w:rPr>
          <w:t>2004 BCSC 1199</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Delgado</w:t>
      </w:r>
      <w:r>
        <w:rPr>
          <w:rFonts w:ascii="arial" w:eastAsia="arial" w:hAnsi="arial" w:cs="arial"/>
          <w:color w:val="000000"/>
          <w:sz w:val="20"/>
          <w:lang w:val="en-US" w:eastAsia="en-US" w:bidi="ar-SA"/>
        </w:rPr>
        <w:t xml:space="preserve">, the court noted that the fact that a person falls on stairs does not make them dangerous in and of themselves, unless there was something that presented a trap. In </w:t>
      </w:r>
      <w:r>
        <w:rPr>
          <w:rFonts w:ascii="arial" w:eastAsia="arial" w:hAnsi="arial" w:cs="arial"/>
          <w:i/>
          <w:color w:val="000000"/>
          <w:sz w:val="20"/>
          <w:lang w:val="en-US" w:eastAsia="en-US" w:bidi="ar-SA"/>
        </w:rPr>
        <w:t>Trinetti v Hunter</w:t>
      </w:r>
      <w:r>
        <w:rPr>
          <w:rFonts w:ascii="arial" w:eastAsia="arial" w:hAnsi="arial" w:cs="arial"/>
          <w:color w:val="000000"/>
          <w:sz w:val="20"/>
          <w:lang w:val="en-US" w:eastAsia="en-US" w:bidi="ar-SA"/>
        </w:rPr>
        <w:t xml:space="preserve">, </w:t>
      </w:r>
      <w:hyperlink r:id="rId464" w:history="1">
        <w:r>
          <w:rPr>
            <w:rFonts w:ascii="arial" w:eastAsia="arial" w:hAnsi="arial" w:cs="arial"/>
            <w:i/>
            <w:color w:val="0077CC"/>
            <w:sz w:val="20"/>
            <w:u w:val="single"/>
            <w:shd w:val="clear" w:color="auto" w:fill="FFFFFF"/>
            <w:lang w:val="en-US" w:eastAsia="en-US" w:bidi="ar-SA"/>
          </w:rPr>
          <w:t>2005 BCCA 549</w:t>
        </w:r>
      </w:hyperlink>
      <w:r>
        <w:rPr>
          <w:rFonts w:ascii="arial" w:eastAsia="arial" w:hAnsi="arial" w:cs="arial"/>
          <w:color w:val="000000"/>
          <w:sz w:val="20"/>
          <w:lang w:val="en-US" w:eastAsia="en-US" w:bidi="ar-SA"/>
        </w:rPr>
        <w:t xml:space="preserve"> at para. 12, the court considered a step over a door sill from an outside deck to a lower surface was "one of the everyday risks or exigencies that adults know require care in the ordinary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 do not find these cases applicable in the circumstances here, as they stand for the proposition that no warning is required for risks associated with activities of everyday life. </w:t>
      </w:r>
      <w:r>
        <w:rPr>
          <w:rFonts w:ascii="arial" w:eastAsia="arial" w:hAnsi="arial" w:cs="arial"/>
          <w:i/>
          <w:color w:val="000000"/>
          <w:sz w:val="20"/>
          <w:lang w:val="en-US" w:eastAsia="en-US" w:bidi="ar-SA"/>
        </w:rPr>
        <w:t>Gagne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Delgado</w:t>
      </w:r>
      <w:r>
        <w:rPr>
          <w:rFonts w:ascii="arial" w:eastAsia="arial" w:hAnsi="arial" w:cs="arial"/>
          <w:color w:val="000000"/>
          <w:sz w:val="20"/>
          <w:lang w:val="en-US" w:eastAsia="en-US" w:bidi="ar-SA"/>
        </w:rPr>
        <w:t xml:space="preserve"> both involved stairs within residential premises that were regularly used by the plaintiffs and </w:t>
      </w:r>
      <w:r>
        <w:rPr>
          <w:rFonts w:ascii="arial" w:eastAsia="arial" w:hAnsi="arial" w:cs="arial"/>
          <w:i/>
          <w:color w:val="000000"/>
          <w:sz w:val="20"/>
          <w:lang w:val="en-US" w:eastAsia="en-US" w:bidi="ar-SA"/>
        </w:rPr>
        <w:t>Trinetti</w:t>
      </w:r>
      <w:r>
        <w:rPr>
          <w:rFonts w:ascii="arial" w:eastAsia="arial" w:hAnsi="arial" w:cs="arial"/>
          <w:color w:val="000000"/>
          <w:sz w:val="20"/>
          <w:lang w:val="en-US" w:eastAsia="en-US" w:bidi="ar-SA"/>
        </w:rPr>
        <w:t xml:space="preserve"> involved a step that the plaintiff had already walked over in the opposite direction. In this case we are dealing with one step near the entrance to commercial premises where the defendants took measures to warn customers of its existence. Without any demarcation, the patio step presented a potential hazard. The question is whether the application of white paint constituted a sufficient warning, given the fact that the warning sign that would have been most visible to the plaintiff was ineffective at the relevant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my opinion, the presence of white paint demarcating the patio step was not a sufficient warning, as the patio step was quite different in nature from the both the front and back stairs, and it was also sloping along its edge so that its height varied from two to four inches. In addition, with a patio table and chairs in front of it, the entire painted edge may not have been visible to customers approaching from the back stairs as the plaintiff did. As the defendants must have considered, it was necessary to specifically alert customers to the presence of this step with warning signs. Here, the warning sign that was most visible to the plaintiff was ineffective due to wear and tear.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plaintiff says that the measures taken by the defendants after this incident, which were easily done and inexpensive, show that the previous measures were insufficient to make the premises reasonably safe. As with evidence of prior safe use, evidence of what is done after the fact is also a factor to consider in assessing whether the area at the time of the incident was reasonably safe. After the fact conduct is not an admission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it may establish that measures were taken which converted an unsafe area into a reasonably safe one, and it may also establish the ease or difficulty with which a risk may have been avoided: see </w:t>
      </w:r>
      <w:r>
        <w:rPr>
          <w:rFonts w:ascii="arial" w:eastAsia="arial" w:hAnsi="arial" w:cs="arial"/>
          <w:i/>
          <w:color w:val="000000"/>
          <w:sz w:val="20"/>
          <w:lang w:val="en-US" w:eastAsia="en-US" w:bidi="ar-SA"/>
        </w:rPr>
        <w:t>Cahoon</w:t>
      </w:r>
      <w:r>
        <w:rPr>
          <w:rFonts w:ascii="arial" w:eastAsia="arial" w:hAnsi="arial" w:cs="arial"/>
          <w:color w:val="000000"/>
          <w:sz w:val="20"/>
          <w:lang w:val="en-US" w:eastAsia="en-US" w:bidi="ar-SA"/>
        </w:rPr>
        <w:t xml:space="preserve"> at para. 21; </w:t>
      </w:r>
      <w:r>
        <w:rPr>
          <w:rFonts w:ascii="arial" w:eastAsia="arial" w:hAnsi="arial" w:cs="arial"/>
          <w:i/>
          <w:color w:val="000000"/>
          <w:sz w:val="20"/>
          <w:lang w:val="en-US" w:eastAsia="en-US" w:bidi="ar-SA"/>
        </w:rPr>
        <w:t>O'Leary v Rupert</w:t>
      </w:r>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2010 BCSC 240</w:t>
        </w:r>
      </w:hyperlink>
      <w:r>
        <w:rPr>
          <w:rFonts w:ascii="arial" w:eastAsia="arial" w:hAnsi="arial" w:cs="arial"/>
          <w:color w:val="000000"/>
          <w:sz w:val="20"/>
          <w:lang w:val="en-US" w:eastAsia="en-US" w:bidi="ar-SA"/>
        </w:rPr>
        <w:t xml:space="preserve"> at paras. 47-48.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re-painting the edges of all stairs and the patio step in yellow paint, and replacing the red, black and white warning signs with yellow and black signs, the defendants enhanced the safety of the premises. However, other than replacing the faded warning sign, I do not consider that these changes show the previous measures to have been insufficient to alert customers to the change in level at the patio step.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 find that the ineffective warning sign is evidence of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breach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In these circumstances, the defendants may refute the breach by leading evidence that they had put into place a reasonable system of inspection and maintenance that was being followed at the time of the accident: </w:t>
      </w:r>
      <w:r>
        <w:rPr>
          <w:rFonts w:ascii="arial" w:eastAsia="arial" w:hAnsi="arial" w:cs="arial"/>
          <w:i/>
          <w:color w:val="000000"/>
          <w:sz w:val="20"/>
          <w:lang w:val="en-US" w:eastAsia="en-US" w:bidi="ar-SA"/>
        </w:rPr>
        <w:t>Newsham</w:t>
      </w:r>
      <w:r>
        <w:rPr>
          <w:rFonts w:ascii="arial" w:eastAsia="arial" w:hAnsi="arial" w:cs="arial"/>
          <w:color w:val="000000"/>
          <w:sz w:val="20"/>
          <w:lang w:val="en-US" w:eastAsia="en-US" w:bidi="ar-SA"/>
        </w:rPr>
        <w:t xml:space="preserve"> at para. 131, citing </w:t>
      </w:r>
      <w:r>
        <w:rPr>
          <w:rFonts w:ascii="arial" w:eastAsia="arial" w:hAnsi="arial" w:cs="arial"/>
          <w:i/>
          <w:color w:val="000000"/>
          <w:sz w:val="20"/>
          <w:lang w:val="en-US" w:eastAsia="en-US" w:bidi="ar-SA"/>
        </w:rPr>
        <w:t>Atkins v. Jim Pattison Industries Ltd.</w:t>
      </w:r>
      <w:r>
        <w:rPr>
          <w:rFonts w:ascii="arial" w:eastAsia="arial" w:hAnsi="arial" w:cs="arial"/>
          <w:color w:val="000000"/>
          <w:sz w:val="20"/>
          <w:lang w:val="en-US" w:eastAsia="en-US" w:bidi="ar-SA"/>
        </w:rPr>
        <w:t xml:space="preserve"> </w:t>
      </w:r>
      <w:hyperlink r:id="rId416" w:history="1">
        <w:r>
          <w:rPr>
            <w:rFonts w:ascii="arial" w:eastAsia="arial" w:hAnsi="arial" w:cs="arial"/>
            <w:i/>
            <w:color w:val="0077CC"/>
            <w:sz w:val="20"/>
            <w:u w:val="single"/>
            <w:shd w:val="clear" w:color="auto" w:fill="FFFFFF"/>
            <w:lang w:val="en-US" w:eastAsia="en-US" w:bidi="ar-SA"/>
          </w:rPr>
          <w:t>(1998), 61 B.C.L.R. (3d) 183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Davis v Kin's Farm Market (Lynn Valley)</w:t>
      </w:r>
      <w:r>
        <w:rPr>
          <w:rFonts w:ascii="arial" w:eastAsia="arial" w:hAnsi="arial" w:cs="arial"/>
          <w:color w:val="000000"/>
          <w:sz w:val="20"/>
          <w:lang w:val="en-US" w:eastAsia="en-US" w:bidi="ar-SA"/>
        </w:rPr>
        <w:t xml:space="preserve">, </w:t>
      </w:r>
      <w:hyperlink r:id="rId466" w:history="1">
        <w:r>
          <w:rPr>
            <w:rFonts w:ascii="arial" w:eastAsia="arial" w:hAnsi="arial" w:cs="arial"/>
            <w:i/>
            <w:color w:val="0077CC"/>
            <w:sz w:val="20"/>
            <w:u w:val="single"/>
            <w:shd w:val="clear" w:color="auto" w:fill="FFFFFF"/>
            <w:lang w:val="en-US" w:eastAsia="en-US" w:bidi="ar-SA"/>
          </w:rPr>
          <w:t>2010 BCSC 677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Laughlin's evidence was that the outdoor sign needed to be replaced every six to eight months due to fading. She did not have a record of when she replaced the sign but she was at the bakery almost every day and would prepare a new sign when needed. Given how faded the sign was on the date of this incident, I do not consider her inspection and maintenance to be sufficient. It was obvious that the outdoor sign needed to be replaced.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Accordingly, I find that the plaintiff has proved on a balance of probabilities that by failing to maintain the outdoor warning sign, the defendants failed to take reasonable care to ensure the exterior area leading to the entrance of the bakery was reasonably safe.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Was the plaintiff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Although I have found the defendants liable, I have also concluded that the plaintiff was contributorily negligent to a significant extent for failing to keep a reasonable lookout for her own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my view, this situation is similar to that in </w:t>
      </w:r>
      <w:r>
        <w:rPr>
          <w:rFonts w:ascii="arial" w:eastAsia="arial" w:hAnsi="arial" w:cs="arial"/>
          <w:i/>
          <w:color w:val="000000"/>
          <w:sz w:val="20"/>
          <w:lang w:val="en-US" w:eastAsia="en-US" w:bidi="ar-SA"/>
        </w:rPr>
        <w:t>Cahoon</w:t>
      </w:r>
      <w:r>
        <w:rPr>
          <w:rFonts w:ascii="arial" w:eastAsia="arial" w:hAnsi="arial" w:cs="arial"/>
          <w:color w:val="000000"/>
          <w:sz w:val="20"/>
          <w:lang w:val="en-US" w:eastAsia="en-US" w:bidi="ar-SA"/>
        </w:rPr>
        <w:t>, where the plaintiff stepped off a sidewalk into what he thought was a wheelchair ramp but was actually the surface of a parking lot that was adjacent to, but lower than, the ramp. He alleged that the way the area was painted with white lines led him to believe that the area was level with the sidewalk. The court found that with a minimal amount of attention paid, the edge of the sidewalk and the actual edge of the ramp were there to be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Here, I find that the patio step was there to be seen by the plaintiff had she paid attention to where she was going. It was demarcated by white paint that was generally visible to persons accessing the bakery entrance from the patio deck. The photographs of the area taken shortly after this incident show that that the paint was not faded and worn as suggested by Mr. Murphy. It is questionable whether the faded outdoor warning sign was a significant factor in the circumstances since the plaintiff was not looking in that direction and did not see the sign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If the plaintiff had been watching where she was walking, she would likely have seen that there was a difference in level from where she was to where she was going. I find her expectation that the entire walking surface would be level to be an unreasonable one, as she was not paying attention but was instead focused on the woman in front of her and on the front entrance to the bakery.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requires me to apportion the degree to which each party was at fault. This was not a case where the defendants failed to take any measures to make the premises reasonably safe but rather where they failed to maintain some of the measures they took. Considering the plaintiff's own lack of care, I find her degree of fault to be significant. I apportion her liability at 75 percent and the defendants' liability at 25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defendants' application to dismiss the plaintiff's claim is dismissed. Judgment is for the plaintiff as to 25 per cent and damages are to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parties will have leave to make submissions as to costs if they are unable to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FISHER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6" style="position:absolute;z-index:2518814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67"/>
          <w:headerReference w:type="default" r:id="rId468"/>
          <w:footerReference w:type="even" r:id="rId469"/>
          <w:footerReference w:type="default" r:id="rId470"/>
          <w:headerReference w:type="first" r:id="rId471"/>
          <w:footerReference w:type="first" r:id="rId47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73" w:history="1">
        <w:r>
          <w:rPr>
            <w:rFonts w:ascii="arial" w:eastAsia="arial" w:hAnsi="arial" w:cs="arial"/>
            <w:b/>
            <w:bCs/>
            <w:i/>
            <w:color w:val="0077CC"/>
            <w:kern w:val="32"/>
            <w:sz w:val="28"/>
            <w:szCs w:val="32"/>
            <w:u w:val="single"/>
            <w:shd w:val="clear" w:color="auto" w:fill="FFFFFF"/>
            <w:lang w:val="en-US" w:eastAsia="en-US" w:bidi="ar-SA"/>
          </w:rPr>
          <w:t>Simon (Guardian ad litem of) v. Portsmith, [2010] B.C.J. No. 169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Joyce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2-5, 2008; June 24-26,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M025267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169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74" w:history="1">
        <w:r>
          <w:rPr>
            <w:rFonts w:ascii="arial" w:eastAsia="arial" w:hAnsi="arial" w:cs="arial"/>
            <w:i/>
            <w:color w:val="0077CC"/>
            <w:sz w:val="20"/>
            <w:u w:val="single"/>
            <w:shd w:val="clear" w:color="auto" w:fill="FFFFFF"/>
            <w:lang w:val="en-US" w:eastAsia="en-US" w:bidi="ar-SA"/>
          </w:rPr>
          <w:t>2010 BCSC 134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185 A.C.W.S. (3d) 1097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74" w:history="1">
        <w:r>
          <w:rPr>
            <w:rFonts w:ascii="arial" w:eastAsia="arial" w:hAnsi="arial" w:cs="arial"/>
            <w:i/>
            <w:color w:val="0077CC"/>
            <w:sz w:val="20"/>
            <w:u w:val="single"/>
            <w:shd w:val="clear" w:color="auto" w:fill="FFFFFF"/>
            <w:lang w:val="en-US" w:eastAsia="en-US" w:bidi="ar-SA"/>
          </w:rPr>
          <w:t>2010 CarswellBC 208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Carsten Simon, by his Guardian ad litem, Joe Simon, Plaintiff, and Wade Robert Portsmith and Beverly Ellen Bostock,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7"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2" w:name="Keywords_22"/>
      <w:bookmarkEnd w:id="152"/>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Effect of wrongful conduct — Motor vehicles — Liability of driver — Liability of owner — Consent to possession — Rules of the road — Evidence and proof — Action against driver and vehicle owner allowed in part — Plaintiff walking on highway shoulder when struck by vehicle that passed truck on shoulder — Plaintiff suffered catastrophic injuries — Defendants were a mother and son — Mother owned vehicle but son did not live with her nor did she give him permission to drive so not vicariously liable — Son denied driving, but was contradicted by occupants of vehicle and witnesses — Son asked mother to report vehicle stolen after accident and had windshield glass on him, consistent with him driving — Son 100 per cent liable.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3" w:name="Case Summary_21"/>
            <w:bookmarkEnd w:id="15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against the alleged driver and the owner of the vehicle. The defendants were a mother and son. The mother owned the vehicle that struck the plaintiff and the son was alleged to have been the driver. The plaintiff was walking along the shoulder of a highway when he was struck by the vehicle as it attempted to pass a tractor trailer on the shoulder. The plaintiff suffered a traumatic brain injury, amputation of his right leg above the knee, fractures to pelvis, arm and femur and disfiguring scarring. The defendant son had since died of a drug overdose. He had been acquitted of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bodily harm and other charges. His testimony from the criminal trial was admitted since he had died before discovery. The plaintiff had no recollection of the accident. There were two other occupants of the vehicle, who both testified that they and the son had been drinking and doing cocaine and that the son was driving. The blood of one of the other occupants was found in the passenger seat. Other witnesses also reported seeing the son driving that night. The son admitted to driving earlier in the night but claimed that he was lying in the backseat when the accident happened because he was too intoxicated to drive. The mother testified that the son had not lived at home since he was 15 years old. Her husband had died recently and the son had slept on the couch after the funeral, but left again. The mother had taken medication and gone to sleep at 9:30 p.m. on the night of the accident. She testified that she never gave the son permission to use her vehicle because he was unreliable, but that she never locked the vehicle unless she was away overnight, and she had left the keys inside the vehicle, intending to retrieve a can of gas later. The mother testified that the son called her around 2 a.m., drunk and incoherent, and asked her to report the vehicle stolen. The mother called the police when she observed her vehicle was missing, but did not tell them about the son's phone call. The plaintiff argued that the son had been driving the vehicle and was liable, and that the mother was vicariously liable because she had either allowed her son to drive or been negligent in not securing the vehicle.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4" w:name="Holdings of Court_18"/>
            <w:bookmarkEnd w:id="154"/>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driver of the vehicle was passing on the shoulder when he struck the plaintiff, so was 100 per cent liable for the accident. The son was intoxicated on the night of the accident, but not incapable of driving, and he had already admitted to driving earlier that night. Witnesses had seen the son driving, the occupants both stated he was the driver and he had windshield glass on his person, all of which offered further proof he was the driver. The son's call to the mother to ask her to report the vehicle stolen was also consistent with him being the driver and causing the accident. The son was 100 per cent liable as the driver. The son had not lived at home since he was 15 years old, as evidenced by his having to sleep on the couch after the funeral and evidence from his landlord at the time of the accident. There was no evidence that the mother had consented to him driving, and leaving the keys in an accessible place did not amount to consent. In spite of the mother's failure to inform the police of the phone call, she was a credible witness. The mother lived in a rural area and her explanation for leaving the car unlocked with the keys inside was reasonable. It was not reasonably foreseeable that her car would be stolen, so she was not negligent. The mother was not liable for the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5" w:name="Legislation Cited_19"/>
      <w:bookmarkEnd w:id="15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8"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Vehicles Act, </w:t>
      </w:r>
      <w:hyperlink r:id="rId476" w:history="1">
        <w:r>
          <w:rPr>
            <w:rFonts w:ascii="arial" w:eastAsia="arial" w:hAnsi="arial" w:cs="arial"/>
            <w:i/>
            <w:color w:val="0077CC"/>
            <w:sz w:val="20"/>
            <w:u w:val="single"/>
            <w:shd w:val="clear" w:color="auto" w:fill="FFFFFF"/>
            <w:lang w:val="en-US" w:eastAsia="en-US" w:bidi="ar-SA"/>
          </w:rPr>
          <w:t>RSBC 1996, CHAPTER 318, s. 86</w:t>
        </w:r>
      </w:hyperlink>
      <w:r>
        <w:rPr>
          <w:rFonts w:ascii="arial" w:eastAsia="arial" w:hAnsi="arial" w:cs="arial"/>
          <w:color w:val="000000"/>
          <w:sz w:val="20"/>
          <w:lang w:val="en-US" w:eastAsia="en-US" w:bidi="ar-SA"/>
        </w:rPr>
        <w:t>(1)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6" w:name="Counsel_21"/>
      <w:bookmarkEnd w:id="15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9" style="position:absolute;z-index:2517841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 Battista, Q.C. and I. Kordic.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Portsmith: J.D. James.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Bostock: J.E. Broadway and E.C. Hughes.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7" w:name="Judgment_22"/>
      <w:bookmarkEnd w:id="157"/>
      <w:r>
        <w:pict>
          <v:line id="_x0000_s1140" style="position:absolute;z-index:2518343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8" w:name="B.M. JOYCE J._0"/>
            <w:bookmarkEnd w:id="158"/>
            <w:r>
              <w:rPr>
                <w:rFonts w:ascii="arial" w:eastAsia="arial" w:hAnsi="arial" w:cs="arial"/>
                <w:b/>
                <w:color w:val="000000"/>
                <w:sz w:val="30"/>
                <w:lang w:val="en-US" w:eastAsia="en-US" w:bidi="ar-SA"/>
              </w:rPr>
              <w:t>B.M. JOYCE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the early morning hours of October 17, 2001, Carsten Simon was walking on the shoulder of the Trans Canada Highway #1, just to the east of Salmon Arm, British Columbia, when he was struck by a vehicle travelling eastbound. The vehicle did not stop at the scene and sped away. Several hours later, the car, a white Toyota Tercel, was found abandoned in Salmon Arm and keys to the car were found in the back seat. The car was identified as belonging to the defendant Beverly Bostock.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As a result of being struck by the motor vehicle, Mr. Simon suffered numerous serious injuries including a traumatic brain injury, amputation of the right leg above the knee, pelvic fracture, fracture of the right forearm, fracture of the right femur, a lacerated spleen, and extensive and disfiguring scarring.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There were three persons in the vehicle when it struck Mr. Simon, namely the defendant Wade Portsmith, who was known in the community as "Kato", Mr. Robert Cook, and Mr. Craig Tychkowski. The plaintiff alleges that the vehicle that struck him was being driven by Wade Portsmith and that Mr. Portsmith's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his loss and damage. The plaintiff further alleges that Mr. Portsmith was living with Ms. Bostock, his mother, as a member of the family at the time of the accident or, alternatively, acquired possession of the car with Ms. Bostock's express or implied consent. The plaintiff alleges that Ms. Bostock is thereby vicariously liable under s. 86(1)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86(1) In the case of a motor vehicle that is in the possession of its owner, in an action to recover for loss or damages to persons or property arising out of the use or operation of the motor vehicle on a highway, a person driving or operating the motor vehicle who</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living with, and as a member of the family of, the owner, or</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acquired possession of the motor vehicle with the consent, express or implied of the owner.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deemed to be the agent or servant of, and employed as such by, that owner and to be driving or operating the motor vehicle in the course of his or her employment with that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the further alternative, the plaintiff alleges that Ms. Bostock is negligent by failing to take reasonable steps to secure her car and thereby prevent Mr. Portsmith from driving it without her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Mr. Portsmith was arrested in connection with this incident and charged with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bodily harm, operating a motor vehicle while impaired, failing to stop with intent to escape civil or criminal liability, resisting a peace office in the execution of his duty, assaulting a police officer, and uttering threats to a peace officer. The criminal trial took place in June 2002 and Mr. Portsmith was acquitted on all counts except those of assaulting a police officer and uttering threats to a peace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This action was commenced on December 11,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March 2, 2005, Mr. Portsmith passed away from a drug overdose.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An order was made in the action that there be separate trials on the issues of liability and quantum. The liability trial was originally scheduled to start in June of 2008, but was adjourned on application by the plaintiff because three of the plaintiff's witnesses failed to attend pursuant to subpoenas. The parties subsequently settled the issue of quantum and the trial on liability began on September 2, 2008. After four days, the trial was once again adjourned on application by the plaintiff when one of the plaintiff's witnesses again failed to respond to a subpoena. The trial eventually resumed on June 24,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issues to be determined are:</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driver of the vehicle that struck Mr. Simon negligent?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Mr. Portsmith driving the motor vehicle that struck Mr. Simon?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Mr. Portsmith living with Ms. Bostock as a member of her family at the time of the accident?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Mr. Portsmith operating the motor vehicle with the express or implied consent of Ms. Bostock?</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Ms. Bostock independently negligent in failing to secure her vehicle so as to prevent Mr. Portsmith from being able to use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REVIEW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is 32 years old. He was born in Germany but raised in Salmon Arm by his grandparents. At the time of this accident, Mr. Simon was working in Salmon Arm for a carpet and upholstery cleaning business that was owned by Mr. Gordon Dodds. He was also living in a basement suite in Mr. Dodds'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Simon has no recollection of the accident. His last recollection before waking up in the hospital in Vancouver, following the accident, was of going to Salmon Arm with Mr. Dodds in Mr. Dodds'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Evidence relating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Evidence regarding the accident itself was given by Mr. Noel McDonald, a truck driver. He testified that he was driving his tractor-trailer unit eastbound on the Trans Canada Highway just east of Salmon Arm, going up a hill that his known as "Tank Hill". There are two eastbound lanes going up the hill which converge into a single eastbound lane at the top of the hill. Mr. McDonald was in the outside lane closest to the shoulder of the highway when he saw a car come up behind him moving fast. Mr. McDonald passed a person who was on the paved shoulder of the highway on the ditch side of the fog line. Mr. McDonald then heard a "thump" and a small white car pulled out in front of his truck from the right shoulder and kept going. Mr. McDonald recalls seeing two occupants in the car but could not say for certain whether they were both in the front seat. Mr. McDonald flashed his lights at the car that was speeding away, then stopped and went back to where he had heard the thump and found Mr. Simon. Mr. McDonald then called 9-1-1.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Evidence relating to the identity of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only direct evidence relating to the identity of the person who was driving the car when it struck Mr. Simon came from Messrs. Cook and Mr. Tychkowski and from the testimony of Mr. Portsmith at his criminal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Cook admitted that he had a criminal record, including convictions for impaired driving, mischief, theft, assault and break and enter. Mr. Cook testified that he knew Mr. Portsmith and Mr. Tychkowski and socialized with them. He described Mr. Tychkowski as a friend and Mr. Portsmith as more of an acquaintance. Mr. Cook and Mr. Tychkowski purchased and used cocaine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Cook testified that on October 16, 2001, he went to a local bar in Salmon Arm called "Jiggers" where he had a few beers. He met Mr. Tychkowski at the bar and they drank some more beer. Mr. Portsmith then arrived at the bar and the three of them drank beers and played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 few hours later, they decided to go to Vernon to purchase some cocaine. Mr. Cook testified that Mr. Portsmith drove them to Vernon in a small white car that he said was his mother's car. Mr. Cook had never seen the car before. On the way back from Vernon, all three of them used the cocaine that they bought. They returned to Jiggers and resumed drinking.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Dodds and Mr. Simon arrived at Jiggers and sat with them. That was the first time that Mr. Cook had met Mr. Simon. Mr. Cook said that they all then walked to a nearby nightclub called "Live Wire" where they drank some more. They left Live Wire and went to the parking lot outside Jiggers. A decision was made that Mr. Cook, Mr. Tychkowski and Mr. Portsmith would go to Vernon for some more cocaine. All three were intoxicated. Mr. Cook admitted in cross-examination that all three of them were staggering drunk.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Cook testified that Mr. Portsmith drove, Mr. Tychkowski was in the front passenger seat and he was in the rear seat, "kind of slouched down." Mr. Cook said that Mr. Portsmith was driving erratically, "like a maniac." He said that as they were heading up the hill out of town Mr. Portsmith passed a semi-truck on the shoulder and hit something on the shoulder of the highway. Mr. Cook said that Mr. Portsmith did not stop when he told him to do so. Mr. Cook said that Mr. Portsmith ran over a median sign a couple miles down the highway, then drove down a road, stopped the car, jumped out and headed toward a 7-11 store. Mr. Cook and Mr. Tychkowski went in a different direction to the house of a friend, Mandy. The next day, he and Mr. Tychkowski holed up in a hotel room. He registered using an assumed name. He said they were scared and did not know what to do. They did not contact the police but the police located Mr. Cook and he provided them with a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Cook denied that he drove the car that struck Mr. Simon.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Tychkowski described Mr. Portsmith as an acquaintance whom he had known, off and on, for two or three years before the accident. He described the relationship between him and Mr. Cook as "just drinking friends." Mr. Tychkowski testified that on October 16, 2001 he walked to Jiggers where he ran into Mr. Cook. Then Mr. Portsmith showed up at the bar and the three of them drank together. At about 4 p.m. they decided to go to Vernon to buy cocaine. Mr. Tychkowski testified that Mr. Portsmith told him he had a car and that he was going to drive. It was a white, compact size car. Mr. Tychkowski said that Mr. Portsmith drove, Mr. Cook was in the back seat and he was in the passenger seat. Mr. Tychkowski said that he asked Mr. Portsmith whose car it was. Mr. Portsmith told him it was his mother's car and that he had borrowed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After purchasing cocaine in Vernon the three men returned to Jiggers in Salmon Arm where they resumed drinking. Mr. Dodds and Mr. Simon joined them at their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Tychkowski testified that at one point Mr. Portsmith drove him and Mr. Dodds looking to buy some cocaine in Salmon Arm. He said that on that trip he offered to drive but Mr. Portsmith told him it was his mom's vehicle and no one was driving but him. He said they returned to Jiggers after buying some cocaine and resumed drinking and played some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Tychkowski testified that he, Mr. Portsmith and Mr. Cook walked to Live Wire where they had some drinks. They left Live Wire intending to drive to Vernon to buy more drugs. Mr. Tychkowski testified that Mr. Portsmith drove, Mr. Cook was in the back seat and he was in the front passenger seat. Mr. Tychkowski said Mr. Portsmith's driving on this occasion was erratic and dangerous. He said that Mr. Portsmith failed to stop at a stop sign, went onto the Trans Canada Highway and up the hill. Mr. Tychkowski said there were two semis going up the hill, with one passing the other. Mr. Portsmith went into the oncoming lane to pass but an oncoming car forced him back behind the semis. Mr. Tychkowski testified that Mr. Portsmith then passed a semi using the shoulder, which is when he hit Mr. Simon. Mr. Tychkowski said he and Mr. Cook told Mr. Portsmith that he had hit someone but Mr. Portsmith did not stop. Mr. Tychkowski said the passenger side window had shattered and he had some glass fragments in his eyes and some cuts on his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Tychkowski said that Mr. Portsmith continued to drive towards Vernon and that it was in Enderby that Mr. Portsmith struck a median and got high centred. Mr. Portsmith then drove back towards Salmon Arm using back roads and ended up at the Elks Hall. Mr. Tychkowski testified that Mr. Portsmith went across the road towards the 7-11 store and said that he was going to report the car stolen.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Portsmith died before he could be examined for discovery. A statement that he made to the police and his testimony at the criminal trial were admitted in evidence. During the statement to the police, Mr. Portsmith did not say anything helpful with regard to the circumstances of the accident or who was driving the car. He simply exercised his right to silence.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his testimony at the criminal trial, Mr. Portsmith denied driving the car at the time that Mr. Simon was hit by it. He testified that on the morning of October 16, 2001, he was at his mother's home rototilling the garden. He said that after she left in her truck, he hitchhiked into town to meet someone. He testified that the person he was to meet showed up in town driving his mother's car. Mr. Portsmith admitted that he took control of the car and drove it to Jiggers. He also admitted that he drove the car with Mr. Cook and Mr. Tychkowski to Vernon to purchase drugs. He said that during that trip, Mr. Tychkowski was in the front passenger seat and Mr. Cook was in the rear seat. Mr. Portsmith also testified that after returning to Jiggers he drove the car in Salmon Arm when Mr. Tychkowski and Mr. Dodds wanted to buy cocaine. He said that Mr. Tychkowski occupied the front passenger seat and Mr. Dodds was in the rear of the car during this trip. Mr. Portsmith testified that he, Mr. Tychkowski and Mr. Cook left Livewire, intending to go to Vernon again to look for more drugs, but he denied that he drove the car on that occasion. He testified that he was drunk and not feeling well and gave the car keys to Mr. Cook while they were in the nightclub and told Mr. Cook that he would have to drive. Mr. Portsmith testified that he lay down on the back seat of the car, Mr. Cook drove and Mr. Tychkowski occupied the front passenger seat. He testified that he was laying down when he heard a thump and that he did not see what Mr. Cook had hit.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Portsmith testified that when the car stopped at the Elks Hall, Mr. Cook threw the keys to him in the back seat and told him to report the car stolen, so he called his mother from the 7-11 store and told her to report the car stolen. He then telephoned 9-1-1 and, using a fictitious name, asked that an ambulance be sent to the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Portsmith testified that he was not supposed to drive his mother's car and that she did not like him driving her vehicles. He also denied living with his mother at that the time of this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Evidence of the defendant Bostock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At the time of the accident, Ms. Bostock lived in a farm house located in an area called Silver Creek, which is about 10 kilometres from Salmon Arm. The house is in a rural area and is quite isolated from other houses. Ms. Bostock said that she kept the front door of the home locked but did not lock the back door unless she was away overnight. She also did not lock her car unless she was going away overnight. She said that she kept a spare set of keys for the car in the kitchen and that she left them there when she went away. She said that neither Mr. Portsmith nor anyone else had keys to the house and that she never saw any signs of forced entry to the house. She said that there was no way someone could have driven the car periodically without her knowing it unless she was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Bostock had worked at a store in Salmon Arm but she took a leave of absence from her job in about June 2001, when her husband was diagnosed with terminal liver cancer. Between June and September 2001 Ms. Bostock and her husband did some travelling to see friends and family and only returned to Salmon Arm a few times. On September 5, 2001, Ms. Bostock's husband was admitted to Vancouver General Hospital where he died on October 2, 2001. Ms. Bostock testified that in the three months prior to September 5, 2001 they spent only about 10 to 12 days at their home in Salmon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Bostock gave evidence about Mr. Portsmith's upbringing and background. She said that her son had a difficult upbringing with his father, her first husband, who was an abusive alcoholic. Ms. Bostock separated from her first husband when Mr. Portsmith was five years old. Mr. Portsmith lived with his mother until he was eight and then lived with his father for a couple years before being removed by the child welfare authorities and returned to her home. Mr. Portsmith was rebellious and frequently ran away from home. When he was 15 he left for the last time. For a time he lived on the streets in Calgary where Ms. Bostock's home was. Ms. Bostock tried to convince him to come home but he generally refused. In 1990 or 1991 Mr. Portsmith lived with Ms. Bostock for a couple months then left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When Mr. Portsmith was about 17 he got in touch with Ms. Bostock, who was then living in British Columbia, and asked if he could come home. She said that he could live with her if he either went to school or got a job, but he did neither. After living with her for three or four months, Mr. Portsmith got into a fight, was convicted and sent to jail.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After Ms. Bostock married her second husband they offered to have Mr. Portsmith live with them if he worked and paid rent. He lived with them for about six months in 1999 before he lost his job and his step-father asked him to move out. Ms. Bostock said that he took his belongings with him but did leave a few articles of clothing in her house. They turned his bedroom into a spare bedroom. Ms. Bostock continued to receive mail for Mr. Portsmith at a post office box in Salmon Arm. Ms. Bostock understood that Mr. Portsmith was living in Kelowna.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Bostock said that Mr. Portsmith moved back to Salmon Arm in the summer of 2001, but he did not stay with her again until the night of her husband's funeral, which she thought was October 8, 2001. That night, he slept on the couch because Ms. Bostock's sisters used the spare bedrooms. She testified that Mr. Portsmith spent another night at her house on October 14, 2001, the night before Ms. Bostock buried her husband's ashes. He had done some rototilling that day. She said that she saw Mr. Portsmith the next morning and did not see him again for about a year or more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Bostock's evidence of events preceding the accident was as follows. On the morning of October 16, 2001 she went to Salmon Arm where she went to see her husband's doctor about some papers. The doctor provided her with some medicine because she was upset. He either gave her a prescription or some sample medication. Ms. Bostock also picked up some gas for the rototiller because it had run out of gas when Mr. Portsmith was rototilling her garden for her a couple days previously. According to Ms. Bostock, when she arrived home shortly after noon she parked her car by the door of the garage that was located to the side and at back of the house. She left the car keys on the seat of the car because she intended to get the can of gas from the trunk later in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Bostock had made arrangements to take her pickup truck to her brother-in-law that day to have the oil changed. She left home in the pickup truck shortly before 4:00 p.m. She did not notice if her car was still parked by the garage or not. Ms. Bostock arrived home from her brother-in-law's home at about 6:30 or 7:00 p.m. She did not notice if the car was there or not. She forgot about getting the gas out of her car and just went inside the house. Ms. Bostock made something to eat and watched television for a while. She then took the medication the doctor had given her and went to bed around 9:30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Bostock testified in her direct examination that she was awakened by a telephone call from her son, Wade Portsmith, at about 2:00 a.m. asking for some telephone numbers. He was incoherent and sounded drunk. She said he called back and told her that her car was stolen. He told her he was uptown and saw two guys driving her car. He told her to make a report to the police. He told her he was at the 7-11 store. In her examination for discovery, Ms. Bostock said that he told her to report the car stolen during the first call and that he asked her for a phone number during the second call. I understand that these two calls were made closely together. After the second call, Ms. Bostock checked and saw the car was missing and she called 9-1-1.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Bostock testified that Constable Ferguson came to the house to take a report about the stolen car. Constable Ferguson questioned Ms. Bostock about the whereabouts of her son. She did not tell Constable Ferguson that her son had telephoned her. Mr. Portsmith called Ms. Bostock twice while Ms. Bostock was talking to Constable Ferguson but she did not tell him her son was on the line. She testified that she did not tell Constable Ferguson about the calls because she believed the police officer was more interested in finding her son than in finding her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cross-examination, Ms. Bostock admitted that she did not tell Constable Ferguson that her son had told her to report the car stolen. She told him that she first discovered the theft when she got up in the middle of the night to put another log on the fire and looked out and saw that it was missing. She also admitted that she deliberately deceived Constable Ferguson about who telephoned her when he was talking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day after Constable Ferguson came to her home, Ms. Bostock was interviewed by Corporal Grondin, who was suspicious about Ms. Bostock's earlier statement to Constable Ferguson. Ms. Bostock told Corporal Grondin that Mr. Portsmith had telephoned her only when she was confronted with information that the police had telephone records. At that point, she told Corporal Grondin only that he called and wanted a phone number. It was in stages that she related the telephone calls and eventually admitted that Mr. Portsmith had told her to report the car stolen. Her explanation for her actions was that she was telling him what happened step-by-step. She admitted that by that time she thought there was a warrant out for Mr. Portsmith's arrest. She was trying to protect him and she wanted them to be concerned about her car. She said she was concerned that someone would get into an accident in her car and, because she had left the keys in the car, her insurance would be void.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Bostock admitted that she never told the police that Mr. Portsmith had told her during the telephone conversations that he saw her car with two men in it and said that it might have been much later that he told her that. She also agreed that when examined for discovery she did not mention Mr. Portsmith telling her about seeing the two people in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Bostock testified that Mr. Portsmith did not have a key to her house or her vehicles and did not have permission to stay live in her house or to drive her vehicles. Ms. Bostock testified that, to her knowledge, Mr. Portsmith never had a driver's license and was never allowed to drive her vehicles. She said that he drank and was not reliable so she would not have given him her vehicle to drive. She said that she drove her son to various places around Salmon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cross-examination, Ms. Bostock agreed that there was no way that anyone could have driven her car on a regular or periodic basis without her knowing about it unless she was not around and that if she was not around the keys were locked in her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Ms. Bostock's discovery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Bostock testified that when she spoke to Constable Ferguson she did not tell him that her son had called her and told her to make a report because she wanted to believe that her son had not taken her car. She said that she did not tell Constable Ferguson where her son was when he called because she was more concerned about them finding her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Bostock also testified that she kept a set of keys to the car on a hook inside the house and that Mr. Portsmith knew where they were kept. She said those keys were still on the hook when Constable Ferguson attended.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Bostock testified that she told Constable Ferguson that she first noticed her car missing when she got up to put some wood on the fire, lit a cigarette, looked out the window and saw that the car was not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Dodds testified that when he went to Jiggers with Mr. Simon he intended to tell him that he would have to move out of his house because his wife no longer wanted him residing there. He said that they arrived at the pub at about 6:30 p.m. and met up with Mr. Portsmith, Mr. Cook and Mr. Tychkowski. Mr. Dodds testified that, at one point, he went with Mr. Portsmith and Mr. Tychkowski to try to buy some cocaine in Salmon Arm and that Mr. Portsmith drove. Mr. Dodds testified that Mr. Portsmith's driving was erratic and that Mr. Tychkowski offered to take over the driving, but Mr. Portsmith told him that no one else drove that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Dodds and Mr. Simon left Jiggers around midnight. It was then that he told Mr. Simon that he had to move out. Near the top of the hill, Mr. Simon asked to be let out of the vehicle. He was upset that he had been told he had to move out of Mr. Dodd's house. Mr. Dodds went home and learned from the police the next day that Mr. Simon had been in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Clayton Bushman was working at the 7-11 store located on the Trans Canada Highway, in Salmon Arm, on the night of the accident. At about 2:50 a.m., a man, whom Mr. Bushman later came to know as Mr. Portsmith, came into the store smelling of alcohol. He said that he lost his keys and that his car was stolen. He did not seem upset. He spent about an hour at the store, trying to get a ride to Tappen, which is about 10-15 minutes from Salmon Arm, from other customers. At times, he went outside to use the pay 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Ronald Pincheira, the operator of Live Wire testified that he knew Mr. Portsmith from the night club and that he had seen him on a number of occasions driving a white compact car, which he thought was a Honda or Toyota make. When shown photographs of Ms. Bostock's white Toyota Tercel, Mr. Pincheira said it resembled the car he saw Mr. Portsmith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Brock French, who manages a pawn shop in Salmon Arm and was acquainted with Mr. Portsmith, testified that a couple months before the accident he saw Mr. Portsmith two or three times driving around town in a little white Toyota. He said the car in the photographs of Ms. Bostock's car looked like the car he saw Mr. Portsmith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Colleen Johnson, who worked at Jiggers, testified that she knew Mr. Portsmith and saw him about a dozen times driving a white 4-door car. I note that Ms. Bostock's Toyota is a 2-door.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Shari McKenzie, who had known Mr. Portsmith for over 20 years and described him as a good friend, testified that quite often she saw him driving a little white car. She said she was pretty sure it was the same car that was depicted in the photographs taken of Ms. Bostock's Toyota. She said Mr. Portsmith's mother drove Mr. Portsmith to her place on occasion in a similar little white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McKenzie testified that a couple days after the accident, Mr. Portsmith came to her residence and told her that he had been in an accident. She testified that Mr. Portsmith initially told her that Mr. Tychkowski had been driving, but later told her that he was the driver. However, on cross-examination, Ms. McKenzie said that an investigator told her that Mr. Portsmith was the driver and that was probably the source of her information about the identity of the driver. She then said that Mr. Portsmith never changed his story to her that he was not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Kevin Jones, who lived in Enderby and knew Mr. Portsmith for a number of years, testified that he saw Mr. Portsmith drive a small white car that looked similar to that depicted in the photographs taken of Ms. Bostock's Toyota.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At trial, I admitted an affidavit of a Mr. Daniel Stushnov that he had sworn in support of an earlier unsuccessful motion to dismiss the action as against Ms. Bostock. Mr. Stushnov died before trial. Mr. Stushnov's evidence was that he was an acquaintance of Mr. Portsmith. He said that in August 2001, Mr. Portsmith had been staying with a woman by the name of Shari Spada. One day, Mr. Portsmith told him that he had a temporary job at a ranch close to where Mr. Stushnov lived and asked if he could stay with Mr. Stushnov so that he could walk to and from work. Mr. Stushnov agreed to let Mr. Portsmith stay with him. Mr. Stushnov said that Mr. Portsmith stayed with him for approximately four to six weeks. He deposed that, by October 17, Mr. Portsmith had lived in his house for between four and six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Was the driver of the vehicle that struck Mr. Simon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accept the evidence of Mr. McDonald and am satisfied that Mr. Simon was struck when he was walking on the shoulder of the highway, on the ditch side of the fog line, by the vehicle that drove onto the shoulder while passing Mr. McDonald's tractor-trailer on the right at high speed. I am satisfied that the driver of that vehicle is 100% at fault for the loss and damage suffered by Mr. Simon as a result of this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Was Mr. Portsmith driving the motor vehicle that struck Mr. Simon?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Counsel for the defendants submit that all three of the men who were in Ms. Bostock's car at the time of the collision should be considered to be "unsavoury witnesses" whose evidence must be viewed with great caution (</w:t>
      </w:r>
      <w:r>
        <w:rPr>
          <w:rFonts w:ascii="arial" w:eastAsia="arial" w:hAnsi="arial" w:cs="arial"/>
          <w:i/>
          <w:color w:val="000000"/>
          <w:sz w:val="20"/>
          <w:lang w:val="en-US" w:eastAsia="en-US" w:bidi="ar-SA"/>
        </w:rPr>
        <w:t>R. v. Vetrovec</w:t>
      </w:r>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[1982] S.C.J. No. 40</w:t>
        </w:r>
      </w:hyperlink>
      <w:r>
        <w:rPr>
          <w:rFonts w:ascii="arial" w:eastAsia="arial" w:hAnsi="arial" w:cs="arial"/>
          <w:color w:val="000000"/>
          <w:sz w:val="20"/>
          <w:lang w:val="en-US" w:eastAsia="en-US" w:bidi="ar-SA"/>
        </w:rPr>
        <w:t>). They submit that the evidence of these witnesses should not be accepted unless there is some independent corroboration The applicability of the "</w:t>
      </w:r>
      <w:r>
        <w:rPr>
          <w:rFonts w:ascii="arial" w:eastAsia="arial" w:hAnsi="arial" w:cs="arial"/>
          <w:i/>
          <w:color w:val="000000"/>
          <w:sz w:val="20"/>
          <w:lang w:val="en-US" w:eastAsia="en-US" w:bidi="ar-SA"/>
        </w:rPr>
        <w:t>Vetrovec</w:t>
      </w:r>
      <w:r>
        <w:rPr>
          <w:rFonts w:ascii="arial" w:eastAsia="arial" w:hAnsi="arial" w:cs="arial"/>
          <w:color w:val="000000"/>
          <w:sz w:val="20"/>
          <w:lang w:val="en-US" w:eastAsia="en-US" w:bidi="ar-SA"/>
        </w:rPr>
        <w:t xml:space="preserve">" warning in non-criminal cases was discussed in </w:t>
      </w:r>
      <w:r>
        <w:rPr>
          <w:rFonts w:ascii="arial" w:eastAsia="arial" w:hAnsi="arial" w:cs="arial"/>
          <w:i/>
          <w:color w:val="000000"/>
          <w:sz w:val="20"/>
          <w:lang w:val="en-US" w:eastAsia="en-US" w:bidi="ar-SA"/>
        </w:rPr>
        <w:t>Fetherston v. College of Veterinarians of Ontario</w:t>
      </w:r>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[1999] O.J. No. 370</w:t>
        </w:r>
      </w:hyperlink>
      <w:r>
        <w:rPr>
          <w:rFonts w:ascii="arial" w:eastAsia="arial" w:hAnsi="arial" w:cs="arial"/>
          <w:color w:val="000000"/>
          <w:sz w:val="20"/>
          <w:lang w:val="en-US" w:eastAsia="en-US" w:bidi="ar-SA"/>
        </w:rPr>
        <w:t xml:space="preserve"> (Ont. C.J.), a case concerning disciplinary proceedings before the Ontario College of Veterinarians at which evidence was given by an accomplice by the name of Terpevich. At para. 9, Campbell J. discussed the </w:t>
      </w:r>
      <w:r>
        <w:rPr>
          <w:rFonts w:ascii="arial" w:eastAsia="arial" w:hAnsi="arial" w:cs="arial"/>
          <w:i/>
          <w:color w:val="000000"/>
          <w:sz w:val="20"/>
          <w:lang w:val="en-US" w:eastAsia="en-US" w:bidi="ar-SA"/>
        </w:rPr>
        <w:t>Vetrovec</w:t>
      </w:r>
      <w:r>
        <w:rPr>
          <w:rFonts w:ascii="arial" w:eastAsia="arial" w:hAnsi="arial" w:cs="arial"/>
          <w:color w:val="000000"/>
          <w:sz w:val="20"/>
          <w:lang w:val="en-US" w:eastAsia="en-US" w:bidi="ar-SA"/>
        </w:rPr>
        <w:t xml:space="preserve"> principle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Having regard to the importance of Terpevich, a classic </w:t>
      </w:r>
      <w:r>
        <w:rPr>
          <w:rFonts w:ascii="arial" w:eastAsia="arial" w:hAnsi="arial" w:cs="arial"/>
          <w:i/>
          <w:color w:val="000000"/>
          <w:sz w:val="20"/>
          <w:lang w:val="en-US" w:eastAsia="en-US" w:bidi="ar-SA"/>
        </w:rPr>
        <w:t>Vetrovec</w:t>
      </w:r>
      <w:r>
        <w:rPr>
          <w:rFonts w:ascii="arial" w:eastAsia="arial" w:hAnsi="arial" w:cs="arial"/>
          <w:color w:val="000000"/>
          <w:sz w:val="20"/>
          <w:lang w:val="en-US" w:eastAsia="en-US" w:bidi="ar-SA"/>
        </w:rPr>
        <w:t xml:space="preserve"> accomplice, it would have been better had the tribunal directed itself explicitly to the dangers of relying on his evidence in the absence of independent confirmatory evidence. </w:t>
      </w:r>
      <w:r>
        <w:rPr>
          <w:rFonts w:ascii="arial" w:eastAsia="arial" w:hAnsi="arial" w:cs="arial"/>
          <w:i/>
          <w:color w:val="000000"/>
          <w:sz w:val="20"/>
          <w:lang w:val="en-US" w:eastAsia="en-US" w:bidi="ar-SA"/>
        </w:rPr>
        <w:t>R. v. Vetrovec</w:t>
      </w:r>
      <w:r>
        <w:rPr>
          <w:rFonts w:ascii="arial" w:eastAsia="arial" w:hAnsi="arial" w:cs="arial"/>
          <w:color w:val="000000"/>
          <w:sz w:val="20"/>
          <w:lang w:val="en-US" w:eastAsia="en-US" w:bidi="ar-SA"/>
        </w:rPr>
        <w:t xml:space="preserve"> </w:t>
      </w:r>
      <w:hyperlink r:id="rId479" w:history="1">
        <w:r>
          <w:rPr>
            <w:rFonts w:ascii="arial" w:eastAsia="arial" w:hAnsi="arial" w:cs="arial"/>
            <w:i/>
            <w:color w:val="0077CC"/>
            <w:sz w:val="20"/>
            <w:u w:val="single"/>
            <w:shd w:val="clear" w:color="auto" w:fill="FFFFFF"/>
            <w:lang w:val="en-US" w:eastAsia="en-US" w:bidi="ar-SA"/>
          </w:rPr>
          <w:t>(1982), 67 C.C.C. (2d) 1</w:t>
        </w:r>
      </w:hyperlink>
      <w:r>
        <w:rPr>
          <w:rFonts w:ascii="arial" w:eastAsia="arial" w:hAnsi="arial" w:cs="arial"/>
          <w:color w:val="000000"/>
          <w:sz w:val="20"/>
          <w:lang w:val="en-US" w:eastAsia="en-US" w:bidi="ar-SA"/>
        </w:rPr>
        <w:t xml:space="preserve"> repeats a common sense principle of evidence, not confined to criminal law. It applies in this case where the evidence of the accomplice was so central to proof of guilt, where the accomplice was so unsavoury, had made an American plea bargain to deliver the appellant, and was during much of the material period high 95% of the time on either Oxycocet, heroin, or cocaine.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Cook and Mr. Tychkowski fall into the category of accomplices of unsavoury character. Both have criminal records. Both admit to being under the influence of drugs and alcohol at the time of the accident. Immediately after the accident, they separated from Mr. Portsmith and hid out from the police. Neither of them attended the trial willingly.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Counsel for the defendants submit that there is no independent evidence to confirm their testimony that Mr. Portsmith was the driver of the car. Counsel for Mr. Portsmith submits that there is some independent evidence to confirm his testimony at his criminal trial that he was not the driver in that Mr. Macdonald gave evidence that he saw only two heads in the car and not three, which is consistent with Mr. Portsmith's testimony that he was laying down in the back of the car and would not have been seen. He also says that the evidence that the police found the keys in the back of the car is consistent with Portsmith's statement that he was still in the back of the car when Mr. Cook threw him the keys after he had parked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Counsel for the defendants also submit that the hospital records relating to Mr. Portsmith, when he was admitted to hospital the morning of the incident, establish that he was too intoxicated to drive. However, the evidence of Mr. Bushman was that Mr. Portsmith spent a considerable time at the store. He spoke to other customers trying to get a ride and went outside the store a number of times to use the pay phone. Mr. Bushman's description of Mr. Portsmith is not that of a falling-down drunk. I am not satisfied that during this last fateful outing Mr. Portsmith was too intoxicated to operate a motor vehicle, even though he was clearly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It is possible to reconcile Mr. MacDonald's evidence with Mr. Cook's version of events and his testimony that he was in the back seat, "kind of slouched down." If that is so, he may very well have not been visible to Mr. MacDonald. Further, Mr. MacDonald conceded in cross-examination by Mr. Battista that he could not be sure that there were only two people in the car and could not say for sure that those he saw were in the front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Battista argues that the conduct of Mr. Cook and Mr. Tychkowski following the accident, in not making a report to the police and in fact evading the police, is consistent with their general character in not wanting to become involved with the police in any way and in their belief that the police had caught the right person when they learned of Mr. Portsmith's arrest. He submits that this conduct should not be used to conclude that one of them was actually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Battista submits that there are a number of circumstances, in addition to the testimony of Mr. Cook and Mr. Tychkowski, that should lead me to conclude that Mr. Portsmith was the driver. Mr. Portsmith admitted that on the two other occasions that the car was used that night, it was he who drove. The fact that he did not have a driver's license and the fact that he was impaired by alcohol and drugs did not deter him from driving the car on those occasions. It was his mother's car and it would make sense that he would be the one to drive. When Mr. Portsmith went with Mr. Tychkowski and Mr. Dodds to look for drugs in Salmon Arm, in response to an offer by Mr. Tychkowski to drive, Mr. Portsmith told Mr. Dodds and Mr. Tychkowski that "no one else drives this car". Mr. Portsmith was intoxicated and had consumed drugs by this time and was probably in no better shape to drive that he was during the last outing.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Portsmith's statement to the police, that his friend Dan Benson drove the car into town and met up with him in Jiggers, was not corroborated by any of the other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Battista points to the fact that the police found pieces of broken windshield glass in Mr. Portsmith's clothes, which is consistent with his being in the front seat and not laying down in the back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Battista also points to the fact that, following the accident, Mr. Portsmith told Ms. McKenzie that Mr. Tychkowski was the driver and later said that it was Mr. Cook who was the driver. This was after he learned that Mr. Tychkowski's blood had been found in the front passenger seat, ruling out Mr. Tychkowski as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Battista also relies on Mr. Portsmith's conduct after the accident as being consistent with his being the driver. Mr. Portsmith telephoned his mother and lied about the car having been stolen. Mr. Portsmith was also untruthful to the clerk at the 7-11 store when he said his car had been stolen when, in fact, he had just left the car parked at the Elks Hall. He was active and coherent during the hour or so he spent at the 7-11 store until the ambulance responded to his 9-1-1 call, in which he gave a fictitious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find that these additional circumstances are sufficient to tip the balance in favour of the plaintiff with respect to this critical factual issue. Upon consideration of all of the evidence, I am satisfied on a balance of probabilities that Mr. Portsmith was driving the car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Was Mr. Portsmith living with Ms. Bostock as a member of her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next issue to address is whether Mr. Portsmith was living with Ms. Bostock as a member of her family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What is meant by "a member of the family" was discussed by Satanove J. in </w:t>
      </w:r>
      <w:r>
        <w:rPr>
          <w:rFonts w:ascii="arial" w:eastAsia="arial" w:hAnsi="arial" w:cs="arial"/>
          <w:i/>
          <w:color w:val="000000"/>
          <w:sz w:val="20"/>
          <w:lang w:val="en-US" w:eastAsia="en-US" w:bidi="ar-SA"/>
        </w:rPr>
        <w:t>Rolleman v. Blackmon,</w:t>
      </w:r>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2002 BCSC 766</w:t>
        </w:r>
      </w:hyperlink>
      <w:r>
        <w:rPr>
          <w:rFonts w:ascii="arial" w:eastAsia="arial" w:hAnsi="arial" w:cs="arial"/>
          <w:color w:val="000000"/>
          <w:sz w:val="20"/>
          <w:lang w:val="en-US" w:eastAsia="en-US" w:bidi="ar-SA"/>
        </w:rPr>
        <w:t>, where at paras. 11-12,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our modern climate of equality, more recent cases are inclined to focus less upon the deference that may or may not exist between two persons living in the same residence. It is clear that the cases no longer require that the owner stand in loco parentis to the driver (</w:t>
      </w:r>
      <w:r>
        <w:rPr>
          <w:rFonts w:ascii="arial" w:eastAsia="arial" w:hAnsi="arial" w:cs="arial"/>
          <w:i/>
          <w:color w:val="000000"/>
          <w:sz w:val="20"/>
          <w:lang w:val="en-US" w:eastAsia="en-US" w:bidi="ar-SA"/>
        </w:rPr>
        <w:t>Paynter v. Wood</w:t>
      </w:r>
      <w:r>
        <w:rPr>
          <w:rFonts w:ascii="arial" w:eastAsia="arial" w:hAnsi="arial" w:cs="arial"/>
          <w:color w:val="000000"/>
          <w:sz w:val="20"/>
          <w:lang w:val="en-US" w:eastAsia="en-US" w:bidi="ar-SA"/>
        </w:rPr>
        <w:t xml:space="preserve"> </w:t>
      </w:r>
      <w:hyperlink r:id="rId481" w:history="1">
        <w:r>
          <w:rPr>
            <w:rFonts w:ascii="arial" w:eastAsia="arial" w:hAnsi="arial" w:cs="arial"/>
            <w:i/>
            <w:color w:val="0077CC"/>
            <w:sz w:val="20"/>
            <w:u w:val="single"/>
            <w:shd w:val="clear" w:color="auto" w:fill="FFFFFF"/>
            <w:lang w:val="en-US" w:eastAsia="en-US" w:bidi="ar-SA"/>
          </w:rPr>
          <w:t>(1970), 15 D.L.R. (3d) 622</w:t>
        </w:r>
      </w:hyperlink>
      <w:r>
        <w:rPr>
          <w:rFonts w:ascii="arial" w:eastAsia="arial" w:hAnsi="arial" w:cs="arial"/>
          <w:color w:val="000000"/>
          <w:sz w:val="20"/>
          <w:lang w:val="en-US" w:eastAsia="en-US" w:bidi="ar-SA"/>
        </w:rPr>
        <w:t xml:space="preserve"> (B.C.S.C.) or that they have a blood or marital relationship. Nevertheless, there is a certain dynamic of the required association that is necessary. In </w:t>
      </w:r>
      <w:r>
        <w:rPr>
          <w:rFonts w:ascii="arial" w:eastAsia="arial" w:hAnsi="arial" w:cs="arial"/>
          <w:i/>
          <w:color w:val="000000"/>
          <w:sz w:val="20"/>
          <w:lang w:val="en-US" w:eastAsia="en-US" w:bidi="ar-SA"/>
        </w:rPr>
        <w:t>Gray v. Insurance Corp. of British Columbia</w:t>
      </w:r>
      <w:r>
        <w:rPr>
          <w:rFonts w:ascii="arial" w:eastAsia="arial" w:hAnsi="arial" w:cs="arial"/>
          <w:color w:val="000000"/>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(1987), 20 B.C.L.R. (2d) 63</w:t>
        </w:r>
      </w:hyperlink>
      <w:r>
        <w:rPr>
          <w:rFonts w:ascii="arial" w:eastAsia="arial" w:hAnsi="arial" w:cs="arial"/>
          <w:color w:val="000000"/>
          <w:sz w:val="20"/>
          <w:lang w:val="en-US" w:eastAsia="en-US" w:bidi="ar-SA"/>
        </w:rPr>
        <w:t xml:space="preserve"> (C.A.). Carrothers J.A. stated that to his mind to be a "member" of a household implied a constituent, an integral part or a component of a whole, a bond or affinity, as an essential element of constituting a member of the household.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Even in other contexts, such as residential zoning legislation, the courts look for an element of permanent social, moral or psychological commitment between the persons living in the same physical premises. (</w:t>
      </w:r>
      <w:r>
        <w:rPr>
          <w:rFonts w:ascii="arial" w:eastAsia="arial" w:hAnsi="arial" w:cs="arial"/>
          <w:i/>
          <w:color w:val="000000"/>
          <w:sz w:val="20"/>
          <w:lang w:val="en-US" w:eastAsia="en-US" w:bidi="ar-SA"/>
        </w:rPr>
        <w:t>Bowes v. Victoria</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[1998] B.C.J. No. 234</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mere fact that an adult child returns to the home of his parent for a visit does not make him a "member of the family". Thus, in </w:t>
      </w:r>
      <w:r>
        <w:rPr>
          <w:rFonts w:ascii="arial" w:eastAsia="arial" w:hAnsi="arial" w:cs="arial"/>
          <w:i/>
          <w:color w:val="000000"/>
          <w:sz w:val="20"/>
          <w:lang w:val="en-US" w:eastAsia="en-US" w:bidi="ar-SA"/>
        </w:rPr>
        <w:t>Paynter v. Wood</w:t>
      </w:r>
      <w:r>
        <w:rPr>
          <w:rFonts w:ascii="arial" w:eastAsia="arial" w:hAnsi="arial" w:cs="arial"/>
          <w:color w:val="000000"/>
          <w:sz w:val="20"/>
          <w:lang w:val="en-US" w:eastAsia="en-US" w:bidi="ar-SA"/>
        </w:rPr>
        <w:t>, supra, it was said at para.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 Even though he was welcome to come there whenever he wanted to do so, and because his mother felt responsibility for him, the act of moving into the family even without any arrangement about paying board does not per se make him a member of a family unit. Otherwise any child coming back to visit a family on a holiday would upon reaching home become a member of the family unit, and such I am satisfied was never the intention of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Battista argues that the only established household of which Mr. Portsmith was ever a member was that of his mother. He argues that Mr. Portsmith's other residences were transitory in nature and that he never established another household. He points to the fact that Mr. Portsmith received mail at Ms. Bostock's house, returned there to stay on a number of occasions, used a bedroom there and gave that address as his address during the police interview. He says, further, that the fact that he did chores, namely rototilling, is another factor that establishes that he was a member of Ms. Bostock's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my view, the weight of the evidence is against the plaintiff on this issue. The testimony of Ms. Bostock was Mr. Portsmith left home at the age of 15 and that, apart from a three or four month period when he was 17 and a six month period in 1999, Mr. Portsmith was on his own. She said that when her son moved out after the latter stay he took his belonging with him, leaving only a few articles of clothing, and that she turned his bedroom into a spare room. Her evidence is that it was not until the night of her husband's funeral that Mr. Portsmith again spent a night in her house and, on that occasion, he slept on the couch.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addition, the evidence of Mr. Stushnov was that by the time of the accident, Mr. Portsmith had been living with him for approximately four to six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provided no evidence to contradict the defence evidence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evidence fails to establish the sort of permanent commitment between Ms. Bostock and Mr. Portsmith that would be required to find that he was a member of the family. Mr. Portsmith had abandoned his family home many years before to lead a life independent of his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Was Mr. Portsmith operating the motor vehicle with the express or implied consent of Ms. Bostock?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Battista submits that Ms. Bostock expressly gave her son consent to use her car on the day before the accident. He submits that on a number of earlier occasions Mr. Portsmith was seen driving the car and Ms. Bostock must have known of his driving it. He submits that her knowledge constitutes express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my opinion, the plaintiff cannot succeed in establishing express consent. There is no evidence, as opposed to mere conjecture, that Ms. Bostock expressly gave her son permission to drive her car on the day in question. In my view, if she was aware of his driving the car on previous occasions, that knowledge does not constitute express consent to drive the car on the day of the accident. If consent is to be found, it must be on the basis of implied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Battista submits that there was implied consent because Ms. Bostock was wilfully blind in not securing the car keys when she knew that Mr. Portsmith had a propensity to drive illegally, did not follow the rules or law, drank excessively, and had no respect for authority and she could not control him. However, merely providing an opportunity for someone to take a vehicle does not constitute implied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test for implied consent was set out in </w:t>
      </w:r>
      <w:r>
        <w:rPr>
          <w:rFonts w:ascii="arial" w:eastAsia="arial" w:hAnsi="arial" w:cs="arial"/>
          <w:i/>
          <w:color w:val="000000"/>
          <w:sz w:val="20"/>
          <w:lang w:val="en-US" w:eastAsia="en-US" w:bidi="ar-SA"/>
        </w:rPr>
        <w:t>Palsky (Next friend of) v. Humphrey</w:t>
      </w:r>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[1964] S.C.R. 580</w:t>
        </w:r>
      </w:hyperlink>
      <w:r>
        <w:rPr>
          <w:rFonts w:ascii="arial" w:eastAsia="arial" w:hAnsi="arial" w:cs="arial"/>
          <w:color w:val="000000"/>
          <w:sz w:val="20"/>
          <w:lang w:val="en-US" w:eastAsia="en-US" w:bidi="ar-SA"/>
        </w:rPr>
        <w:t>, in which the Supreme Court of Canada affirmed the following test stated by Porter J.A. of the Alberta Court of Appeal: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seems to me that consent can be implied because it is clear that had it been sought it would have been granted as a matter of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Godsman v. Peck</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[1997] B.C.J. No. 377</w:t>
        </w:r>
      </w:hyperlink>
      <w:r>
        <w:rPr>
          <w:rFonts w:ascii="arial" w:eastAsia="arial" w:hAnsi="arial" w:cs="arial"/>
          <w:color w:val="000000"/>
          <w:sz w:val="20"/>
          <w:lang w:val="en-US" w:eastAsia="en-US" w:bidi="ar-SA"/>
        </w:rPr>
        <w:t xml:space="preserve"> (C.A.) the Court of Appeal concluded that the foregoing remains the applicable test. </w:t>
      </w:r>
      <w:r>
        <w:rPr>
          <w:rFonts w:ascii="arial" w:eastAsia="arial" w:hAnsi="arial" w:cs="arial"/>
          <w:i/>
          <w:color w:val="000000"/>
          <w:sz w:val="20"/>
          <w:lang w:val="en-US" w:eastAsia="en-US" w:bidi="ar-SA"/>
        </w:rPr>
        <w:t>Godsman</w:t>
      </w:r>
      <w:r>
        <w:rPr>
          <w:rFonts w:ascii="arial" w:eastAsia="arial" w:hAnsi="arial" w:cs="arial"/>
          <w:color w:val="000000"/>
          <w:sz w:val="20"/>
          <w:lang w:val="en-US" w:eastAsia="en-US" w:bidi="ar-SA"/>
        </w:rPr>
        <w:t xml:space="preserve"> approved the following analysis of Boyd J. in </w:t>
      </w:r>
      <w:r>
        <w:rPr>
          <w:rFonts w:ascii="arial" w:eastAsia="arial" w:hAnsi="arial" w:cs="arial"/>
          <w:i/>
          <w:color w:val="000000"/>
          <w:sz w:val="20"/>
          <w:lang w:val="en-US" w:eastAsia="en-US" w:bidi="ar-SA"/>
        </w:rPr>
        <w:t>Morrison (Committee of) v. Cormier Vegetation Control Ltd. et al.</w:t>
      </w:r>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[1996] B.C.J. No. 612</w:t>
        </w:r>
      </w:hyperlink>
      <w:r>
        <w:rPr>
          <w:rFonts w:ascii="arial" w:eastAsia="arial" w:hAnsi="arial" w:cs="arial"/>
          <w:color w:val="000000"/>
          <w:sz w:val="20"/>
          <w:lang w:val="en-US" w:eastAsia="en-US" w:bidi="ar-SA"/>
        </w:rPr>
        <w:t xml:space="preserve"> at para. 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case authorities establish that implied consent will not arise unless it can be said that if permission had been sought, it would have been granted by the owner as a matter of course. The mere possibility that consent would have been granted is not sufficient. In an effort to determine this issue of fact, the Court regularly examines all of the circumstances which existed at the time the driver acquired possession of the vehicle including the relationship between the owner and the driver (</w:t>
      </w:r>
      <w:r>
        <w:rPr>
          <w:rFonts w:ascii="arial" w:eastAsia="arial" w:hAnsi="arial" w:cs="arial"/>
          <w:i/>
          <w:color w:val="000000"/>
          <w:sz w:val="20"/>
          <w:lang w:val="en-US" w:eastAsia="en-US" w:bidi="ar-SA"/>
        </w:rPr>
        <w:t>Godsman, Palsky, Usher</w:t>
      </w:r>
      <w:r>
        <w:rPr>
          <w:rFonts w:ascii="arial" w:eastAsia="arial" w:hAnsi="arial" w:cs="arial"/>
          <w:color w:val="000000"/>
          <w:sz w:val="20"/>
          <w:lang w:val="en-US" w:eastAsia="en-US" w:bidi="ar-SA"/>
        </w:rPr>
        <w:t>); the circumstances in which the owner had given or refused consent in the past (</w:t>
      </w:r>
      <w:r>
        <w:rPr>
          <w:rFonts w:ascii="arial" w:eastAsia="arial" w:hAnsi="arial" w:cs="arial"/>
          <w:i/>
          <w:color w:val="000000"/>
          <w:sz w:val="20"/>
          <w:lang w:val="en-US" w:eastAsia="en-US" w:bidi="ar-SA"/>
        </w:rPr>
        <w:t>Godsman, Palsky, Besse</w:t>
      </w:r>
      <w:r>
        <w:rPr>
          <w:rFonts w:ascii="arial" w:eastAsia="arial" w:hAnsi="arial" w:cs="arial"/>
          <w:color w:val="000000"/>
          <w:sz w:val="20"/>
          <w:lang w:val="en-US" w:eastAsia="en-US" w:bidi="ar-SA"/>
        </w:rPr>
        <w:t>); any particular circumstances of the driver or the owner (</w:t>
      </w:r>
      <w:r>
        <w:rPr>
          <w:rFonts w:ascii="arial" w:eastAsia="arial" w:hAnsi="arial" w:cs="arial"/>
          <w:i/>
          <w:color w:val="000000"/>
          <w:sz w:val="20"/>
          <w:lang w:val="en-US" w:eastAsia="en-US" w:bidi="ar-SA"/>
        </w:rPr>
        <w:t>Usher</w:t>
      </w:r>
      <w:r>
        <w:rPr>
          <w:rFonts w:ascii="arial" w:eastAsia="arial" w:hAnsi="arial" w:cs="arial"/>
          <w:color w:val="000000"/>
          <w:sz w:val="20"/>
          <w:lang w:val="en-US" w:eastAsia="en-US" w:bidi="ar-SA"/>
        </w:rPr>
        <w:t>); any relevant and particular characteristics of the vehicle (</w:t>
      </w:r>
      <w:r>
        <w:rPr>
          <w:rFonts w:ascii="arial" w:eastAsia="arial" w:hAnsi="arial" w:cs="arial"/>
          <w:i/>
          <w:color w:val="000000"/>
          <w:sz w:val="20"/>
          <w:lang w:val="en-US" w:eastAsia="en-US" w:bidi="ar-SA"/>
        </w:rPr>
        <w:t>Palsky, Jaroszuk v. Quewezance</w:t>
      </w:r>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(1992), 66 B.C.L.R. (2d) 171</w:t>
        </w:r>
      </w:hyperlink>
      <w:r>
        <w:rPr>
          <w:rFonts w:ascii="arial" w:eastAsia="arial" w:hAnsi="arial" w:cs="arial"/>
          <w:color w:val="000000"/>
          <w:sz w:val="20"/>
          <w:lang w:val="en-US" w:eastAsia="en-US" w:bidi="ar-SA"/>
        </w:rPr>
        <w:t xml:space="preserve"> (B.C.C.A.)); and the use to which the driver proposed to put the vehicle (</w:t>
      </w:r>
      <w:r>
        <w:rPr>
          <w:rFonts w:ascii="arial" w:eastAsia="arial" w:hAnsi="arial" w:cs="arial"/>
          <w:i/>
          <w:color w:val="000000"/>
          <w:sz w:val="20"/>
          <w:lang w:val="en-US" w:eastAsia="en-US" w:bidi="ar-SA"/>
        </w:rPr>
        <w:t>Palsky, Usher</w:t>
      </w:r>
      <w:r>
        <w:rPr>
          <w:rFonts w:ascii="arial" w:eastAsia="arial" w:hAnsi="arial" w:cs="arial"/>
          <w:color w:val="000000"/>
          <w:sz w:val="20"/>
          <w:lang w:val="en-US" w:eastAsia="en-US" w:bidi="ar-SA"/>
        </w:rPr>
        <w:t>). All of these matters are examined by the Court, the relevant time being the time possession of the vehicle was acquired.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implied consent test is sometimes described by the Courts as an objective test, it necessarily imports a subjective element into that determination. Put another way, would this particular owner, in all of the circumstances, have consented to the driver acquiring possession of the vehicle as a matter of course? If the answer to that question is "yes", then the driver has proven that he or she drove the vehicle with the owner's implied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Morrison</w:t>
      </w:r>
      <w:r>
        <w:rPr>
          <w:rFonts w:ascii="arial" w:eastAsia="arial" w:hAnsi="arial" w:cs="arial"/>
          <w:color w:val="000000"/>
          <w:sz w:val="20"/>
          <w:lang w:val="en-US" w:eastAsia="en-US" w:bidi="ar-SA"/>
        </w:rPr>
        <w:t xml:space="preserve"> was reversed on appeal on the basis of express consent (</w:t>
      </w:r>
      <w:r>
        <w:rPr>
          <w:rFonts w:ascii="arial" w:eastAsia="arial" w:hAnsi="arial" w:cs="arial"/>
          <w:i/>
          <w:color w:val="000000"/>
          <w:sz w:val="20"/>
          <w:lang w:val="en-US" w:eastAsia="en-US" w:bidi="ar-SA"/>
        </w:rPr>
        <w:t>Morrison v. Cormier Vegetation Control Ltd.</w:t>
      </w:r>
      <w:r>
        <w:rPr>
          <w:rFonts w:ascii="arial" w:eastAsia="arial" w:hAnsi="arial" w:cs="arial"/>
          <w:color w:val="000000"/>
          <w:sz w:val="20"/>
          <w:lang w:val="en-US" w:eastAsia="en-US" w:bidi="ar-SA"/>
        </w:rPr>
        <w:t xml:space="preserve">, </w:t>
      </w:r>
      <w:hyperlink r:id="rId488" w:history="1">
        <w:r>
          <w:rPr>
            <w:rFonts w:ascii="arial" w:eastAsia="arial" w:hAnsi="arial" w:cs="arial"/>
            <w:i/>
            <w:color w:val="0077CC"/>
            <w:sz w:val="20"/>
            <w:u w:val="single"/>
            <w:shd w:val="clear" w:color="auto" w:fill="FFFFFF"/>
            <w:lang w:val="en-US" w:eastAsia="en-US" w:bidi="ar-SA"/>
          </w:rPr>
          <w:t>[1996] B.C.J. No. 2601</w:t>
        </w:r>
      </w:hyperlink>
      <w:r>
        <w:rPr>
          <w:rFonts w:ascii="arial" w:eastAsia="arial" w:hAnsi="arial" w:cs="arial"/>
          <w:color w:val="000000"/>
          <w:sz w:val="20"/>
          <w:lang w:val="en-US" w:eastAsia="en-US" w:bidi="ar-SA"/>
        </w:rPr>
        <w:t>) but the Court did not discuss the issue of implied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Battista submits that Ms. Bostock was not truthful when she testified that she had no knowledge of her son driving the car in the months before this accident. He submits that she was aware of his prior use of the car and that despite her testimony that she would not have given him permission to use the car on the day in question if he asked, her conduct after Mr. Portsmith telephoned her and the inconsistencies in and the illogical nature of her testimony indicate the opposite is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 number of witnesses testified that they saw Mr. Portsmith driving a small white car in and around Salmon Arm prior to this accident. Ms. Johnson testified she saw Mr. Portsmith drive a small white 4-door car. The Bostock vehicle was a two-door. Mr. Pincheira testified that the car he saw Mr. Portsmith driving "resembled" the one in the photograph of Ms. Bostock's car. Ms. French said the car she saw Mr. Portsmith drive "looked like" the car in the photograph. Mr. Jones said the car he saw Mr. Portsmith drive "looked similar to" the car in the photograph. Ms. McKenzie, who said she rode in the little white car, was "pretty sure" it was the car in the photograph. However, she also testified that the car she rode in had things hanging from the mirror. The photographs of Ms. Bostock's car, taken after the accident, do not show anything hanging from the mirror.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Despite the lack of certainty in the evidence of these witnesses, I think it is likely that Mr. Portsmith did, in fact, drive Ms. Bostock's car on a number of occasions before the night in question. But does the evidence establish that Ms. Bostock was aware that Mr. Portsmith had taken her car on the other occasions and can it be said that she would have permitted him to take it on this occasion if he had asked?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Ms. Bostock testified that she would have known if her car had been taken and used, unless she was away at the time. She testified that between June and September she and her husband were away from their home for considerable periods of time. After her husband was admitted to hospital in Vancouver on September 5, 2001, she was in Vancouver most of the time. Ms. Bostock also testified that when she was away she locked the doors to her house and locked her car but she left a set of car keys hanging in the kitchen. Mr. Portsmith knew the keys were there. While Ms. Bostock testified she did not see any evidence of forced entry to the house, Mr. Portsmith could have obtained a key to the house and could have surreptitiously obtained the use of the car without her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Battista submits that Ms. Bostock's credibility is severely undermined by the fact that she reported the car stolen on the instructions of Mr. Portsmith and then did not tell the police the truth, or at least the whole truth, when they interviewed her after the accident. He submits that Ms. Bostock lied to the police because she knew that Mr. Portsmith must have taken the car and she wanted to protect him, as well as protect her own interests. Ms. Bostock's actions are also consistent with her suspecting, when Mr. Portsmith telephoned her, that he had been using her car and that something bad had happened that involved him. The fact that she may have developed that suspicion as a result of the telephone calls does not lead to the conclusion that she was aware at the time Mr. Portsmith took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Battista also submits that Ms. Bostock's credibility is undermined by the illogical nature of her evidence. He says that her evidence that she only locked the house and the car when she went away overnight makes no sense. In my opinion, considering the rural nature of the area in which she lived, it is quite understandable. Mr. Battista says that Ms. Bostock's explanation for leaving the keys in the car makes no sense. Ms. Bostock provided an explanation that when she arrived home she needed to use the bathroom and left the keys in the car because she intended to return to the car to retrieve the can of gas but was tired and forgot about the gas. That is not a far-fetched explanation.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Battista submits that Ms. Bostock's testimony that she did not notice the car was missing when she returned from having the oil changed in the truck is unbelievable. Ms. Bostock testified that she just drove in and parked her truck by the back door and did not pay attention to what other cars were parked in front of the garage. Again, that is a plausible explanation given the fact that she was tired and upset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in spite of the challenge made by Mr. Battista, found Ms. Bostock to be a credible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What I am left with on this issue is evidence, which I accept, that Ms. Bostock did not give her son permission to drive her vehicles on this or other occasions because he did not have a driver's license, abused alcohol and was not trustworthy. I am not satisfied there is a history of his using the vehicle with her knowledge. In my view, the indicia of implied consent referred to in the authorities are not present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Was Ms. Bostock negligent in leaving her keys in the unlocked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plaintiff alleged in the alternative in her amended statement of claim that Ms. Bostock was negligent in failing to take reasonable steps to prevent Mr. Portsmith from driving her car in circumstances where she knew or ought to have known that he might drive the car without her permission. In particular, the plaintiff alleged that Ms. Bostock was negligent in failing to secure the car keys in a manner that would prevent unauthorized use of the car, failing to monitor Mr. Portsmith and failing to secure the car, that is failing to lock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Mr. Battista did not address this alternative claim in his written submissions. I can deal with it briefly. This alternative claim must fail for the following reasons. I have found Ms. Bostock's explanation for leaving the keys in the car to be reasonable. I have also concluded that her habit of not locking the car when she was at home to be reasonable considering the remote nature of her residence and the fact that there had been no thefts during the five years she lived there. Further, given my findings that Mr. Portsmith was not residing with her and that she was not, in fact, aware that Mr. Portsmith had on previous occasions taken and used her car without her knowledge and consent, there was no reason for her to believe that he would take the car from her yard. It was not reasonably foreseeable that the car would be stolen and driven negligently causing an accident (see: </w:t>
      </w:r>
      <w:r>
        <w:rPr>
          <w:rFonts w:ascii="arial" w:eastAsia="arial" w:hAnsi="arial" w:cs="arial"/>
          <w:i/>
          <w:color w:val="000000"/>
          <w:sz w:val="20"/>
          <w:lang w:val="en-US" w:eastAsia="en-US" w:bidi="ar-SA"/>
        </w:rPr>
        <w:t>Hollet v. Coca-Cola Ltd.</w:t>
      </w:r>
      <w:r>
        <w:rPr>
          <w:rFonts w:ascii="arial" w:eastAsia="arial" w:hAnsi="arial" w:cs="arial"/>
          <w:color w:val="000000"/>
          <w:sz w:val="20"/>
          <w:lang w:val="en-US" w:eastAsia="en-US" w:bidi="ar-SA"/>
        </w:rPr>
        <w:t xml:space="preserve">, </w:t>
      </w:r>
      <w:hyperlink r:id="rId489" w:history="1">
        <w:r>
          <w:rPr>
            <w:rFonts w:ascii="arial" w:eastAsia="arial" w:hAnsi="arial" w:cs="arial"/>
            <w:i/>
            <w:color w:val="0077CC"/>
            <w:sz w:val="20"/>
            <w:u w:val="single"/>
            <w:shd w:val="clear" w:color="auto" w:fill="FFFFFF"/>
            <w:lang w:val="en-US" w:eastAsia="en-US" w:bidi="ar-SA"/>
          </w:rPr>
          <w:t>[1980] N.S.J. No. 15</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Tong v. Bedwell</w:t>
      </w:r>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[2002] A.J. No. 263</w:t>
        </w:r>
      </w:hyperlink>
      <w:r>
        <w:rPr>
          <w:rFonts w:ascii="arial" w:eastAsia="arial" w:hAnsi="arial" w:cs="arial"/>
          <w:color w:val="000000"/>
          <w:sz w:val="20"/>
          <w:lang w:val="en-US" w:eastAsia="en-US" w:bidi="ar-SA"/>
        </w:rPr>
        <w:t xml:space="preserve"> (Q.B.)).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 is entitled to judgment against the estate of Wade Robert Portsmith for damages to be assessed or as agreed. The action against the defendant Beverly Ellen Bostock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Counsel may arrange to speak to the matter of costs,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JOYCE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1" style="position:absolute;z-index:2518824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91"/>
          <w:headerReference w:type="default" r:id="rId492"/>
          <w:footerReference w:type="even" r:id="rId493"/>
          <w:footerReference w:type="default" r:id="rId494"/>
          <w:headerReference w:type="first" r:id="rId495"/>
          <w:footerReference w:type="first" r:id="rId49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97" w:history="1">
        <w:r>
          <w:rPr>
            <w:rFonts w:ascii="arial" w:eastAsia="arial" w:hAnsi="arial" w:cs="arial"/>
            <w:b/>
            <w:bCs/>
            <w:i/>
            <w:color w:val="0077CC"/>
            <w:kern w:val="32"/>
            <w:sz w:val="28"/>
            <w:szCs w:val="32"/>
            <w:u w:val="single"/>
            <w:shd w:val="clear" w:color="auto" w:fill="FFFFFF"/>
            <w:lang w:val="en-US" w:eastAsia="en-US" w:bidi="ar-SA"/>
          </w:rPr>
          <w:t>Singh v. British Columbia (Minister for Public Safety), [2013] B.C.J. No. 1094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E.J. Adair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20-24, 2012; January 7-9,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28,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M110347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1094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923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45 M.V.R. (6th) 126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228 A.C.W.S. (3d) 894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CarswellBC 1553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Prem Prakash Singh, Plaintiff, and Minister for Public Safety and Her Majesty the Queen in right of the Province of British Columbia as represented by the Ministry of Attorney General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2"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9" w:name="Keywords_23"/>
      <w:bookmarkEnd w:id="159"/>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Motor vehicles — Rules of the road — Action by Singh for damages from motor vehicle accident dismissed — Singh struck police car which travelled through red light while responding to emergency call — Police given conditional statutory right of way to travel through red lights without stopping — Standard of care was reasonable police officer acting within statutory privileges — Court accepted constable's evidence siren activated — Constable had reasonable grounds to believe risk of harm to public greater if she didn't exercise statutory privileges — Constable had right of way — Singh required to yield — Constable proceeded through intersection in reasonable manner — Motor Vehicle Act, ss. 122, 127(1) and 177.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Torts by the Crown — Liability of officials and employees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Singh for damages from motor vehicle accident dismissed — Singh struck police car which travelled through red light while responding to emergency call — Police given conditional statutory right of way to travel through red lights without stopping — Standard of care was reasonable police officer acting within statutory privileges — Court accepted constable's evidence siren activated — Constable had reasonable grounds to believe risk of harm to public greater if she didn't exercise statutory privileges — Constable had right of way — Singh required to yield — Constable proceeded through intersection in reasonable manner — Motor Vehicle Act, ss. 122, 127(1) and 177.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Defences — Statutory compliance — Authority — Action by Singh for damages from motor vehicle accident dismissed — Singh struck police car which travelled through red light while responding to emergency call — Police given conditional statutory right of way to travel through red lights without stopping — Standard of care was reasonable police officer acting within statutory privileges — Court accepted constable's evidence siren activated — Constable had reasonable grounds to believe risk of harm to public greater if she didn't exercise statutory privileges — Constable had right of way — Singh required to yield — Constable proceeded through intersection in reasonable manner — Motor Vehicle Act, ss. 122, 127(1) and 177.</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0" w:name="Case Summary_22"/>
            <w:bookmarkEnd w:id="16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Singh for damages from a motor vehicle accident. Singh struck a police vehicle which had travelled through a red light while responding to an emergency call. Police officers were given a statutory right of way to travel through red lights without stopping if certain conditions were satisfied. The applicable standard of care was that of a reasonable police officer acting within their statutory privileges. The parties agreed that the police lights were on when the constable entered the intersection, but disagreed whether the siren was activated. Singh further argued that the constable should have noticed him in the intersection and it was unreasonable not to yield to his vehicle.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1" w:name="Holdings of Court_19"/>
            <w:bookmarkEnd w:id="161"/>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constable was acting within her statutory privileges at the time of the accident. Singh's memory and testimony were not reliable. The court accepted the constable's evidence that her siren was activated at the time of the accident. Her evidence was also was supported by two witnesses. She was responding to an emergency call that a child was threatened with harm. She therefore had reasonable grounds to believe that the risk of harm to the public by the exercise of her statutory privileges was less than if those privileges were not exercised. The constable therefore had the right of way and Singh was required to yield to her. The evidence further established that the constable proceeded through the intersection in a cautious and reasonable manner.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2" w:name="Legislation Cited_20"/>
      <w:bookmarkEnd w:id="16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3"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498" w:history="1">
        <w:r>
          <w:rPr>
            <w:rFonts w:ascii="arial" w:eastAsia="arial" w:hAnsi="arial" w:cs="arial"/>
            <w:i/>
            <w:color w:val="0077CC"/>
            <w:sz w:val="20"/>
            <w:u w:val="single"/>
            <w:shd w:val="clear" w:color="auto" w:fill="FFFFFF"/>
            <w:lang w:val="en-US" w:eastAsia="en-US" w:bidi="ar-SA"/>
          </w:rPr>
          <w:t>RSBC 1996, CHAPTER 318, s. 122</w:t>
        </w:r>
      </w:hyperlink>
      <w:r>
        <w:rPr>
          <w:rFonts w:ascii="arial" w:eastAsia="arial" w:hAnsi="arial" w:cs="arial"/>
          <w:color w:val="000000"/>
          <w:sz w:val="20"/>
          <w:lang w:val="en-US" w:eastAsia="en-US" w:bidi="ar-SA"/>
        </w:rPr>
        <w:t>, s. 127(1), s. 177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Motor Vehicle Act Emergency Vehicle Driving Regulation, B.C. Reg. 133/98, s. 3(2), s. 4(1), s. 4(3), s. 4(6)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3" w:name="Counsel_22"/>
      <w:bookmarkEnd w:id="16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4" style="position:absolute;z-index:2517852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Peter Buxton and Andreas Kuntze.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Susanne Pereira and Matthew Canzer.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4" w:name="Judgment_23"/>
      <w:bookmarkEnd w:id="164"/>
      <w:r>
        <w:pict>
          <v:line id="_x0000_s1145" style="position:absolute;z-index:2518353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5" w:name="E.J. ADAIR J."/>
            <w:bookmarkEnd w:id="165"/>
            <w:r>
              <w:rPr>
                <w:rFonts w:ascii="arial" w:eastAsia="arial" w:hAnsi="arial" w:cs="arial"/>
                <w:b/>
                <w:color w:val="000000"/>
                <w:sz w:val="30"/>
                <w:lang w:val="en-US" w:eastAsia="en-US" w:bidi="ar-SA"/>
              </w:rPr>
              <w:t>E.J. ADAIR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September 12, 2007, the plaintiff, Mr. Prem Singh, was travelling northbound on Scott Road (also known as 120th Street) in Surrey, B.C. Mr. Singh approached the intersection at 96th Avenue. 96th Avenue runs east and west. The traffic light was green for Mr. Singh. As Mr. Singh went through the intersection, he hit a westbound RCMP vehicle driven by Constable Kerri Parrish.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Constable Parrish was on her way to answer a "Priority 1" call from her dispatcher. There is no dispute that, at the intersection of Scott Road and 96th Avenue, the traffic light was red for Constable Parrish.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is also no dispute that the emergency lights were flashing on Constable Parrish's vehicle. However, whether her emergency siren was activated is hotly contested.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Both liability and damages are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Mr. Singh says that the collision with Constable Parrish occurred as a result of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 says that, while the emergency lights on Constable Parrish's car were flashing, Constable Parrish had not activated her emergency siren, and she therefore did not have the right of way. Mr. Singh says further that, even if Constable Parrish had activated her emergency siren, she nevertheless failed to exercise reasonable care, and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Singh claims that, as a result of the accident, he sustained soft tissue injuries to his shoulders, neck and back, and that he continues to experience chronic pain symptoms as a result of his injuries. Mr. Singh seeks non-pecuniary damages of between $45,000 and $60,000, compensation for past income loss and for the cost of future care, as well as special damages. Mr. Singh does not seek compensation for income loss or loss of earning capacity after July 2010. At that time, Mr. Singh became unemployable because of retinopathy and visual impairment connected with his diabetes.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Mr. Singh's claim against the defendant Her Majesty the Queen in right of the Province of British Columbia as represented by the Ministry of Attorney General of British Columbia was dismissed without costs during closing submissions. The dismissal was unopposed. The remaining defendant, the Minister for Public Safety, is conceded to be the correct defendant in the event I find Constable Parrish was negligent and that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injuries Mr. Singh claims to have suffered in the collision. I will refer to the Minister for Public Safety as the "Minister" or simply as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Minister says that Mr. Singh's claim should be dismissed. The Minister says that Constable Parrish had both her emergency lights and siren activated and that, in the circumstances, Constable Parrish had the right of way at the intersection. The Minister says that the accident was therefore caused by Mr. Singh's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not as a result of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Constable Parrish. The Minister says in the alternative that, if Constable Parrish is found to have been negligent, then Mr. Singh should be found contributorily negligent. In addition, the Minister disputes that the injuries Mr. Singh claims to have suffered were caused by the accident. Finally, the Minister says that, even if liability is determined in Mr. Singh's favour, any award of damages should be modest, on the basis that Mr. Singh recovered relatively quickly (within about six months) from any injuries he suffered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will first address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addition to Mr. Singh and Constable Parrish, I heard evidence concerning the circumstances of the accident from four other witnesses: Mr. Jagbir Singh Deol, Mr. Salesh Chand, RCMP Constable Bojan Lucic and Mr. Jason Barros. Mr. Deol and Mr. Chand were called by Mr. Singh, and Constable Lucic and Mr. Barros were called by the Minister.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Scott Road northbound, there are two through lanes, and left and right turning lanes at the intersection with 96th Avenue. There is a dedicated left-turn lane southbound. The intersection is controlled by traffic signals, including advance left-turn signals for vehicles making left turns from Scott Road onto 96th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According to Mr. Singh, on the day of the accident, he was driving to a friend's house. It was late morning, and a fine September day. Mr. Singh was driving a 2003 Pontiac with a sun roof. He was wearing his three-point seatbelt. Mr. Singh initially recalled that the car's front windows and the sun roof were all open. However, after reviewing a photograph of his car taken at the scene, he acknowledged that the sun roof could have been only partially open. The photograph also shows the driver's window as closed, but Mr. Singh did not recall this. According to Mr. Singh, the car radio was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Singh is a long-time diabetic. He testified that, despite his diabetes, as of September 2007, he did not require corrective eye-wear for driving. His evidence in that respect was unchallenged, and there was no allegation in the Statement of Defence that the accident was caused as a result of Mr. Singh's impaired vision or failing eyesight.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According to Mr. Singh, he was travelling in the left travel lane (sometimes referred to by other witnesses as the "fast" lane or the centre lane) on Scott Road. A police car had been travelling behind him since about 88th Avenue. As Mr. Singh recalled, he was travelling about 50 kilometres per hour. He recalled that, as he approached the intersection, there was a car beside him on his left. Mr. Singh did not recall there being other vehicles around him. There was some inconsistency on this point between Mr. Singh's evidence at trial and his evidence on his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According to Mr. Singh, he was looking straight ahead, not up or down. There was also some inconsistency on this point between Mr. Singh's evidence at trial and his answer on a confidential patient information form that Mr. Singh completed for his chiropractor in November 2007. One of the questions on the form was, "Which direction were you looking at the time of impact?" The choices were: straight ahead, right, left, up or down. Mr. Singh circled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According to Mr. Singh, he did not hear anything unusual. The traffic light at the intersection was green for vehicles on Scott Road. As he recalled, as soon as he entered the intersection, a police car came up right in front of him. At that point, Mr. Singh saw the emergency lights on the police car. According to Mr. Singh, he tried to slow down and he applied his brakes. However, he could not stop, and he hit the driver's side of the police vehicle. According to Mr. Singh, his car was pushed westwards, about ten feet. His body went forward and then back. His car's airbag on the driver's side deployed.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Deol was driving a large diesel gravel truck the day of the accident. As he recalled, the windows of his truck were closed and the radio was on, although he was unsure whether the air conditioning was also on. There was also noise from the truck's engine.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Deol was travelling south on Scott Road and was intending to turn left, to go east on 96th Avenue, on his way to a job. As Mr. Deol recalled, he was in the left turn lane, and, at that point, the light for through traffic on Scott Road was red. He recalled that there were three or four cars in front of his vehicle in the left-turn lane, and that they turned on the green left-turn arrow. However, the arrow turned yellow for him. Mr. Deol decided that he could not make the turn quickly enough and so waited, with the front of his truck just past the crosswalk and partly into the intersection, to make his turn. I conclude that, at this point, the traffic light had turned green for through traffic on Scott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Mr. Deol recalled, he saw a police car to his left, and to the left of other westbound vehicles on 96th Avenue. The emergency lights on the police car drew his attention. Mr. Deol was asked on his examination-in-chief whether he heard any unusual noises, and he said that he did not. He recalled that the police car stopped at the stop line on 96th Avenue, even with the other cars, at the same time as the light turned green for traffic on Scott Road. According to Mr. Deol, from the point when he noticed the police car, all traffic was stopped in all four directions. As Mr. Deol recalled, the police car then proceeded slowly into the middle of the intersection. According to Mr. Deol, at the same time, Mr. Singh's vehicle came into the intersection and hit the police car. When Mr. Singh's car hit the police car, the police car then hit Mr. Deol's truck and ended up on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During his testimony, Mr. Deol observed that sometimes people do not hear an emergency siren. When asked on cross-examination, he testified that it was possible he was not able to hear the siren and that he was not sure if he heard one. As best he could recall, he saw the emergency lights and did not hear anything unusual.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 year or two before the accident, Mr. Chand and Mr. Singh became acquainted with one another through soccer, which both of them played. Indeed, soccer was one of Mr. Singh's favourite pastimes. However, based on the evidence of both of them, I conclude they were merely acquaintances, rather than friends. It was simply a co-incidence that Mr. Chand witnessed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Chand lived a few blocks away from the intersection of Scott Road and 96th Avenue, and he was on his way home from the gym. He was travelling northbound on Scott Road, intending to turn left onto 96th Avenue, and he moved from the left lane into the left-turn lane. As Mr. Chand recalled, he had the music on in his vehicle and the windows were closed. According to Mr. Chand, when he arrived at the intersection, there were two or three cars ahead of him. He could not recall whether the traffic was moving or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Chand did not see the collision itself. He recalled seeing the emergency lights on the police car. In his examination-in-chief, Mr. Chand was asked if he heard a siren, and he said he did not. He said that he thought he might have heard a little of the collision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turn next to the evidence of Constable Parrish.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day of the accident, Constable Parrish was driving a 2005 Crown Victoria, which was a regular vehicle for her to drive. The vehicle had all of the usual RCMP markings and emergency equipment, including lights and sirens. She had done a pre-patrol examination at the beginning of her shift, and both the siren and emergency lights on the vehicle were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Constable Parrish was familiar with the intersection at Scott Road and 96th Avenue. She testified that the traffic there is always moderate to high, depending on the time of day. In the late morning on September 12, 2007, it was moderate, as she recalled. This is consistent with what other witnesses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According to Constable Parrish, before the collision, she was travelling on 96th Avenue, westbound, on her way to the west area of Surrey and the north area of Delta. Then she received a tone alert (a high-pitched bell ringing) from the dispatcher, alerting her that a "Priority 1" call was going to be relayed from dispatch. There was an unknown male with a child; the man had a knife and was going to use it to harm the child. Therefore, RCMP members were being dispatched to 111th Street and 96th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Constable Parrish explained that "Priority 1" was one of the highest priority calls. In this case, the incident was in progress, and dispatch had the man on the line. The man had a child and a weapon. Therefore, the call was of the highest priority. As Constable Parrish recalled, she responded to the call and was given information. She was then north and east of the location. Although there were numerous police vehicles being dispatched to the same call, she was one of the lead vehicles. According to Constable Parrish, she responded to the location of the call with lights and sirens. She described this as a "code 3" response, which meant respond at once with emergency equipment activated.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Constable Parrish testified that she had her vehicle's emergency lights fully activated, which can be done with a single switch. She testified that she also activated the "wail" continuous siren, which is done with a single button. Constable Parrish explained that there are buttons for both the siren and air horn. For the siren, hitting the button once turns the siren on, and hitting it again turns the siren off. On the other hand, the air horn is intermittent. An officer turns it on by pressing the button, and turns it off by taking her finger off the button. If the wail siren is on, it remains on (even though the air horn is being used) until it is turned off. According to Constable Parrish, based on what she had been told by her dispatcher, she had reasonable grounds to believe there was a risk of great harm to the child at the location involved in the call, and that outweighed the potential harm to the general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According to Constable Parrish, when she arrived at 96th Avenue and 128th Street, she deactivated her emergency equipment to speak to the dispatcher and confirm the address of the call. Her dispatcher told her to continue to respond. According to Constable Parrish, she then reactivated her vehicle's emergency equipment, including lights and siren. She recalled encountering traffic on 96th Avenue, and that, although she had her vehicle's "wail" siren activated, some vehicles were slow to move over, so she used her vehicle's air horn.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According to Constable Parrish, when she arrived at the intersection of Scott Road and 96th Avenue, she faced a red light. She recalled that a car was stopped in the through lane, and so she moved her vehicle into the dedicated left-turn lane. According to Constable Parrish, she then came to a stop. She had her vehicle's emergency lights and siren activated. She intended to continue west on 96th Avenue. As Constable Parrish recalled, once she stopped, she looked for pedestrians, and satisfied herself there was no risk there. According to Constable Parrish, there were no vehicles in the intersection northbound after she stopped at stop line, although there were some southbound vehicles. As Constable Parrish recalled, she then pulled forward from the stop line into the crosswalk, to get a better view of the northbound lanes on Scott Road. According to Constable Parrish, there was a truck in the shoulder lane, and she satisfied herself that the truck was going to yield to her, as if it were making a right turn. According to Constable Parrish, before she entered the intersection, she looked for vehicles in the northbound through lanes on Scott Road. As she recalled, she did not see any vehicles that she thought were an immediate risk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According to Constable Parrish, she then moved forward from the crosswalk into the intersection. She recalled being aware there were still some vehicles moving, and she continued to use her air horn. As Constable Parrish recalled, she continued to look at the northbound lanes. In her examination-in-chief, she did not recall there being any vehicles in the northbound turning lane on Scott Road, although during cross-examination, she recalled that there was a vehicle in the northbound left turn lane. Constable Parrish conceded on cross-examination that she observed vehicles northbound on Scott Road, but she recalled there was nothing that stood out to her as requiring attention and, as far as she could recall, there were no northbound vehicles within 20 metres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Constable Parrish recalled, after her vehicle cleared the northbound centre lane of Scott Road, she then turned her focus to southbound traffic. She recalls there was a gravel truck stopped in the southbound left turn lane. This was Mr. Deol's truck. She continued to use her air horn. According to Constable Parrish, she stopped her vehicle in about the centre of the intersection, established eye contact with Mr. Deol and got a commitment from him not to move. She satisfied herself it was safe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As Constable Parrish recalled, by this time, she had stopped three times to check for other traffic: first, at the stop line on 96th Avenue; then, at the crosswalk before entering the intersection; and third, as she was proceeding through the intersection, when she was in (i.e., perpendicular to) the centre northbound lane of Scott Road. Constable Parrish denied the suggestion put to her on cross-examination that she stopped her vehicle only once, at the stop line on 96th Avenue, and then drove through the intersection. She also disagreed that it was possible her vehicle's siren was not activated. She was not asked whether or not she agreed with Mr. Deol's observation that sometimes people do not hear an emergency siren.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According to Constable Parrish, once she had cleared the centre northbound lane of Scott Road, she then turned her attention to the other southbound lanes. However, Mr. Deol's truck was blocking view. As she recalled, she was continuing to use her air horn and siren. According to Constable Parrish, she started to creep forward, looking around the truck. She recalled observing that the vehicles in the southbound lanes had slowed. She was creeping forward in her vehicle, and it was at that point that Mr. Singh's car collided with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Singh hit Constable Parrish's vehicle on the driver's side, in the area of the front left tire and back toward the driver's door. As Mr. Deol and others testified, Constable Parrish's vehicle then hit Mr. Deol's truck and continued moving until it came to rest on the sidewalk on the northwest corner of 96th Avenue. Constable Parrish testified that, before her vehicle came to a stop, she called in the collision to her dispatcher. Constable Parrish's side air bag had deployed. Once her vehicle stopped, she recalled feeling anxious when she was unable to open the door on the driver's side and thinking about the possibility of fire. Another officer, Constable Lucic, who had been travelling behind Mr. Singh prior to the collision, arrived very quickly and helped open the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Constable Parrish recalled that her siren and emergency lights were still active. Other witnesses were not asked about this. Constable Parrish remembered thinking that she could shut the siren and lights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Just before the collision occurred, Constable Lucic was in his RCMP vehicle, travelling northbound on Scott Road. He recalled that he was in the left travel lane behind a Pontiac, and I conclude that his vehicle is the police vehicle Mr. Singh mentioned he saw travelling behind his car. Constable Lucic was responding to a Priority 2 call and was still receiving information, so he did not have his vehicle's emergency equipment activated.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According to Constable Lucic, as he approached the intersection, the traffic light was green. He recalled that, in the lane to his right, traffic was slowing down and starting to pile up just before 96th Avenue. According to Constable Lucic, he heard a police siren. He estimated that he was about 20 metres from the intersection when he heard it. Initially, he could not tell where the siren was coming from, but, when he was about 15 metres or so from the intersection, he then observed a police vehicle on 96th Avenue. It was stopped at the intersection. As Constable Lucic recalled, the police vehicle then moved across the crosswalk. He recalled that its lights and siren were on. Constable Lucic described the police vehicle as creeping up, stopping and then going. As he recalled, he slowed down to stop, about a car-length before the crosswalk across Scott Road. According to Constable Lucic, other vehicles had also stopped. However, Mr. Singh continued through the intersection and hit the police vehicle. Like other witnesses, Constable Lucic observed that the police vehicle then hit Mr. Deol's truck and ended up on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Constable Lucic then activated the lights and siren on his vehicle. He concluded that the police vehicle had sustained more damage than Mr. Singh's and attended there first. He assisted Constable Parrish to get out of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He was then directed to look for witnesses. Constable Lucic made notes at the scene and also took an oral statement (which was recorded and, as of trial, available on CD) from Mr. Deol. He acknowledged that his notes do not say anything about a siren, although they do say Constable Parrish's emergency lights were on. At trial, Constable Lucic explained that, at the time, he was still very junior (he joined the RCMP in May 2007) and had "inadvertently omitted" to mention the siren. When asked on cross-examination, Constable Lucic was unable to recall whether he asked Mr. Deol about a siren, and he had not listened to the CD before giving evidence at trial. He also acknowledged that a general occurrence report prepared shortly after the accident also does not mention a siren, but he explained that the report was prepared from his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Barros was the final witness to the accident called to testify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As Mr. Barros recalled, he was northbound on Scott Road, and was stopped in the left turn lane. According to Mr. Barros, his was the first vehicle in the left turn lane, and he had a clear view of the intersection. He did not recall the colour of the traffic light, but he did recall he did not enter the intersection, although (as of trial) he could not recall why.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Barros recalled that he heard sirens from a police car, coming from his right. He then saw the car, with its emergency lights activated, on 96th Avenue, in the intersection. He recalled that a car went past him in the left travel lane on Scott Road and hit the police car in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Barros was not cross-examined.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Singh was able to get out of his car after the collision. He recalled that his neck, chest and left shoulder felt very painful. An ambulance arrived and took him to Surrey Memorial Hospital. According to Mr. Singh, he felt considerable pain in his neck, chest, lower back, left shoulder. He was unable to recall how long he was at the hospital, but returned home later that day, still in pain. Mr. Singh went to see his family doctor the following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While Mr. Singh was at the hospital, a police officer gave him a ticket for failing to yield to an emergency vehicle. Mr. Singh did not dispute the ticket, and paid the fine.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 and Findings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Where an accident occurs on a highway, a useful starting place is to determine who had the right of way in accordance with the prevailing rules of the road. Generally speaking, the party with the right of way is entitled to assume that other highway users will abide by the rules of the road, but cannot do so without regard for his or her own safety or the safety of others. See </w:t>
      </w:r>
      <w:r>
        <w:rPr>
          <w:rFonts w:ascii="arial" w:eastAsia="arial" w:hAnsi="arial" w:cs="arial"/>
          <w:b/>
          <w:i/>
          <w:color w:val="000000"/>
          <w:sz w:val="20"/>
          <w:lang w:val="en-US" w:eastAsia="en-US" w:bidi="ar-SA"/>
        </w:rPr>
        <w:t>Enright v. Marwick</w:t>
      </w:r>
      <w:r>
        <w:rPr>
          <w:rFonts w:ascii="arial" w:eastAsia="arial" w:hAnsi="arial" w:cs="arial"/>
          <w:color w:val="000000"/>
          <w:sz w:val="20"/>
          <w:lang w:val="en-US" w:eastAsia="en-US" w:bidi="ar-SA"/>
        </w:rPr>
        <w:t xml:space="preserve">, </w:t>
      </w:r>
      <w:hyperlink r:id="rId499" w:history="1">
        <w:r>
          <w:rPr>
            <w:rFonts w:ascii="arial" w:eastAsia="arial" w:hAnsi="arial" w:cs="arial"/>
            <w:i/>
            <w:color w:val="0077CC"/>
            <w:sz w:val="20"/>
            <w:u w:val="single"/>
            <w:shd w:val="clear" w:color="auto" w:fill="FFFFFF"/>
            <w:lang w:val="en-US" w:eastAsia="en-US" w:bidi="ar-SA"/>
          </w:rPr>
          <w:t>2004 BCCA 259</w:t>
        </w:r>
      </w:hyperlink>
      <w:r>
        <w:rPr>
          <w:rFonts w:ascii="arial" w:eastAsia="arial" w:hAnsi="arial" w:cs="arial"/>
          <w:color w:val="000000"/>
          <w:sz w:val="20"/>
          <w:lang w:val="en-US" w:eastAsia="en-US" w:bidi="ar-SA"/>
        </w:rPr>
        <w:t>,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Liability in this case depends on who had the right of way at the intersection: Mr. Singh or Constable Parrish?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As Grauer J. observed in </w:t>
      </w:r>
      <w:r>
        <w:rPr>
          <w:rFonts w:ascii="arial" w:eastAsia="arial" w:hAnsi="arial" w:cs="arial"/>
          <w:b/>
          <w:i/>
          <w:color w:val="000000"/>
          <w:sz w:val="20"/>
          <w:lang w:val="en-US" w:eastAsia="en-US" w:bidi="ar-SA"/>
        </w:rPr>
        <w:t>Haczewski v. British Columbia</w:t>
      </w:r>
      <w:r>
        <w:rPr>
          <w:rFonts w:ascii="arial" w:eastAsia="arial" w:hAnsi="arial" w:cs="arial"/>
          <w:color w:val="000000"/>
          <w:sz w:val="20"/>
          <w:lang w:val="en-US" w:eastAsia="en-US" w:bidi="ar-SA"/>
        </w:rPr>
        <w:t xml:space="preserve">, </w:t>
      </w:r>
      <w:hyperlink r:id="rId500" w:history="1">
        <w:r>
          <w:rPr>
            <w:rFonts w:ascii="arial" w:eastAsia="arial" w:hAnsi="arial" w:cs="arial"/>
            <w:i/>
            <w:color w:val="0077CC"/>
            <w:sz w:val="20"/>
            <w:u w:val="single"/>
            <w:shd w:val="clear" w:color="auto" w:fill="FFFFFF"/>
            <w:lang w:val="en-US" w:eastAsia="en-US" w:bidi="ar-SA"/>
          </w:rPr>
          <w:t>2012 BCSC 380</w:t>
        </w:r>
      </w:hyperlink>
      <w:r>
        <w:rPr>
          <w:rFonts w:ascii="arial" w:eastAsia="arial" w:hAnsi="arial" w:cs="arial"/>
          <w:color w:val="000000"/>
          <w:sz w:val="20"/>
          <w:lang w:val="en-US" w:eastAsia="en-US" w:bidi="ar-SA"/>
        </w:rPr>
        <w:t>, at para. 12, no statute need be cited for the general proposition that a vehicle entering a controlled intersection with a green light has the right of way over vehicles facing the red light. However, what is the situation where the vehicle with the red light is a police car responding to an emergency?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provides certain privileges to emergency vehicles, including the limited right to proceed through a red light without stopping: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Exemption for emergency vehicles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122 (1) Despite anything in this Part, but subject to subsections (2) and (4), a driver of an emergency vehicle may do the following:</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exceed the speed limit;</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 past a red traffic control signal or stop sign without stopping;</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disregard rules and traffic control devices governing direction of movement or turning in specified directions;</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stop or stand.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an emergency vehicle must not exercise the privileges granted by subsection (1) except in accordance with the regulations.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an emergency vehicle exercising a privilege granted by subsection (1) must drive with due regard for safety, having regard to all the circumstances of the case, including the following:</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condition and use of the highway;</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traffic that is on, or might reasonably be expected to be on, the highway;</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use being made of the emergency vehicle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use of those privileges is governed by the </w:t>
      </w:r>
      <w:r>
        <w:rPr>
          <w:rFonts w:ascii="arial" w:eastAsia="arial" w:hAnsi="arial" w:cs="arial"/>
          <w:b/>
          <w:i/>
          <w:color w:val="000000"/>
          <w:sz w:val="20"/>
          <w:lang w:val="en-US" w:eastAsia="en-US" w:bidi="ar-SA"/>
        </w:rPr>
        <w:t>Motor Vehicle Act Emergency Vehicle Driving Regulation</w:t>
      </w:r>
      <w:r>
        <w:rPr>
          <w:rFonts w:ascii="arial" w:eastAsia="arial" w:hAnsi="arial" w:cs="arial"/>
          <w:color w:val="000000"/>
          <w:sz w:val="20"/>
          <w:lang w:val="en-US" w:eastAsia="en-US" w:bidi="ar-SA"/>
        </w:rPr>
        <w:t>, B.C. Reg. 133/98, which provides, in s.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Emergency response by peace officer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(1) A peace officer operating an emergency vehicle for purposes other than pursuit may exercise the privileges granted by section 122 (1)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if</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peace officer has reasonable grounds to believe that the risk of harm to members of the public from the exercise of those privileges is less than the risk of harm to members of the public should those privileges not be exercised,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peace officer operates the following emergency equipment, as applicable:</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exercise of privileges described in section 122 (1) (a) to (c)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an emergency light and siren;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considering whether there are reasonable grounds under subsection (1), (2) or (5) a peace officer must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consider the factors described in section 3 (2),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weigh the degree of risk of harm to members of the public against the seriousness of the nature and circumstances of the suspected offence or incident.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Factors which will increase the risk of harm to members of the public for purposes of subsections (1), (2) and (5) include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attempting to close the distance between a peace officer's vehicle and another vehicle,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poor visibility,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pedestrian or other vehicular traffic on the highway,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peace officer must disregard a yield sign or pass through a crosswalk or uncontrolled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Section 3(2) of the </w:t>
      </w:r>
      <w:r>
        <w:rPr>
          <w:rFonts w:ascii="arial" w:eastAsia="arial" w:hAnsi="arial" w:cs="arial"/>
          <w:b/>
          <w:i/>
          <w:color w:val="000000"/>
          <w:sz w:val="20"/>
          <w:lang w:val="en-US" w:eastAsia="en-US" w:bidi="ar-SA"/>
        </w:rPr>
        <w:t>Regulation</w:t>
      </w:r>
      <w:r>
        <w:rPr>
          <w:rFonts w:ascii="arial" w:eastAsia="arial" w:hAnsi="arial" w:cs="arial"/>
          <w:color w:val="000000"/>
          <w:sz w:val="20"/>
          <w:lang w:val="en-US" w:eastAsia="en-US" w:bidi="ar-SA"/>
        </w:rPr>
        <w:t xml:space="preserve">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considering whether there are reasonable grounds . . . the driver of the emergency vehicle must consider any pertinent factors, including the following, if relevant: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and circumstances of the suspected offence or incident;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risk of harm posed by the manner in which the emergency vehicle is being or is likely to be operated;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risk of harm posed by the distance, speed or length of time required or likely to be required to exercise the privileges;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condition and use of the highway;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volume and nature of pedestrian or vehicular traffic that is, or might reasonably be expected to be,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Section 177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describes the obligations of other drivers, when an emergency vehicle is approaching: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Approach of emergency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177 On the immediate approach of an emergency vehicle giving an audible signal by a bell, siren or exhaust whistle, and showing a visible flashing red light, except when otherwise directed by a peace officer, a driver must yield the right of way, and immediately drive to a position parallel to and as close as possible to the nearest edge or curb of the roadway, clear of an intersection, and stop and remain in that position until the emergency vehicle has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Moreover, s. 127(1)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green light alone is exhibited at an intersection by a traffic control signal,</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facing the green light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yield the right of way to vehicles lawfully in the intersection at the time the green light became exhibited[.]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standard of care that is applicable to Constable Parrish is that of a reasonable police officer, acting reasonably and within the statutory powers imposed on her or him according to the circumstances of the case: see </w:t>
      </w:r>
      <w:r>
        <w:rPr>
          <w:rFonts w:ascii="arial" w:eastAsia="arial" w:hAnsi="arial" w:cs="arial"/>
          <w:b/>
          <w:i/>
          <w:color w:val="000000"/>
          <w:sz w:val="20"/>
          <w:lang w:val="en-US" w:eastAsia="en-US" w:bidi="ar-SA"/>
        </w:rPr>
        <w:t>Burbank v. R.T.B.</w:t>
      </w:r>
      <w:r>
        <w:rPr>
          <w:rFonts w:ascii="arial" w:eastAsia="arial" w:hAnsi="arial" w:cs="arial"/>
          <w:color w:val="000000"/>
          <w:sz w:val="20"/>
          <w:lang w:val="en-US" w:eastAsia="en-US" w:bidi="ar-SA"/>
        </w:rPr>
        <w:t xml:space="preserve">, </w:t>
      </w:r>
      <w:hyperlink r:id="rId501" w:history="1">
        <w:r>
          <w:rPr>
            <w:rFonts w:ascii="arial" w:eastAsia="arial" w:hAnsi="arial" w:cs="arial"/>
            <w:i/>
            <w:color w:val="0077CC"/>
            <w:sz w:val="20"/>
            <w:u w:val="single"/>
            <w:shd w:val="clear" w:color="auto" w:fill="FFFFFF"/>
            <w:lang w:val="en-US" w:eastAsia="en-US" w:bidi="ar-SA"/>
          </w:rPr>
          <w:t>2007 BCCA 215</w:t>
        </w:r>
      </w:hyperlink>
      <w:r>
        <w:rPr>
          <w:rFonts w:ascii="arial" w:eastAsia="arial" w:hAnsi="arial" w:cs="arial"/>
          <w:color w:val="000000"/>
          <w:sz w:val="20"/>
          <w:lang w:val="en-US" w:eastAsia="en-US" w:bidi="ar-SA"/>
        </w:rPr>
        <w:t>,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Before setting out my findings and conclusions, I will make some comments and observations on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my view, the witnesses who testified on the liability issues were honest and doing their best to describe the events as they remembered them. The reliability and accuracy of their memories are the main concerns. In addition, a court is entitled to accept parts of a witness's evidence and reject other parts, and can attribute different weight to different parts of the evidence that the court has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Of course, at trial, all of the witnesses were attempting to recall events that were some years in the past. With respect in particular to the moments leading up to the accident, they were attempting to describe in some detail events that happened suddenly and very quickly. On the morning of September 12, 2007, no one was watching and waiting for two cars to collide with one another in the intersection, ready to note down every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have concluded that Mr. Singh's memory is fragile and not very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There were inconsistencies between his evidence on his examination for discovery and his evidence at trial concerning other vehicles around him on the day of the accident. In a statement Mr. Singh gave to the Insurance Corporation of British Columbia on September 20, 2007, he stated that he did not see any emergency lights on Constable Parrish's car. However, his testimony at trial is that he did see her emergency lights, and there is no doubt based on the witnesses' evidence generally that her emergency lights were in fact activated. When, after the accident, Mr. Singh was given a ticket for failing to yield to an emergency vehicle, he paid it. He was never asked to explain his reasons for doing so, but (in the absence of an explanation, and although I do not place much weight on it) his conduct is consistent with the conclusion that he did in fact fail to yield. At trial, Mr. Singh had trouble remembering whether he had worked for a particular employer in 2008, or in 2009. His evidence at trial was that it was in 2008, which was inconsistent with his discovery evidence. It was only after his cross-examination had been completed and he had been excused from the witness stand that he located a calendar. The calendar refreshed his memory that in fact he had worked for the employer in 2009, not 2008, and I allowed him to be recalled to give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These are a few examples to illustrate why I find that Mr. Singh's memory is fragile and not very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Therefore, I would not conclude, based on Mr. Singh's evidence, that Constable Parrish did not have her siren activated when she arrived at the intersection of Scott Road and 96th Avenue and Mr. Singh subsequently collided with her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Deol could not recall hearing anything "unusual." However, Mr. Deol was driving a large truck with a noisy engine. The windows of his truck were closed and the radio was on; the air conditioning may have been on (although Mr. Deol was unsure). He had seen Constable Parrish's vehicle because of the flashing lights, and he was stopped with no intention of moving. There was no need for him, in addition, to be listening for or paying attention to a siren. Mr. Deol testified that he was not sure if he heard one. As best he could recall, he saw the emergency lights and did not hear anything unusual. In my view, Mr. Deol's evidence is too equivocal for me to give it much weight on the question of whether Constable Parrish had activated the siren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draw the same conclusion concerning Mr. Chand's evidence. Mr. Chand had very little recollection of events. As best he could recall, he had the music on in his vehicle and the windows were closed. Outside sounds were therefore likely to be muffled. Like Mr. Deol, he was waiting to make a left turn. At the relevant time, he did not necessarily need to be paying attention to a siren because he was not moving. When asked during his examination-in-chief, Mr. Chand said that he did not hear a siren. But the question was suggestive, and I do not place much weight on the answer. Mr. Chand said that he thought he might have heard a little of the collision itself. The collision would have been a significant and probably loud event, happening more or less right in front of him. Accepting at face value Mr. Chand's evidence about what he heard in relation to the collision, I would not conclude from Mr. Chand's evidence that the siren in Constable Parrish's vehicle was not activated.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Barros testified that he heard the siren and then saw Constable Parrish's police car with the emergency lights. He was not cross-examined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Constable Lucic also testified that he heard the siren as he was travelling north towards the intersection, behind Mr. Singh's car. It is curious that he did not mention the siren in his notes prepared at the time of the accident. However, his explanation (based on the undisputed fact that he was relatively new to the RCMP) was reasonable and not seriously challenged on cross-examination. I draw no conclusions based on the audio interview with Mr. Deol. If contents of this interview were likely to be helpful to either side, I would have expected to hear something more about what was on the CD than I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Constable Parrish testified that her siren was activated when she approached and was at the intersection of Scott Road and 96th Avenue. She explained when and how she activated her siren. She explained how the siren is activated by pressing a button, and that, once the siren button is pressed and the siren is turned on, it remains on until the button is pressed again. She explained that she reactivated the siren after speaking with her dispatcher, and that she had it activated as she travelled down 96th Avenue towards the intersection with Scott Road. Her explanations were logical, appropriately detailed and consistent with the circumstances in which Constable Parrish was operating.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find that when Constable Parrish arrived at the intersection of Scott Road and 96th Avenue, both the emergency lights and the siren on her vehicle were activated, and they remained activated when she proceeded into the intersection. I accept Constable Parrish's evidence in this regard. Her evidence is supported by and consistent with the evidence of Constable Lucic and also Mr. Barros (whose evidence was unchallenged). The conclusion that both the emergency lights and siren were activated is not contradicted by the evidence of Mr. Deol or Mr. Chand, which I find to be equivocal. Moreover, I conclude that, on this point, Mr. Singh does not accurately recall the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conclude, therefore, that, at the intersection, Constable Parrish had the right of way, and Mr. Singh was obliged to yield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 find further that Constable Parrish had reasonable grounds to believe that, at the relevant time, the risk of harm to members of the public from the exercise of the privileges under s. 122(1)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was less than the risk of harm to members of the public (namely, the child threatened with harm) if those privileges were not exercised.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There was never any serious challenge to Constable Parrish's evidence concerning the nature of the call to which she was responding. She had a report that a man with a knife had a child and was threatening to harm the child. This is a very serious matter. In Constable Parrish's professional judgment, after weighing the risks, it was appropriate to respond "code 3." In my view, her assessment of the risk of harm to the child was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However, Mr. Buxton submits on behalf of Mr. Singh that, even if Constable Parrish had the right of way, she was nevertheless obligated to enter the intersection with due care and attention, with regard for the safety of the public. He submits that Mr. Singh's car was there for Constable Parrish to see, had she looked down the northbound lanes of Scott Road when she stopped before entering the intersection, but Constable Parrish did not see it. Instead, and too soon, as she made her way across the intersection, she turned her attention to the southbound lanes. Mr. Buxton argues that, if Constable Lucic's estimate of distances is accepted, then Mr. Singh was simply too close, and Constable Parrish ought to have yielded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support of his argument, Mr. Buxton also relies on Mr. Deol's evidence concerning the progression of Constable Parrish's vehicle across the intersection, after she stopped at the stop line. He submits that the interference that should be drawn is that Constable Parrish proceeded through the intersection without stopping again and without keeping a proper lookout for northbound traffic. Thus, in Mr. Buxton's submission, she travelled too quickly and without exercising the appropriate degree of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result, in Mr. Buxton's submission, is that Constable Parrish should be found to have been negligent, and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do 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Buxton's argument depends on the accuracy of Constable Lucic's estimate of distances, and on Mr. Deol not only accurately observing everything that Constable Parrish was doing but also being able to recall it more than four years later. I prefer to give greater weight to Constable Parrish's description of her own actions. Moreover, based on Mr. Deol's evidence (and consistent with Constable Parrish's), traffic at the intersection had come to a stop. I accept Constable Parrish's evidence that, at Scott Road and 96th Avenue, she stopped three times: first, at the stop line; then, before she entered the intersection (where she satisfied herself that there were no northbound vehicles within 20 metres of the intersection); and again as she was proceeding through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find that Constable Parrish was proceeding cautiously across the intersection, with her emergency lights and siren activated, and her conduct was consistent with that of a reasonable officer acting reasonably and within the statutory powers (and duties) imposed on her in the circumstances on September 12, 2007. In my view, she was entitled to assume that Mr. Singh would yield the right of way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Disposition and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 conclude that Mr. Singh has not established, on a balance of probabilities, that the accident was the result of Constable Parrish's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he has therefore failed to establish liability on the part of the Minister for Public Safety. In those circumstances, I do not intend to address matters relevant to any injuries, loss and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Singh's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Unless there are relevant matters on which counsel wish to make submissions, costs will follow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E.J. ADAIR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6"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2"/>
          <w:headerReference w:type="default" r:id="rId503"/>
          <w:footerReference w:type="even" r:id="rId504"/>
          <w:footerReference w:type="default" r:id="rId505"/>
          <w:headerReference w:type="first" r:id="rId506"/>
          <w:footerReference w:type="first" r:id="rId50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08" w:history="1">
        <w:r>
          <w:rPr>
            <w:rFonts w:ascii="arial" w:eastAsia="arial" w:hAnsi="arial" w:cs="arial"/>
            <w:b/>
            <w:bCs/>
            <w:i/>
            <w:color w:val="0077CC"/>
            <w:kern w:val="32"/>
            <w:sz w:val="28"/>
            <w:szCs w:val="32"/>
            <w:u w:val="single"/>
            <w:shd w:val="clear" w:color="auto" w:fill="FFFFFF"/>
            <w:lang w:val="en-US" w:eastAsia="en-US" w:bidi="ar-SA"/>
          </w:rPr>
          <w:t>Sullivan v. Victoria (City), [2010] B.C.J. No. 288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M.D. Macaulay J.</w:t>
      </w:r>
    </w:p>
    <w:p>
      <w:pPr>
        <w:spacing w:before="120" w:line="260" w:lineRule="atLeast"/>
        <w:jc w:val="center"/>
        <w:rPr>
          <w:lang w:val="en-US" w:eastAsia="en-US" w:bidi="ar-SA"/>
        </w:rPr>
      </w:pPr>
      <w:r>
        <w:rPr>
          <w:rFonts w:ascii="arial" w:eastAsia="arial" w:hAnsi="arial" w:cs="arial"/>
          <w:color w:val="000000"/>
          <w:sz w:val="20"/>
          <w:lang w:val="en-US" w:eastAsia="en-US" w:bidi="ar-SA"/>
        </w:rPr>
        <w:t>Heard: February 8 and 9, 2010.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February 19, 2010.</w:t>
      </w:r>
    </w:p>
    <w:p>
      <w:pPr>
        <w:spacing w:before="120" w:line="260" w:lineRule="atLeast"/>
        <w:jc w:val="center"/>
        <w:rPr>
          <w:lang w:val="en-US" w:eastAsia="en-US" w:bidi="ar-SA"/>
        </w:rPr>
      </w:pPr>
      <w:r>
        <w:rPr>
          <w:rFonts w:ascii="arial" w:eastAsia="arial" w:hAnsi="arial" w:cs="arial"/>
          <w:color w:val="000000"/>
          <w:sz w:val="20"/>
          <w:lang w:val="en-US" w:eastAsia="en-US" w:bidi="ar-SA"/>
        </w:rPr>
        <w:t>Docket: 09-3711</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Victoria</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[2010] B.C.J. No. 288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2010 BCSC 218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69 M.P.L.R. (4th) 224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2010 CarswellBC 360</w:t>
      </w:r>
    </w:p>
    <w:p>
      <w:pPr>
        <w:spacing w:before="120" w:line="260" w:lineRule="atLeast"/>
        <w:rPr>
          <w:lang w:val="en-US" w:eastAsia="en-US" w:bidi="ar-SA"/>
        </w:rPr>
      </w:pPr>
      <w:r>
        <w:rPr>
          <w:rFonts w:ascii="arial" w:eastAsia="arial" w:hAnsi="arial" w:cs="arial"/>
          <w:color w:val="000000"/>
          <w:sz w:val="20"/>
          <w:lang w:val="en-US" w:eastAsia="en-US" w:bidi="ar-SA"/>
        </w:rPr>
        <w:t>Between Kathleen M. Sullivan, Plaintiff, and City of Victoria,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(41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47" style="position:absolute;z-index:25168384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66" w:name="Keywords_24"/>
      <w:bookmarkEnd w:id="166"/>
      <w:r>
        <w:rPr>
          <w:rFonts w:ascii="arial" w:eastAsia="arial" w:hAnsi="arial" w:cs="arial"/>
          <w:b/>
          <w:color w:val="000000"/>
          <w:sz w:val="20"/>
          <w:lang w:val="en-US" w:eastAsia="en-US" w:bidi="ar-SA"/>
        </w:rPr>
        <w:t xml:space="preserve">Municipal law — Liabilities of municipality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Inspection of public property — Policy decisions — What constitutes — Types — Property maintenance and operation — Sidewalks — Trip and fall — Action against defendant City for pain and suffering damages for sidewalk trip and fall dismissed — Plaintiff tripped on elevation on sidewalk but it was immediately fixed so no photographs available — Inspector and plaintiff both gave unreliable estimates of height of elevation — City policy required meter readers to inspect sidewalks and report elevations over 35 mm — Plaintiff failed to adduce evidence that elevation was over 35 mm or that policy was unreasonable.</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Standard of care — Exercise of statutory powers — Action against defendant City for pain and suffering damages for sidewalk trip and fall dismissed — Plaintiff tripped on elevation on sidewalk but it was immediately fixed so no photographs available — Inspector and plaintiff both gave unreliable estimates of height of elevation — City policy required meter readers to inspect sidewalks and report elevations over 35 mm — Plaintiff failed to adduce evidence that elevation was over 35 mm or that policy was unreasonable.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67" w:name="Case Summary_23"/>
            <w:bookmarkEnd w:id="167"/>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against the defendant City for damages for plaintiff's trip and fall injury on a City sidewalk. The elderly plaintiff was walking on a City sidewalk when she tripped on an elevated panel of concrete and fell hard against a brick wall. The plaintiff received medical treatment for a cut above her eye and sustained bruising and a headache. The plaintiff recovered from her injuries within one week but she sought pain and suffering damages. The City's sidewalk policy required meter readers to inspect the sidewalks and report any elevations above 35 mm. The City fixed the sidewalk immediately after the plaintiff reported it and there were no pictures of the elevation at the time of the accident. </w:t>
            </w:r>
            <w:r>
              <w:rPr>
                <w:lang w:val="en-US" w:eastAsia="en-US" w:bidi="ar-SA"/>
              </w:rPr>
              <w:cr/>
            </w:r>
          </w:p>
          <w:p>
            <w:pPr>
              <w:spacing w:before="120" w:line="260" w:lineRule="atLeast"/>
              <w:ind w:left="240"/>
              <w:jc w:val="both"/>
              <w:rPr>
                <w:lang w:val="en-US" w:eastAsia="en-US" w:bidi="ar-SA"/>
              </w:rPr>
            </w:pPr>
            <w:bookmarkStart w:id="168" w:name="Holdings of Court_20"/>
            <w:bookmarkEnd w:id="168"/>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plaintiff and the inspector both gave unreliable estimates about the height of the elevation. The fact that the inspector had not reported the elevation did not prove it was less than 35 mm, but there was also no evidence to prove that it was more than 35 mm. It was unclear why 35 mm was the benchmark for reporting. However, the onus was on the plaintiff to demonstrate that the policy was unreasonable and she did not adduce any expert evidence to establish this, nor did she demonstrate that the policy had not been properly implemented. </w:t>
            </w:r>
            <w:r>
              <w:rPr>
                <w:lang w:val="en-US" w:eastAsia="en-US" w:bidi="ar-SA"/>
              </w:rPr>
              <w:cr/>
            </w:r>
          </w:p>
          <w:p>
            <w:pPr>
              <w:rPr>
                <w:lang w:val="en-US" w:eastAsia="en-US" w:bidi="ar-SA"/>
              </w:rPr>
            </w:pPr>
          </w:p>
        </w:tc>
      </w:tr>
    </w:tbl>
    <w:p>
      <w:pPr>
        <w:jc w:val="both"/>
        <w:rPr>
          <w:lang w:val="en-US" w:eastAsia="en-US" w:bidi="ar-SA"/>
        </w:rPr>
      </w:pPr>
      <w:bookmarkStart w:id="169" w:name="Counsel_23"/>
      <w:bookmarkEnd w:id="169"/>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48" style="position:absolute;z-index:25173504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Kathleen M. Sullivan: In Person.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E. Stoker.</w:t>
      </w:r>
      <w:r>
        <w:rPr>
          <w:lang w:val="en-US" w:eastAsia="en-US" w:bidi="ar-SA"/>
        </w:rPr>
        <w:cr/>
      </w:r>
    </w:p>
    <w:p>
      <w:pPr>
        <w:spacing w:after="240"/>
        <w:rPr>
          <w:lang w:val="en-US" w:eastAsia="en-US" w:bidi="ar-SA"/>
        </w:rPr>
      </w:pPr>
      <w:bookmarkStart w:id="170" w:name="Judgment_24"/>
      <w:bookmarkEnd w:id="170"/>
      <w:r>
        <w:pict>
          <v:line id="_x0000_s1149" style="position:absolute;z-index:251786240"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71" w:name="M.D. MACAULAY J."/>
            <w:bookmarkEnd w:id="171"/>
            <w:r>
              <w:rPr>
                <w:rFonts w:ascii="arial" w:eastAsia="arial" w:hAnsi="arial" w:cs="arial"/>
                <w:b/>
                <w:color w:val="000000"/>
                <w:sz w:val="30"/>
                <w:lang w:val="en-US" w:eastAsia="en-US" w:bidi="ar-SA"/>
              </w:rPr>
              <w:t>M.D. MACAULAY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July 7, 2009, the plaintiff, Ms. Sullivan, who is a slight elderly woman, tripped on the exposed edge of a section of sidewalk in James Bay, Victoria, and fell. She suffered minor injuries from which she recovered within a week or so. Ms. Sullivan claims damages for pain and suffering against the defendant, City of Victoria (the "City").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Ms. Sullivan is self-represented. Her pleadings do not set out the usual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namely, that the City owed her, as a pedestrian on a city sidewalk, a duty of care that it breached by failing to adequately maintain the sidewalk. A generous reading of the statement of claim would permit such amendments as an alternative to striking out the claim in its entirety.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City did not apply to strike out the claim. Instead, the City responds in its statement of defence, for the most part, as though Ms. Sullivan properly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will summarize the more important defence pleadings below.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Apart from denying that Ms. Sullivan fell or sustained any injury or damage, the City pleads that it created a sidewalk inspection and maintenance policy in good faith and that its policy decision is not reviewable by the court. Alternatively, the City says that the policy was reasonable in the circumstances. The City further says that it did not owe Ms. Sullivan a duty of care because all of the decisions leading up to the accident were policy rather than operational decisions. In the further alternative, the City says that it met the applicable standard of care by taking reasonable care in carrying out its sidewalk inspection.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have no difficulty concluding on the uncontradicted evidence that Ms. Sullivan fell, as she described, and was injured. According to Ms. Sullivan, just before her accident, at about 7:15 a.m., she was walking on a sidewalk on Superior Street in James Bay. She was familiar with the route as she lived nearby and walked it daily.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Sullivan tripped and fell when the tip of her right shoe hit a partially elevated panel of the concrete sidewalk. She did not notice the elevation before tripping nor had she noticed it on any of her earlier journeys.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Sullivan's foot hit the concrete with sufficient force to knock her shoe off and she fell against a small, ivy-covered brick wall running parallel along the property immediately adjacent to the inside edge of the sidewalk. A passerby assisted Ms. Sullivan and another called for an ambulance.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Sullivan went to hospital where she received first aid treatment and was released later the same morning. Her injuries included a cut above the right eye. The eye later turned black. Ms. Sullivan also sustained cuts and abrasions to her right arm, hand and fingers. In addition, she bruised her right knee and hip area and had a headache. Fortunately, none of these injuries were long term. Ms. Sullivan testified that the injuries slowed her down for a few days but that she was back to normal within a week.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Immediately after release from hospital, Ms. Sullivan went to the City and reported the accident. Later that day, she returned to the accident site and observed that, in the meantime, the elevated portion of sidewalk had been ground down. She took photos of the sidewalk and surrounding area but, in the circumstances, the photos do not illustrate the vertical height of the displacement. It is likely that a City work crew attended the site and ground down the sidewalk immediately after Ms. Sullivan reported the accident. Unfortunately, there was no evidence as to the specific height of the elevation before it was ground down.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Lai, an assistant director employed by the City, is responsible for planning, traffic engineering, street design and project management. He is not involved in sidewalk repair projects except in relation to budgeting questions. The City has budgeted about $50,000 per year for sidewalk repairs for many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2004, the City created its current Sidewalk Policy for the inspection of, among other things, sidewalks. The policy delegates to the water meter reader the following responsibility:</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Inspect all Sidewalks to ensure that panels are not cracked or raised, thus creating a displacement in elevation exceeding 35 mm. If the displacement equals or exceeds 35 mm then this information shall be recorded and listed in the Sidewalk Repair Report History.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policy goes on to provide that the Supervisor and staff of the Concrete Section of the Streets Division must annually inspect all sidewalks not covered by inspections of the water meter reader. If they find elevations exceeding 35 mm they must record and list them in the same manner as the water meter reader.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policy ends with the following:</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All displacements in elevation that equal or exceed 35 mm shall be repaired as soon as staff and equipment are readily available. Displacements less than 35 mm may be repaired at the discretion of the Supervisor of the Concrete Section, as budget resources allow.</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It is, as a result, significant, in considering the application of the policy in the present case, that there is no precise evidence of the elevation of the sidewalk displacement.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Sullivan did not measure the elevation but agreed that it was less than the width of a ruler marked as an exhibit. Mr. Lai agreed during his evidence that the width of the ruler was one and one-half inches. One and one-half inches is 38 mm although Mr. Lai equated it to 35 mm. Mr. Reynolds, the water meter reader, later measured the width of the ruler using the scale on his handheld computer and concluded that it was about 37 mm.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Reynolds' measurement was incorrect. Either Mr. Reynolds' scale is wrong or he misread it in the courtroom. The ruler used for illustrative purposes is much closer to one and one-quarter inches wide, or 33 mm, than one and one-half inches.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result, I conclude that the elevation was certainly less than 37 mm, and probably less than 35 mm, but am unable to conclude how much less. Mr. Lai's evidence and Ms. Sullivan's concession are unreliable in the circumstances because both assumed the ruler was 35 mm wide.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Although Mr. Reynolds walks the city streets daily in the course of his duties as the water meter reader and covers each area of the City about three times per year, there is no evidence that he observed, recorded or listed any displacement equaling or exceeding 35 mm on the sidewalk in question during the six months before the accident. He testified that he attended the particular area in February and June 2009 in connection with his duties. For the first six months of 2009, the total number of reports for the entire city was 27 but none were for the block in question.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City also relies on reports from the public of dangerous areas but there was no evidence of any reports respecting the sidewalk in question.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do not accept the absence of a report by Mr. Reynolds as conclusive that the elevation was, in fact, less than 35 mm. He may have failed to observe it if it was present. But there is also no affirmative evidence that the elevation was equal to or greater than 35 mm. Further, even if someone had observed and reported the elevation as equal to or greater than 35 mm, the policy calls for repair "as soon as staff and equipment are readily available."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Lai explained the financial considerations that resulted in the choice to use 35 mm as a benchmark for sidewalk repair. Obviously, repairs would cost more if the benchmark was lower. But that is not the only consideration. What are the risk considerations? Unfortunately, Mr. Lai offered no other explanation as to why 35 mm was the benchmark as opposed to some lesser or greater elevation. In particular, he did not explain whether the risk of tripping increases in a meaningful way at 35 mm as opposed to, for example, 30 mm.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It seems apparent to me that a 30 mm elevation displacement on a city sidewalk also creates a foreseeable risk of the type of fall and injuries that Ms. Sullivan had. Without expert assistance, I am unable to conclude that risk is meaningfully less at 30 mm than at 35 mm.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gaps in the evidence and the concerns arising from them require a careful consideration of the law as it relates to whether a duty of care existed and any standard of care that the City must meet. It also requires a consideration of who bears the responsibility for the failure to address the gaps.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 start with a review of the law. The Supreme Court of Canada set out the governing principles when considering the liability of government agencies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in </w:t>
      </w:r>
      <w:r>
        <w:rPr>
          <w:rFonts w:ascii="arial" w:eastAsia="arial" w:hAnsi="arial" w:cs="arial"/>
          <w:i/>
          <w:color w:val="000000"/>
          <w:sz w:val="20"/>
          <w:lang w:val="en-US" w:eastAsia="en-US" w:bidi="ar-SA"/>
        </w:rPr>
        <w:t>Just v. British Columbia</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64 D.L.R. (4th) 689</w:t>
        </w:r>
      </w:hyperlink>
      <w:r>
        <w:rPr>
          <w:rFonts w:ascii="arial" w:eastAsia="arial" w:hAnsi="arial" w:cs="arial"/>
          <w:color w:val="000000"/>
          <w:sz w:val="20"/>
          <w:lang w:val="en-US" w:eastAsia="en-US" w:bidi="ar-SA"/>
        </w:rPr>
        <w:t xml:space="preserve">. Those principles are rooted in the test set out in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at 751-52:</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First one has to ask whether, as between the alleged wrongdoer and the person who has suffered damage there is a sufficient relationship of proximity or neighbourhood such that, in the reasonable contemplation of the former, carelessness on his part may be likely to cause damage to the latter -- in which case a prima facie duty of care arises. Secondly, if the first question is answered affirmatively, it is necessary to consider whether there are any considerations which ought to negative, or to reduce or limit the scope of the duty or the class of person to whom it is owed or the damages to which a breach of it may give rise: [Citation omitted.]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Supreme Court of Canada approved this two-step approach for determining whether a government agency, like the City, owes a duty of care to a person, such as Ms. Sullivan.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first step offers little difficulty. There is sufficient proximity between a municipal government and those who walk its streets that the latter reasonably expect the sidewalks to be reasonably maintained and the former foresees the risk of harm if it does not do so. Thus,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exists in the present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second aspect of the test must also be satisfied before finding that the City owed Ms. Sullivan a duty of care. Here, the City does not rely on any legislative limitation but claims it is exempt from liability based on its Sidewalk Policy.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my understanding, the creation of a policy does not automatically confer immunity. To the contrary, at 1238-39 of </w:t>
      </w:r>
      <w:r>
        <w:rPr>
          <w:rFonts w:ascii="arial" w:eastAsia="arial" w:hAnsi="arial" w:cs="arial"/>
          <w:i/>
          <w:color w:val="000000"/>
          <w:sz w:val="20"/>
          <w:lang w:val="en-US" w:eastAsia="en-US" w:bidi="ar-SA"/>
        </w:rPr>
        <w:t>Just</w:t>
      </w:r>
      <w:r>
        <w:rPr>
          <w:rFonts w:ascii="arial" w:eastAsia="arial" w:hAnsi="arial" w:cs="arial"/>
          <w:color w:val="000000"/>
          <w:sz w:val="20"/>
          <w:lang w:val="en-US" w:eastAsia="en-US" w:bidi="ar-SA"/>
        </w:rPr>
        <w:t>, the majority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Once a policy to inspect is established then it must be open to a litigant to attack the system as not having been adopted in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exercise of discretion and to demonstrate that in all the circumstances, including budgetary restraints, it is appropriate for a court to make a finding on the issue.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majority went on to emphasize that complete Crown immunity should not be restored under the guise of government designating its decisions as policy.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decision in </w:t>
      </w:r>
      <w:r>
        <w:rPr>
          <w:rFonts w:ascii="arial" w:eastAsia="arial" w:hAnsi="arial" w:cs="arial"/>
          <w:i/>
          <w:color w:val="000000"/>
          <w:sz w:val="20"/>
          <w:lang w:val="en-US" w:eastAsia="en-US" w:bidi="ar-SA"/>
        </w:rPr>
        <w:t>Just</w:t>
      </w:r>
      <w:r>
        <w:rPr>
          <w:rFonts w:ascii="arial" w:eastAsia="arial" w:hAnsi="arial" w:cs="arial"/>
          <w:color w:val="000000"/>
          <w:sz w:val="20"/>
          <w:lang w:val="en-US" w:eastAsia="en-US" w:bidi="ar-SA"/>
        </w:rPr>
        <w:t xml:space="preserve"> at 1240-42 highlights the importance of distinguishing between governmental policy decisions and operational decisions. True policy decisions exempt government from any liability; operational decisions implementing those policies are not immune. Policy-making involves or is dictated by financial, economic, social or political factors or constraints. It is not for the court to second guess such decisions provided they are properly made. The difference between policy and operation is usually found in the level of government at which the decision-making occurs.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making of policy must be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exercise of discretion. For example, as was pointed out at 1243 of </w:t>
      </w:r>
      <w:r>
        <w:rPr>
          <w:rFonts w:ascii="arial" w:eastAsia="arial" w:hAnsi="arial" w:cs="arial"/>
          <w:i/>
          <w:color w:val="000000"/>
          <w:sz w:val="20"/>
          <w:lang w:val="en-US" w:eastAsia="en-US" w:bidi="ar-SA"/>
        </w:rPr>
        <w:t>Just,</w:t>
      </w:r>
      <w:r>
        <w:rPr>
          <w:rFonts w:ascii="arial" w:eastAsia="arial" w:hAnsi="arial" w:cs="arial"/>
          <w:color w:val="000000"/>
          <w:sz w:val="20"/>
          <w:lang w:val="en-US" w:eastAsia="en-US" w:bidi="ar-SA"/>
        </w:rPr>
        <w:t xml:space="preserve"> a decision not to inspect at all may be an unassailable policy decision if it is "a reasonable exercise of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discretion, based, for example, upon the availability of funds." On the operational side, however, any decision to inspect must result in a scheme that: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is reasonable and has been reasonably carried out in light of all the circumstances, including the availability of funds, to determine whether the government agency has met the requisite standard of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Assuming that a duty of care is owed, the standard of care that government owes differs from what an individual would owe. The frequency and nature of governmental inspection "must be reasonable in light of all the surrounding circumstances." (at 1244). The nature of risk involved, budgetary limits and the availability of personnel are relevant factors in determining whether a government body has met the standard of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Just,</w:t>
      </w:r>
      <w:r>
        <w:rPr>
          <w:rFonts w:ascii="arial" w:eastAsia="arial" w:hAnsi="arial" w:cs="arial"/>
          <w:color w:val="000000"/>
          <w:sz w:val="20"/>
          <w:lang w:val="en-US" w:eastAsia="en-US" w:bidi="ar-SA"/>
        </w:rPr>
        <w:t xml:space="preserve"> the province conducted visual inspections of slopes and rock faces adjacent to the highway to assess stability. The plaintiff was injured and his daughter was killed when falling rock hit their vehicle while they were travelling on the highway. Ultimately, the Supreme Court of Canada determined that the frequency and other specifics of the inspection system "were manifestations of the implementation of the policy decision to inspect and were operational in nature." (at 1246). As such, the court was required to review the inspection scheme to determine whether the province was negligent.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Pausing here, and without regard to other recent decisions, my reading of </w:t>
      </w:r>
      <w:r>
        <w:rPr>
          <w:rFonts w:ascii="arial" w:eastAsia="arial" w:hAnsi="arial" w:cs="arial"/>
          <w:i/>
          <w:color w:val="000000"/>
          <w:sz w:val="20"/>
          <w:lang w:val="en-US" w:eastAsia="en-US" w:bidi="ar-SA"/>
        </w:rPr>
        <w:t>Just</w:t>
      </w:r>
      <w:r>
        <w:rPr>
          <w:rFonts w:ascii="arial" w:eastAsia="arial" w:hAnsi="arial" w:cs="arial"/>
          <w:color w:val="000000"/>
          <w:sz w:val="20"/>
          <w:lang w:val="en-US" w:eastAsia="en-US" w:bidi="ar-SA"/>
        </w:rPr>
        <w:t xml:space="preserve"> suggests that the City, having decided to inspect its sidewalks and effect repairs in some instances, is not entitled to succeed on the second aspect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As in </w:t>
      </w:r>
      <w:r>
        <w:rPr>
          <w:rFonts w:ascii="arial" w:eastAsia="arial" w:hAnsi="arial" w:cs="arial"/>
          <w:i/>
          <w:color w:val="000000"/>
          <w:sz w:val="20"/>
          <w:lang w:val="en-US" w:eastAsia="en-US" w:bidi="ar-SA"/>
        </w:rPr>
        <w:t>Just,</w:t>
      </w:r>
      <w:r>
        <w:rPr>
          <w:rFonts w:ascii="arial" w:eastAsia="arial" w:hAnsi="arial" w:cs="arial"/>
          <w:color w:val="000000"/>
          <w:sz w:val="20"/>
          <w:lang w:val="en-US" w:eastAsia="en-US" w:bidi="ar-SA"/>
        </w:rPr>
        <w:t xml:space="preserve"> the City appears to owe a duty of care and the focus should turn to whether the City met the standard of care. This involves considering the reasonableness of its inspection system in all the circumstances, including budgetary and personnel constraints.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Plakholm v. Victoria (City)</w:t>
      </w:r>
      <w:r>
        <w:rPr>
          <w:rFonts w:ascii="arial" w:eastAsia="arial" w:hAnsi="arial" w:cs="arial"/>
          <w:color w:val="000000"/>
          <w:sz w:val="20"/>
          <w:lang w:val="en-US" w:eastAsia="en-US" w:bidi="ar-SA"/>
        </w:rPr>
        <w:t xml:space="preserve">, </w:t>
      </w:r>
      <w:hyperlink r:id="rId509" w:history="1">
        <w:r>
          <w:rPr>
            <w:rFonts w:ascii="arial" w:eastAsia="arial" w:hAnsi="arial" w:cs="arial"/>
            <w:i/>
            <w:color w:val="0077CC"/>
            <w:sz w:val="20"/>
            <w:u w:val="single"/>
            <w:shd w:val="clear" w:color="auto" w:fill="FFFFFF"/>
            <w:lang w:val="en-US" w:eastAsia="en-US" w:bidi="ar-SA"/>
          </w:rPr>
          <w:t>2009 BCCA 466</w:t>
        </w:r>
      </w:hyperlink>
      <w:r>
        <w:rPr>
          <w:rFonts w:ascii="arial" w:eastAsia="arial" w:hAnsi="arial" w:cs="arial"/>
          <w:color w:val="000000"/>
          <w:sz w:val="20"/>
          <w:lang w:val="en-US" w:eastAsia="en-US" w:bidi="ar-SA"/>
        </w:rPr>
        <w:t>, a recent decision of the Court of Appeal, is significant because it considers a policy very similar to the City's Sidewalk Policy. The plaintiff fell when she tripped over uneven pavement while crossing a Victoria street that was in a state of disrepair. The applicable policy provided a benchmark of 40 mm below which repair was at the discretion of the manager or assistant supervisor.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As in the present case, the City contended that its policy was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and immunized the City from liability. Finding that the trial judge did not engage in the </w:t>
      </w:r>
      <w:r>
        <w:rPr>
          <w:rFonts w:ascii="arial" w:eastAsia="arial" w:hAnsi="arial" w:cs="arial"/>
          <w:i/>
          <w:color w:val="000000"/>
          <w:sz w:val="20"/>
          <w:lang w:val="en-US" w:eastAsia="en-US" w:bidi="ar-SA"/>
        </w:rPr>
        <w:t>Just</w:t>
      </w:r>
      <w:r>
        <w:rPr>
          <w:rFonts w:ascii="arial" w:eastAsia="arial" w:hAnsi="arial" w:cs="arial"/>
          <w:color w:val="000000"/>
          <w:sz w:val="20"/>
          <w:lang w:val="en-US" w:eastAsia="en-US" w:bidi="ar-SA"/>
        </w:rPr>
        <w:t xml:space="preserve"> analysis that I have set out above, the Court of Appeal ordered a re-trial for that purpose.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Another decision of significance is </w:t>
      </w:r>
      <w:r>
        <w:rPr>
          <w:rFonts w:ascii="arial" w:eastAsia="arial" w:hAnsi="arial" w:cs="arial"/>
          <w:i/>
          <w:color w:val="000000"/>
          <w:sz w:val="20"/>
          <w:lang w:val="en-US" w:eastAsia="en-US" w:bidi="ar-SA"/>
        </w:rPr>
        <w:t>Pamaran v. Victoria (City)</w:t>
      </w:r>
      <w:r>
        <w:rPr>
          <w:rFonts w:ascii="arial" w:eastAsia="arial" w:hAnsi="arial" w:cs="arial"/>
          <w:color w:val="000000"/>
          <w:sz w:val="20"/>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(1996), 32 M.P.L.R. (2d) 243</w:t>
        </w:r>
      </w:hyperlink>
      <w:r>
        <w:rPr>
          <w:rFonts w:ascii="arial" w:eastAsia="arial" w:hAnsi="arial" w:cs="arial"/>
          <w:color w:val="000000"/>
          <w:sz w:val="20"/>
          <w:lang w:val="en-US" w:eastAsia="en-US" w:bidi="ar-SA"/>
        </w:rPr>
        <w:t xml:space="preserve"> (S.C.). In that case, the court considered the Sidewalk Policy with particular emphasis on how it deals with elevation differences of less than 35 mm. On the evidence, the site where the plaintiff fell had an elevation difference of about 25 mm. The judge concluded that the Sidewalk Policy in its entirety was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policy entitling the City to immunity and dismissed the plaintiff's claim accordingly. He went on to find that the City had, in any event, carried out its inspection program in a reasonable manner.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 observe that in </w:t>
      </w:r>
      <w:r>
        <w:rPr>
          <w:rFonts w:ascii="arial" w:eastAsia="arial" w:hAnsi="arial" w:cs="arial"/>
          <w:i/>
          <w:color w:val="000000"/>
          <w:sz w:val="20"/>
          <w:lang w:val="en-US" w:eastAsia="en-US" w:bidi="ar-SA"/>
        </w:rPr>
        <w:t>Plakholm,</w:t>
      </w:r>
      <w:r>
        <w:rPr>
          <w:rFonts w:ascii="arial" w:eastAsia="arial" w:hAnsi="arial" w:cs="arial"/>
          <w:color w:val="000000"/>
          <w:sz w:val="20"/>
          <w:lang w:val="en-US" w:eastAsia="en-US" w:bidi="ar-SA"/>
        </w:rPr>
        <w:t xml:space="preserve"> the Court of Appeal quoted extensively from the judgment in </w:t>
      </w:r>
      <w:r>
        <w:rPr>
          <w:rFonts w:ascii="arial" w:eastAsia="arial" w:hAnsi="arial" w:cs="arial"/>
          <w:i/>
          <w:color w:val="000000"/>
          <w:sz w:val="20"/>
          <w:lang w:val="en-US" w:eastAsia="en-US" w:bidi="ar-SA"/>
        </w:rPr>
        <w:t>Pamaran</w:t>
      </w:r>
      <w:r>
        <w:rPr>
          <w:rFonts w:ascii="arial" w:eastAsia="arial" w:hAnsi="arial" w:cs="arial"/>
          <w:color w:val="000000"/>
          <w:sz w:val="20"/>
          <w:lang w:val="en-US" w:eastAsia="en-US" w:bidi="ar-SA"/>
        </w:rPr>
        <w:t xml:space="preserve"> in its discussion of the need for a similar analysis. While the Court of Appeal did not expressly approve the result in </w:t>
      </w:r>
      <w:r>
        <w:rPr>
          <w:rFonts w:ascii="arial" w:eastAsia="arial" w:hAnsi="arial" w:cs="arial"/>
          <w:i/>
          <w:color w:val="000000"/>
          <w:sz w:val="20"/>
          <w:lang w:val="en-US" w:eastAsia="en-US" w:bidi="ar-SA"/>
        </w:rPr>
        <w:t>Plakholm,</w:t>
      </w:r>
      <w:r>
        <w:rPr>
          <w:rFonts w:ascii="arial" w:eastAsia="arial" w:hAnsi="arial" w:cs="arial"/>
          <w:color w:val="000000"/>
          <w:sz w:val="20"/>
          <w:lang w:val="en-US" w:eastAsia="en-US" w:bidi="ar-SA"/>
        </w:rPr>
        <w:t xml:space="preserve"> it appears to have accepted that the analysis and decision were correct.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 also observe that other judges of this court have followed </w:t>
      </w:r>
      <w:r>
        <w:rPr>
          <w:rFonts w:ascii="arial" w:eastAsia="arial" w:hAnsi="arial" w:cs="arial"/>
          <w:i/>
          <w:color w:val="000000"/>
          <w:sz w:val="20"/>
          <w:lang w:val="en-US" w:eastAsia="en-US" w:bidi="ar-SA"/>
        </w:rPr>
        <w:t>Pamaran.</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Beadle v. Nanaimo (City),</w:t>
      </w:r>
      <w:r>
        <w:rPr>
          <w:rFonts w:ascii="arial" w:eastAsia="arial" w:hAnsi="arial" w:cs="arial"/>
          <w:color w:val="000000"/>
          <w:sz w:val="20"/>
          <w:lang w:val="en-US" w:eastAsia="en-US" w:bidi="ar-SA"/>
        </w:rPr>
        <w:t xml:space="preserve"> </w:t>
      </w:r>
      <w:hyperlink r:id="rId511" w:history="1">
        <w:r>
          <w:rPr>
            <w:rFonts w:ascii="arial" w:eastAsia="arial" w:hAnsi="arial" w:cs="arial"/>
            <w:i/>
            <w:color w:val="0077CC"/>
            <w:sz w:val="20"/>
            <w:u w:val="single"/>
            <w:shd w:val="clear" w:color="auto" w:fill="FFFFFF"/>
            <w:lang w:val="en-US" w:eastAsia="en-US" w:bidi="ar-SA"/>
          </w:rPr>
          <w:t>2009 BCSC 1506</w:t>
        </w:r>
      </w:hyperlink>
      <w:r>
        <w:rPr>
          <w:rFonts w:ascii="arial" w:eastAsia="arial" w:hAnsi="arial" w:cs="arial"/>
          <w:color w:val="000000"/>
          <w:sz w:val="20"/>
          <w:lang w:val="en-US" w:eastAsia="en-US" w:bidi="ar-SA"/>
        </w:rPr>
        <w:t xml:space="preserve"> at paras. 16-17; and </w:t>
      </w:r>
      <w:r>
        <w:rPr>
          <w:rFonts w:ascii="arial" w:eastAsia="arial" w:hAnsi="arial" w:cs="arial"/>
          <w:i/>
          <w:color w:val="000000"/>
          <w:sz w:val="20"/>
          <w:lang w:val="en-US" w:eastAsia="en-US" w:bidi="ar-SA"/>
        </w:rPr>
        <w:t>Einarson v. Richmond (City)</w:t>
      </w:r>
      <w:r>
        <w:rPr>
          <w:rFonts w:ascii="arial" w:eastAsia="arial" w:hAnsi="arial" w:cs="arial"/>
          <w:color w:val="000000"/>
          <w:sz w:val="20"/>
          <w:lang w:val="en-US" w:eastAsia="en-US" w:bidi="ar-SA"/>
        </w:rPr>
        <w:t xml:space="preserve"> </w:t>
      </w:r>
      <w:hyperlink r:id="rId512" w:history="1">
        <w:r>
          <w:rPr>
            <w:rFonts w:ascii="arial" w:eastAsia="arial" w:hAnsi="arial" w:cs="arial"/>
            <w:i/>
            <w:color w:val="0077CC"/>
            <w:sz w:val="20"/>
            <w:u w:val="single"/>
            <w:shd w:val="clear" w:color="auto" w:fill="FFFFFF"/>
            <w:lang w:val="en-US" w:eastAsia="en-US" w:bidi="ar-SA"/>
          </w:rPr>
          <w:t>(1998), 47 M.P.L.R. (2d) 70</w:t>
        </w:r>
      </w:hyperlink>
      <w:r>
        <w:rPr>
          <w:rFonts w:ascii="arial" w:eastAsia="arial" w:hAnsi="arial" w:cs="arial"/>
          <w:color w:val="000000"/>
          <w:sz w:val="20"/>
          <w:lang w:val="en-US" w:eastAsia="en-US" w:bidi="ar-SA"/>
        </w:rPr>
        <w:t xml:space="preserve"> at para. 12.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principles of judicial comity require me to follow and apply </w:t>
      </w:r>
      <w:r>
        <w:rPr>
          <w:rFonts w:ascii="arial" w:eastAsia="arial" w:hAnsi="arial" w:cs="arial"/>
          <w:i/>
          <w:color w:val="000000"/>
          <w:sz w:val="20"/>
          <w:lang w:val="en-US" w:eastAsia="en-US" w:bidi="ar-SA"/>
        </w:rPr>
        <w:t>Pamaran</w:t>
      </w:r>
      <w:r>
        <w:rPr>
          <w:rFonts w:ascii="arial" w:eastAsia="arial" w:hAnsi="arial" w:cs="arial"/>
          <w:color w:val="000000"/>
          <w:sz w:val="20"/>
          <w:lang w:val="en-US" w:eastAsia="en-US" w:bidi="ar-SA"/>
        </w:rPr>
        <w:t xml:space="preserve"> even though I would conclude, if permitted to consider the matter afresh, that the City owed a duty of care to Ms. Sullivan and that the Sidewalk Policy did not entirely immunize the City from her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It is necessary, in the circumstances, that I also set out my further conclusions respecting the evidence, the burden of proof and whether the City met the applicable standard of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City demonstrated the existence of an inspection policy. It is up to the plaintiff to establish that the policy is unreasonable, having regard to the factors set out earlier. For example, the plaintiff could have led expert evidence to challenge the 35 mm benchmark but did not do so. It is obvious that the City took safety considerations into account but, absent expert evidence, I am unable to say that the 35 mm benchmark is so far off the mark as to render its inclusion unreasonable.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Sullivan also bears the burden of establishing that the City failed to meet the standard of care. She did not establish that the City could reasonably afford a better inspection system or that the inspector failed to carry it out. At most, she established that the inspector might have failed to observe an elevation change that exceeded 35 mm and, as a result, failed to record and report it. It is likely that the elevation change was less than 35 mm. In that case, the policy imposed no obligation on the inspector to record and report it. Even if reported, the policy imposed no obligation on the City to immediately repair the displacement. Ms. Sullivan has not demonstrated that the City failed to follow its own policy or that the operation of the policy is so unreasonable in all the circumstances that the City cannot rely on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It follows that I must dismiss Ms. Sullivan's claim. If she had established liability, a fit award for pain and suffering would have been $1,500. Although Ms. Sullivan would have preferred me to order damages in an amount to punish the City, I would have declined to do so. Her claim is only for compensatory damages and punishment is not an appropriate factor in determining such an award.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Sullivan's claim is dismissed with costs on Scale A to the City.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M.D. MACAULAY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18364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13"/>
          <w:headerReference w:type="default" r:id="rId514"/>
          <w:footerReference w:type="even" r:id="rId515"/>
          <w:footerReference w:type="default" r:id="rId516"/>
          <w:headerReference w:type="first" r:id="rId517"/>
          <w:footerReference w:type="first" r:id="rId51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19" w:history="1">
        <w:r>
          <w:rPr>
            <w:rFonts w:ascii="arial" w:eastAsia="arial" w:hAnsi="arial" w:cs="arial"/>
            <w:b/>
            <w:bCs/>
            <w:i/>
            <w:color w:val="0077CC"/>
            <w:kern w:val="32"/>
            <w:sz w:val="28"/>
            <w:szCs w:val="32"/>
            <w:u w:val="single"/>
            <w:shd w:val="clear" w:color="auto" w:fill="FFFFFF"/>
            <w:lang w:val="en-US" w:eastAsia="en-US" w:bidi="ar-SA"/>
          </w:rPr>
          <w:t>Swagger Construction Ltd. v. ING Insurance Co. of Canada, [2005] B.C.J. No. 1964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N.H. Smith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15 - 17,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9,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L050734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1964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2005 BCSC 1269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47 B.C.L.R. (4th) 75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29 C.C.L.I. (4th) 295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48 C.L.R. (3d) 36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[2005] I.L.R. I-4445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142 A.C.W.S. (3d) 158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2005 CarswellBC 2127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Swagger Construction Ltd., petitioner, and ING Insurance Company of Canada and, in French, Compagnie D'Assurance ING du Canada, Zurich Insurance Company Zurich Compagnie D'Assurances and American Home Assurance Company,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1"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2" w:name="Keywords_25"/>
      <w:bookmarkEnd w:id="172"/>
      <w:r>
        <w:rPr>
          <w:rFonts w:ascii="arial" w:eastAsia="arial" w:hAnsi="arial" w:cs="arial"/>
          <w:b/>
          <w:color w:val="000000"/>
          <w:sz w:val="20"/>
          <w:lang w:val="en-US" w:eastAsia="en-US" w:bidi="ar-SA"/>
        </w:rPr>
        <w:t>Civil procedure — Courts — Stare decisis — Construction law — Liability of contractors and subcontractors — Defective workmanship — Insurance law — Insurers — Duties — Duty to defend — The insurance contract — Interpretation — Liability insurance — Business and commercial insurance.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3" w:name="Case Summary_24"/>
            <w:bookmarkEnd w:id="17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Swagger Construction for a declaration that ING Insurance Company of Canada and the other defendant insurance companies were obligated to defend and indemnify Swagger in its lawsuit against the University of British Columbia. Swagger was hired by the University to construct a building. Swagger commenced a lawsuit against the University for damages resulting from extra work and delays. The University counterclaimed against Swagger for breach of contract and damages arising from defective materials, faulty design and faulty workmanship. The University argued that the deficiencies in Swagger's work constituted a danger to the public and caused damages to other parts of the building. Swagger held commercial general liability insurance policies with the defendants pursuant to which the defendants agreed to defend and indemnify Swagger in any lawsuit for damages for personal injuries or damage to property caused by an occurence.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4" w:name="Holdings of Court_21"/>
            <w:bookmarkEnd w:id="174"/>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counterclaim against Swagger arose from the deficiencies in Swagger's work and was not covered by the insurance policies. Any damage to other parts of the building resulting from Swagger's defective workmanship was not covered by the policies, as it was not deemed to be an occurrence.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5" w:name="Counsel_24"/>
      <w:bookmarkEnd w:id="17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2"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 A.N. Habib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ING Insurance Company of Canada: G.B. Butler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Zurich Insurance Company Zurich Compagnie D'Assurances: M.F. Casey,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American Home Assurance Company: D.B. Kirkham, Q.C. H.E. Maconachie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6" w:name="Judgment_25"/>
      <w:bookmarkEnd w:id="176"/>
      <w:r>
        <w:pict>
          <v:line id="_x0000_s1153" style="position:absolute;z-index:25178726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7" w:name="N.H. SMITH J._0"/>
            <w:bookmarkEnd w:id="177"/>
            <w:r>
              <w:rPr>
                <w:rFonts w:ascii="arial" w:eastAsia="arial" w:hAnsi="arial" w:cs="arial"/>
                <w:b/>
                <w:color w:val="000000"/>
                <w:sz w:val="30"/>
                <w:lang w:val="en-US" w:eastAsia="en-US" w:bidi="ar-SA"/>
              </w:rPr>
              <w:t>N.H.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petitioner, Swagger Construction Ltd. ("Swagger"), was the general contractor for a construction project at the University of British Columbia ("UBC"). Disputes arose between Swagger and UBC, litigation followed, and a trial is scheduled for September 19, 2005. Swagger now seeks an order that three liability insurers have a duty to defend it in that proceeding and to reimburse it for defence costs incurred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Swagger contracted with UBC in February 1996, to act as general contractor for construction of a building called the Forest Science Centre. On June 10, 1999, Swagger started an action against UBC seeking compensation for extra work and delays. UBC issued a counterclaim against Swagger on September 7, 1999, and added other parties as defendants by counterclaim. The counterclaim has been amended four times. It was most recently amended on November 23, 2004. Some aspects of the action have been resolved and the counterclaim will be the major issue proceeding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Each of the respondent insurers issued a commercial general liability ("CGL") policy covering some portion of the period between 1996 and 2003. The policies generally provide indemnity to Swagger in the event of liability for personal injury or property damage. The insurers argue that the counterclaim is a claim for deficiencies in Swagger's own work, which is not covered by the policies. Although the counterclaim was filed in 1999, the insurers were not notified of the claim and asked to provide a defence until 2004. Swagger says this is because of the changing nature of UBC's claim through the various amendments. In particular, Swagger says the counterclaim was expanded to include a claim that may be considered property damage under the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leading authority in this Court on the duty to defend under insurance policies of the type at issue here is Privest Properties Ltd. v. Foundation Co. of Canada. Ltd. </w:t>
      </w:r>
      <w:hyperlink r:id="rId521" w:history="1">
        <w:r>
          <w:rPr>
            <w:rFonts w:ascii="arial" w:eastAsia="arial" w:hAnsi="arial" w:cs="arial"/>
            <w:i/>
            <w:color w:val="0077CC"/>
            <w:sz w:val="20"/>
            <w:u w:val="single"/>
            <w:shd w:val="clear" w:color="auto" w:fill="FFFFFF"/>
            <w:lang w:val="en-US" w:eastAsia="en-US" w:bidi="ar-SA"/>
          </w:rPr>
          <w:t>(1991), 57 B.C.L.R. (2d) 88</w:t>
        </w:r>
      </w:hyperlink>
      <w:r>
        <w:rPr>
          <w:rFonts w:ascii="arial" w:eastAsia="arial" w:hAnsi="arial" w:cs="arial"/>
          <w:color w:val="000000"/>
          <w:sz w:val="20"/>
          <w:lang w:val="en-US" w:eastAsia="en-US" w:bidi="ar-SA"/>
        </w:rPr>
        <w:t xml:space="preserve">, </w:t>
      </w:r>
      <w:hyperlink r:id="rId521" w:history="1">
        <w:r>
          <w:rPr>
            <w:rFonts w:ascii="arial" w:eastAsia="arial" w:hAnsi="arial" w:cs="arial"/>
            <w:i/>
            <w:color w:val="0077CC"/>
            <w:sz w:val="20"/>
            <w:u w:val="single"/>
            <w:shd w:val="clear" w:color="auto" w:fill="FFFFFF"/>
            <w:lang w:val="en-US" w:eastAsia="en-US" w:bidi="ar-SA"/>
          </w:rPr>
          <w:t>6 C.C.L.I. (2d) 23</w:t>
        </w:r>
      </w:hyperlink>
      <w:r>
        <w:rPr>
          <w:rFonts w:ascii="arial" w:eastAsia="arial" w:hAnsi="arial" w:cs="arial"/>
          <w:color w:val="000000"/>
          <w:sz w:val="20"/>
          <w:lang w:val="en-US" w:eastAsia="en-US" w:bidi="ar-SA"/>
        </w:rPr>
        <w:t xml:space="preserve"> [Privest]. Drost J., at [paragraph] 208, adopted American authority describing the general purpose of CGL policies: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Comprehensive general liability policies ... are intended to protect the insured from liability for injury or damage to the persons or property of others; they are not intended to pay the costs associated with repairing or replacing the insured's defective work and products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Citing Ohio Casualty Insurance Co. v. Bazzi Construction Co. Inc., 815 F. (2d) 1146 (C.A. 7th circ. 1987), at [paragraph] 209 Drost J.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 policy reason for this. If the insurance proceeds could be used to pay for the repairing or replacing of defective work and products, a contractor or subcontractor could receive initial payment for its work and then receive further payment from the insurer to repair or replace it. Equally repugnant on policy grounds is the notion that the presence of insurance obviates the obligation to perform the job initially in a good and workmanlike manner: see Centex Homes Corp. v. Prestressed Systems Inc., 444 So. (2d) 66 (Fla. App. 3 Dist., 1984).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This principle has been sometimes summarized by saying a CGL policy is not a performance bond. However, that general principle is always subject to the specific terms of the policy at issue. In Westridge Construction Ltd. v. Zurich Insurance Co., </w:t>
      </w:r>
      <w:hyperlink r:id="rId522" w:history="1">
        <w:r>
          <w:rPr>
            <w:rFonts w:ascii="arial" w:eastAsia="arial" w:hAnsi="arial" w:cs="arial"/>
            <w:i/>
            <w:color w:val="0077CC"/>
            <w:sz w:val="20"/>
            <w:u w:val="single"/>
            <w:shd w:val="clear" w:color="auto" w:fill="FFFFFF"/>
            <w:lang w:val="en-US" w:eastAsia="en-US" w:bidi="ar-SA"/>
          </w:rPr>
          <w:t>[2005] S.J. No. 396</w:t>
        </w:r>
      </w:hyperlink>
      <w:r>
        <w:rPr>
          <w:rFonts w:ascii="arial" w:eastAsia="arial" w:hAnsi="arial" w:cs="arial"/>
          <w:color w:val="000000"/>
          <w:sz w:val="20"/>
          <w:lang w:val="en-US" w:eastAsia="en-US" w:bidi="ar-SA"/>
        </w:rPr>
        <w:t xml:space="preserve">, </w:t>
      </w:r>
      <w:hyperlink r:id="rId522" w:history="1">
        <w:r>
          <w:rPr>
            <w:rFonts w:ascii="arial" w:eastAsia="arial" w:hAnsi="arial" w:cs="arial"/>
            <w:i/>
            <w:color w:val="0077CC"/>
            <w:sz w:val="20"/>
            <w:u w:val="single"/>
            <w:shd w:val="clear" w:color="auto" w:fill="FFFFFF"/>
            <w:lang w:val="en-US" w:eastAsia="en-US" w:bidi="ar-SA"/>
          </w:rPr>
          <w:t>2005 SKCA 81</w:t>
        </w:r>
      </w:hyperlink>
      <w:r>
        <w:rPr>
          <w:rFonts w:ascii="arial" w:eastAsia="arial" w:hAnsi="arial" w:cs="arial"/>
          <w:color w:val="000000"/>
          <w:sz w:val="20"/>
          <w:lang w:val="en-US" w:eastAsia="en-US" w:bidi="ar-SA"/>
        </w:rPr>
        <w:t xml:space="preserve"> [Westridge Construction], the Saskatchewan Court of Appeal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concluding paragraphs of his reasons for decision,([paragraph]s [38] to [42] the trial judge found that the claims against Westridge did not fall within the insuring agreements. In doing so, he made no reference to the terms of the policies themselves, but appears to have relied on what he termed to be a fundamental principle of insurance law that a Comprehensive General Liability Policy is not intended to be a means for a contractor to cover the expenses to cover its own defective workmanship or materials, or to be a performance bond (paragraphs [24] to [28]).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statement of principle is sound, this was an erroneous approach, as the judge was obliged to decide the issue not upon general insurance principles, nor upon the general nature of the policies, but upon the exact terms of the insurance policies themselves. ([paragraph] 33 to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following general propositions, which are not disputed in this case, emerge from the extensive review of the law in Privest:</w:t>
      </w:r>
      <w:r>
        <w:rPr>
          <w:rFonts w:ascii="arial" w:eastAsia="arial" w:hAnsi="arial" w:cs="arial"/>
          <w:sz w:val="20"/>
          <w:lang w:val="en-US" w:eastAsia="en-US" w:bidi="ar-SA"/>
        </w:rPr>
        <w:cr/>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an insurer to defend is broader than its duty to indemnify. The duty to defend arises when the claim against the insured alleges acts or omissions falling within the policy coverage. The duty to indemnify arises only when such actions are actually proven at trial.</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necessary to prove that the obligation to indemnify will in fact arise. The duty to defend is triggered by the mere possibility that a claim within the policy may succeed.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Consideration of the duty to defend is governed by the pleadings. If the claim alleges facts that would, if proven, fall within the coverage provided by the policy, the duty to defend arises regardless of the truth or falsity of those allegations.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doubt as to whether the pleadings would bring the claim within the policy's coverage must be resolved in favour of the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Wagner v. Commercial Union Assurance of Canada </w:t>
      </w:r>
      <w:hyperlink r:id="rId523" w:history="1">
        <w:r>
          <w:rPr>
            <w:rFonts w:ascii="arial" w:eastAsia="arial" w:hAnsi="arial" w:cs="arial"/>
            <w:i/>
            <w:color w:val="0077CC"/>
            <w:sz w:val="20"/>
            <w:u w:val="single"/>
            <w:shd w:val="clear" w:color="auto" w:fill="FFFFFF"/>
            <w:lang w:val="en-US" w:eastAsia="en-US" w:bidi="ar-SA"/>
          </w:rPr>
          <w:t>(1994), 95 B.C.L.R. (2d) 273</w:t>
        </w:r>
      </w:hyperlink>
      <w:r>
        <w:rPr>
          <w:rFonts w:ascii="arial" w:eastAsia="arial" w:hAnsi="arial" w:cs="arial"/>
          <w:color w:val="000000"/>
          <w:sz w:val="20"/>
          <w:lang w:val="en-US" w:eastAsia="en-US" w:bidi="ar-SA"/>
        </w:rPr>
        <w:t>, 27 C.P.C. (3d) 47 at [paragraph] 8, this Court adopted the following primary rules of construction for insurance contracts from Gordon Hilliker, Liability Insurance Law in Canada, (Toronto: Butterworths, 1991) at p. 21:</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words in a policy are to be construed according to their plain, ordinary and popular sense;</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policy should be considered in its entirety and be construed liberally so as to give effect to the purpose for which it was written;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due to an ambiguity, the policy wording is susceptible to two reasonable but opposing interpretations, the construction to be adopted is the one most favourable to the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Supreme Court of Canada adopted a somewhat different formulation of the same principle in Reid Crowther &amp; Partners Ltd. v. Simcoe &amp; Erie General Insurance Co., </w:t>
      </w:r>
      <w:hyperlink r:id="rId524" w:history="1">
        <w:r>
          <w:rPr>
            <w:rFonts w:ascii="arial" w:eastAsia="arial" w:hAnsi="arial" w:cs="arial"/>
            <w:i/>
            <w:color w:val="0077CC"/>
            <w:sz w:val="20"/>
            <w:u w:val="single"/>
            <w:shd w:val="clear" w:color="auto" w:fill="FFFFFF"/>
            <w:lang w:val="en-US" w:eastAsia="en-US" w:bidi="ar-SA"/>
          </w:rPr>
          <w:t>[1993] 1 S.C.R. 252</w:t>
        </w:r>
      </w:hyperlink>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99 D.L.R. (4th) 741</w:t>
        </w:r>
      </w:hyperlink>
      <w:r>
        <w:rPr>
          <w:rFonts w:ascii="arial" w:eastAsia="arial" w:hAnsi="arial" w:cs="arial"/>
          <w:color w:val="000000"/>
          <w:sz w:val="20"/>
          <w:lang w:val="en-US" w:eastAsia="en-US" w:bidi="ar-SA"/>
        </w:rPr>
        <w:t xml:space="preserve"> at [paragraph]33: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each case the courts must examine the provisions of the particular policy at issue (and the surrounding circumstances) to determine if the events in question fall within the terms of coverage of that particular policy. This is not to say that there are no principles governing this type of analysis. Far from it. In each case, the courts must interpret the provisions of the policy at issue in light of general principles of interpretation of insurance policies, including, but not limited to:</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 proferentum rule;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principle that coverage provisions should be construed broadly and exclusion clauses narrowly;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desirability, at least where the policy is ambiguous, of giving effect to the reasonable expectations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insurance contract must be interpreted in light of the pleadings that are said to give rise to the duty to defend. The Supreme Court of Canada said in Nichols v. American Home Assurance Co., </w:t>
      </w:r>
      <w:hyperlink r:id="rId525" w:history="1">
        <w:r>
          <w:rPr>
            <w:rFonts w:ascii="arial" w:eastAsia="arial" w:hAnsi="arial" w:cs="arial"/>
            <w:i/>
            <w:color w:val="0077CC"/>
            <w:sz w:val="20"/>
            <w:u w:val="single"/>
            <w:shd w:val="clear" w:color="auto" w:fill="FFFFFF"/>
            <w:lang w:val="en-US" w:eastAsia="en-US" w:bidi="ar-SA"/>
          </w:rPr>
          <w:t>[1990] 1 S.C.R. 801</w:t>
        </w:r>
      </w:hyperlink>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68 D.L.R. (4th) 321</w:t>
        </w:r>
      </w:hyperlink>
      <w:r>
        <w:rPr>
          <w:rFonts w:ascii="arial" w:eastAsia="arial" w:hAnsi="arial" w:cs="arial"/>
          <w:color w:val="000000"/>
          <w:sz w:val="20"/>
          <w:lang w:val="en-US" w:eastAsia="en-US" w:bidi="ar-SA"/>
        </w:rPr>
        <w:t xml:space="preserve"> at [paragraph] 21, that "the widest latitude should be given to the allegations in the pleadings in determining whether they raise a claim within the policy." However, the Supreme Court has also made clear that this does not mean the court should engage in "a fanciful reading of the statement of claim for the purpose of requiring the insurer to defend": Monenco Ltd. v. Commonwealth Insurance Co., </w:t>
      </w:r>
      <w:hyperlink r:id="rId526" w:history="1">
        <w:r>
          <w:rPr>
            <w:rFonts w:ascii="arial" w:eastAsia="arial" w:hAnsi="arial" w:cs="arial"/>
            <w:i/>
            <w:color w:val="0077CC"/>
            <w:sz w:val="20"/>
            <w:u w:val="single"/>
            <w:shd w:val="clear" w:color="auto" w:fill="FFFFFF"/>
            <w:lang w:val="en-US" w:eastAsia="en-US" w:bidi="ar-SA"/>
          </w:rPr>
          <w:t>[2001] 2 S.C.R. 699</w:t>
        </w:r>
      </w:hyperlink>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2001 SCC 49</w:t>
        </w:r>
      </w:hyperlink>
      <w:r>
        <w:rPr>
          <w:rFonts w:ascii="arial" w:eastAsia="arial" w:hAnsi="arial" w:cs="arial"/>
          <w:color w:val="000000"/>
          <w:sz w:val="20"/>
          <w:lang w:val="en-US" w:eastAsia="en-US" w:bidi="ar-SA"/>
        </w:rPr>
        <w:t xml:space="preserve"> at [paragraph] 32, [Monenco], citing G. Hilliker, Liability Insurance Law in Canada, 3rd ed. (Toronto: Butterworths, 2001) at p. 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that context, the court must look beyond the terminology or labels used in the statement of claim in order to determine the "true nature" or "substance" of the claim and whether it can be supported by the factual allegations (Monenco).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court must first determine whether the claim falls within the insuring agreement contained in the policy. If it does not, that is the end of the matter. If it does, it is necessary to determine if it is excluded by any of the exclusion clauses in the policy. If not, the final question is whether there is a possibility that the claim will succeed at trial: see Ellett Industries Ltd. v. Laurentian P &amp; C Insurance Co. </w:t>
      </w:r>
      <w:hyperlink r:id="rId527" w:history="1">
        <w:r>
          <w:rPr>
            <w:rFonts w:ascii="arial" w:eastAsia="arial" w:hAnsi="arial" w:cs="arial"/>
            <w:i/>
            <w:color w:val="0077CC"/>
            <w:sz w:val="20"/>
            <w:u w:val="single"/>
            <w:shd w:val="clear" w:color="auto" w:fill="FFFFFF"/>
            <w:lang w:val="en-US" w:eastAsia="en-US" w:bidi="ar-SA"/>
          </w:rPr>
          <w:t>(1996), 17 B.C.L.R. (3d) 201</w:t>
        </w:r>
      </w:hyperlink>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34 C.C.L.I. (2d) 294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This case is set to proceed to trial on the basis of UBC's third further amended counterclaim. Although that is the pleading on which any judgment will be based, it is important to examine how the counterclaim evolved to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original counterclaim filed in 1999 included a paragraph alleging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Forest Sciences Centre, Phases 1 and 2, (the Project) has had construction deficiencies arising from faulty materials, workmanship and design (the "Construction Deficiencies"), particulars of which include, but are not limited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That statement was followed by a list of nine particulars, each referring to a failure to do something. For example: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design and/or install exterior flashing with an appropriate slope to allow for drainage of water from the exterior walls of the Project;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design and/or install the air/vapour barrier membrane over a sloped surface and protected by a properly sloped metal flashing;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various amendments expanded that list of particulars to the point that it now continues for almost 12 pages. The particulars that have been added include four pages of allegations relating to "failing to properly design and construct the building envelope." Although the list of particulars has grown, the introductory portion of the paragraph continues to refer to alleged "construction deficiencies" that have existed "at all material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most recent amendment to the counterclaim adds a new paragraph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construction deficiencies have caused damage to the exerior and interior building components (the "Resultant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also alleges that construction deficiencies and resultant damage posed a danger to visitors and made the building unfit for its intended purpose. Throughout the remainder of the counterclaim, a reference to "resulting damage and dangerous defects" is added whenever reference is made to the construction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When the counterclaim was first amended in early 2001, UBC added a specific allegation that it has had to do remedial work to correct construction deficiencies and it set out a number of particulars. It also specified the amount it had spent and the amount it would have to spend in the future. Subsequent amendments have lengthened the particulars and increased the dollar amounts. With the last amendment, this remedial work is now said to arise not only from construction deficiencies but "construction deficiencies, resultant damage and dangerous defects." Examples of remedial work claimed include:</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repairs of wall and roof leakage;</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repairs to curtain wall leakage;</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completing other repairs relating to the failure of the building envelope.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counterclaim then has a section setting out a specific claim against Swagger. I interpret that to mean that these are claims that are advanced only against Swagger and not against the other defendants by counterclaim. Contrary to one submission made in argument, it does not mean that the claims against Swagger are limited to those allegations. The previous lengthy allegations of construction deficiencies, resulting damage, and dangerous defects, must be read as referring to all of the defendants by counterclaim, including Swagger.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original counterclaim, made specifically against Swagger, refers to the contract between Swagger and UBC. It then adds: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and in the alternative, UBC says that Swagger owed a duty of care to UBC to ensure that the Project was constructed using all reasonable care, skill, diligence and competence, by the Completion Date and without the Construction Deficiencies.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breach of the duty of care, Swagger negligently failed to exercise all reasonable care, skill, diligence and competence in the construction of the Project, resulting in delayed completion of the Project and the Construction Deficiencies, particulars of which have been provided or will be provided at the trial of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specific reference to construction deficiencies, the counterclaim alleged that UBC has suffered the following damages as a result of breach of contract:</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Project was not constructed in a good and workmanlike manner, free of the Construction Deficiencies;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Project was not constructed substantially in accordance with the approved drawings and specifications;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outstanding deficiencies were not rectified on or by January 31, 1999; (collectively the "Breaches").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loss that was stated to flow from the breach of contract included "additional costs incurred" and "costs incurred by UBC to repair parts of the Project damaged by the defective installation of the air/vapour barrier membrane." A further paragraph alleged exactly the same damages as a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second further amended counterclaim, dated April 28, 2003, added a number of further particulars including a claim against Swagger for "repairs relating to the failure of the building envelope". In the third further amended counterclaim, this section is changed to add reference to "resultant damage and dangerous defects." There is also some rewording of the basic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allegation, including a paragraph that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Pursuant to the Agreement, Swagger owed a duty of care to UBC to use all reasonable care, skill, diligence and competence to ensure that the Work was constructed properly, without the Construction Deficiencies, Resultant Damage and Dangerous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That change, in my view, does not in any way change the cause of action from what it was in 1999. UBC pleads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a duty of care, as well as breach of contract. However, but the duty of care is said to arise only out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Giving the pleadings their broadest possible interpretation, the counterclaim against Swagger contains the following basic elements: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claim that Swagger was in breach of its obligations under the construction contract;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claim that Swagger was negligent in performing its contractual obligations;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claim that Swagger's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resulted in construction deficiencies;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claim that UBC has had to repair the construction deficiencies;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claim that the construction deficiencies have caused additional damage, including damage to other parts of the building that were not in themselves defective. This claim and includes failure of the building envelope and resulting leaks;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claim that as a result of the construction deficiencies, resultant damage and dangerous defects, UBC has suffered a loss of use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important to emphasize that the damage alleged is damage to the very building that Swagger contracted to build. There is no allegation of personal injury to anyone, or any allegation of damage to property other than the Forest Science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These allegations must be reviewed in light of the insurance policies at issue. The respondent, ING, issued a Wrap-up Liability Policy for the project in February 1996. The relevant terms of the insuring agreement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will pay those sums that the insured becomes legally obligated to pay as compensatory damages because of "bodily injury" or "property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"Property damage" must be caused by an "occurrence."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"Occurrence" means an accident, including continuous or repeated exposure to substantially the same general harmful conditions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"Property damage" means</w:t>
      </w:r>
      <w:r>
        <w:rPr>
          <w:rFonts w:ascii="arial" w:eastAsia="arial" w:hAnsi="arial" w:cs="arial"/>
          <w:color w:val="000000"/>
          <w:sz w:val="20"/>
          <w:lang w:val="en-US" w:eastAsia="en-US" w:bidi="ar-SA"/>
        </w:rPr>
        <w: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Physical injury to tangible property, including all resulting loss of use of that property; or</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Loss of use of tangible property that is not physically injured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respondent, Zurich, is the petitioner's insurer under a General Liability Policy that went into effect on August 1, 1999. The relevant provisions are identical to those in the ING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respondent, American Home, became the petitioner's insurer under a Commercial General Liability Policy beginning in August 2001. The policy was renewed with new wording in August 2002. The insuring agreement in the first American Home Policy said the insurer would: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Pay</w:t>
      </w:r>
      <w:r>
        <w:rPr>
          <w:rFonts w:ascii="arial" w:eastAsia="arial" w:hAnsi="arial" w:cs="arial"/>
          <w:color w:val="000000"/>
          <w:sz w:val="20"/>
          <w:lang w:val="en-US" w:eastAsia="en-US" w:bidi="ar-SA"/>
        </w:rPr>
        <w:t xml:space="preserve"> on behalf of the Insured all sums which the Insured shall become legally obligated to pay as compensatory damages because of property damage caused by accident.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"Property damage" means (1) physical injury to or destruction of tangible property which occurs during the policy period, including the loss of use thereof at any time resulting therefrom, or (2) loss of use of tangible property which has not been physically injured or destroyed provided such loss of use is caused by an accident occurring during the policy period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"accident" includes continuous or repeated exposure to conditions which results in property damage neither expected or intended from the stand point of the Insured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do not interpret that language as being materially different from the ING and Zurich policies. The revised American Home policy contains wording identical to those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attempting to apply the policy language to the allegations in the pleadings, it is first necessary to consider the meaning of the term "property damage." Counsel for Swagger says that UBC's claims fall into three categories:</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of repairing particular work which was allegedly defective;</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of repairing work damaged by the other allegedly defective work;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associated with the loss of use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Swagger does not press any argument that the first category falls within the coverage provisions. If any authority is needed to make clear that it does not, that authority is found in Privest. The underlying action in that case concerned removal of asbestos from a building. Defence costs were sought from a number of different insurers with different policy language. Two of the insurers defined property damage as "injury to tangible property". This definition is identical to what appears in the policies at issue here. After a thorough review of Canadian and American law, Drost J. concluded at [paragraph] 156: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 far as Canadian law is concerned, it seems clear that unless there has actually been personal injury or damage to other property, the cost of repairing or replacing defective work is considered to be pure economic loss rather than damage to property: Rivtow Marine Ltd. v. Washington Iron Works, </w:t>
      </w:r>
      <w:hyperlink r:id="rId528" w:history="1">
        <w:r>
          <w:rPr>
            <w:rFonts w:ascii="arial" w:eastAsia="arial" w:hAnsi="arial" w:cs="arial"/>
            <w:i/>
            <w:color w:val="0077CC"/>
            <w:sz w:val="20"/>
            <w:u w:val="single"/>
            <w:shd w:val="clear" w:color="auto" w:fill="FFFFFF"/>
            <w:lang w:val="en-US" w:eastAsia="en-US" w:bidi="ar-SA"/>
          </w:rPr>
          <w:t>[1974] S.C.R. 1189</w:t>
        </w:r>
      </w:hyperlink>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[1973] 6 W.W.R. 692</w:t>
        </w:r>
      </w:hyperlink>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40 D.L.R. (3d) 530</w:t>
        </w:r>
      </w:hyperlink>
      <w:r>
        <w:rPr>
          <w:rFonts w:ascii="arial" w:eastAsia="arial" w:hAnsi="arial" w:cs="arial"/>
          <w:color w:val="000000"/>
          <w:sz w:val="20"/>
          <w:lang w:val="en-US" w:eastAsia="en-US" w:bidi="ar-SA"/>
        </w:rPr>
        <w:t xml:space="preserve">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Drost J. also noted, at [paragraph] 160: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Harbor Machine Ltd. v. Guardian Insurance Company of Canada </w:t>
      </w:r>
      <w:hyperlink r:id="rId529" w:history="1">
        <w:r>
          <w:rPr>
            <w:rFonts w:ascii="arial" w:eastAsia="arial" w:hAnsi="arial" w:cs="arial"/>
            <w:i/>
            <w:color w:val="0077CC"/>
            <w:sz w:val="20"/>
            <w:u w:val="single"/>
            <w:shd w:val="clear" w:color="auto" w:fill="FFFFFF"/>
            <w:lang w:val="en-US" w:eastAsia="en-US" w:bidi="ar-SA"/>
          </w:rPr>
          <w:t>(1985), 60 B.C.L.R. 360</w:t>
        </w:r>
      </w:hyperlink>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10 C.C.L.I. 72</w:t>
        </w:r>
      </w:hyperlink>
      <w:r>
        <w:rPr>
          <w:rFonts w:ascii="arial" w:eastAsia="arial" w:hAnsi="arial" w:cs="arial"/>
          <w:color w:val="000000"/>
          <w:sz w:val="20"/>
          <w:lang w:val="en-US" w:eastAsia="en-US" w:bidi="ar-SA"/>
        </w:rPr>
        <w:t xml:space="preserve"> (C.A.), also provides support for the proposition that, under our law, the mere presence of a defective product in an otherwise sound structure does not, in itself, constitute damage to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result in Privest was that the insurers who defined property damage as the insurers have in this case were not required to provide a defence to the contractor. I also note that the definition of property damage was not expanded merely because the defect at issue was a dangerous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However, the Court found that a different, broader definition of property damage in some policies did give rise to potential indemnity and a duty to defend. Those policies defined property damage as damage or injury to "property" rather than to "tangible property." The Court found that such language could include "an infringement of intangible property or an incorporeal right" ([paragraph] 168). That broader definition does not assist Swagger in this case because it was not used in any of the policies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 context of these pleadings, the third category of damage referred to by Swagger, loss of use, adds nothing to the analysis. The only allegation against Swagger that can be interpreted as one for loss of use is the paragraph alleging the building was rendered unfit for its intended purpose. This relates to the Forest Science Centre itself, not to any different, undamaged property. Therefore, the relevant section of the policy is the portion that refers to loss of use of the property damaged. Accordingly, the third category of damages must stand or fall with the second.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This second category, defects in one part of the building causing damage to other parts, did not arise in Privest. This category still involves defects in, or damage to, work done by Swagger. There is, for example, no allegation of damage to equipment, furniture, or decorations that UBC added to the building after it was completed by Swagger. The question is whether there can be any notional division of Swagger's work into separate parts so that a defect in one part can be said to cause property damage to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Winnipeg Condominium Corporation No. 36 v. Bird Construction Co., </w:t>
      </w:r>
      <w:hyperlink r:id="rId530" w:history="1">
        <w:r>
          <w:rPr>
            <w:rFonts w:ascii="arial" w:eastAsia="arial" w:hAnsi="arial" w:cs="arial"/>
            <w:i/>
            <w:color w:val="0077CC"/>
            <w:sz w:val="20"/>
            <w:u w:val="single"/>
            <w:shd w:val="clear" w:color="auto" w:fill="FFFFFF"/>
            <w:lang w:val="en-US" w:eastAsia="en-US" w:bidi="ar-SA"/>
          </w:rPr>
          <w:t>[1995] 1 S.C.R. 85</w:t>
        </w:r>
      </w:hyperlink>
      <w:r>
        <w:rPr>
          <w:rFonts w:ascii="arial" w:eastAsia="arial" w:hAnsi="arial" w:cs="arial"/>
          <w:color w:val="000000"/>
          <w:sz w:val="20"/>
          <w:lang w:val="en-US" w:eastAsia="en-US" w:bidi="ar-SA"/>
        </w:rPr>
        <w:t xml:space="preserve">, </w:t>
      </w:r>
      <w:hyperlink r:id="rId530" w:history="1">
        <w:r>
          <w:rPr>
            <w:rFonts w:ascii="arial" w:eastAsia="arial" w:hAnsi="arial" w:cs="arial"/>
            <w:i/>
            <w:color w:val="0077CC"/>
            <w:sz w:val="20"/>
            <w:u w:val="single"/>
            <w:shd w:val="clear" w:color="auto" w:fill="FFFFFF"/>
            <w:lang w:val="en-US" w:eastAsia="en-US" w:bidi="ar-SA"/>
          </w:rPr>
          <w:t>121 D.L.R. (4th) 193</w:t>
        </w:r>
      </w:hyperlink>
      <w:r>
        <w:rPr>
          <w:rFonts w:ascii="arial" w:eastAsia="arial" w:hAnsi="arial" w:cs="arial"/>
          <w:color w:val="000000"/>
          <w:sz w:val="20"/>
          <w:lang w:val="en-US" w:eastAsia="en-US" w:bidi="ar-SA"/>
        </w:rPr>
        <w:t xml:space="preserve"> [Winnipeg Condominium], the plaintiff claimed the cost of removing and replacing a building's defective exterior cladding. The plaintiff advanced an argument similar to Swagger's second category of damages. It argued that one element of a structure should be regarded as distinct from another, so that damage to one part of the structure caused by a defect in another could qualify as damage to "other property". The assertion of this "complex structure theory" relied on dicta by Lord Bridge in D &amp; F Estates Ltd. v. Church Commissioners for England, [1988] 2 All E.R. 992 (H.L.). The Supreme Court of Canada has rejected the theory, and noted that Lord Bridge had later rejected it in Murphy v. Brentwood District Council, [1990] 2 All E.R. 908 (H.L.): Winnipeg Condominium at [paragraph] 15. LaForest J. summarized the law relating to the "complex structure" theory at [paragraph]s 14 and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Counsel for the Condominium Corporation argued that the collapse of the cladding may have been attributable to the negligent installation of certain metal ties. Following the logic suggested by Lord Bridge, counsel argued that the loss suffered was not, in fact, economic loss but, rather, damage to "other property" and the recoverable under the principles established in Donoghue v. Stevenson, [1932] A.C. 562 (H.L.). In other words, he sought to localize the defect in one part of the structure and to claim that the damage to the rest of the structure was "caused" in some manner by the defect.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note at the outset that I do not find the Condominium Corporation's argument on this subsidiary point persuasive. In Murphy, supra, at pp. 926-8, Lord Bridge reconsidered and rejected the "complex structure" theory he had suggested in D &amp; F Estates, criticizing the theory on the following basis (at p. 928):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reality is that the structural elements in any building form a single indivisible unit of which the different parts are essentially interdependent. To the extent that there is any defect in one part of the structure it must to a greater or lesser degree necessarily affect all other parts of the structure. Therefore any defect in the structure is a defect in the quality of the whole and it is quite artificial, in order to impose a legal liability which the law would not otherwise impose, to treat a defect in an integral structure, so far as it weakens the structure, as a dangerous defect liable to cause damage to other property'.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critical distinction must be drawn here between some part of a complex structure which is said to be a danger' only because it does not perform its proper function in sustaining the other parts and some distinct item incorporated in the structure which positively malfunctions so as to inflict positive damage on the structure in which it is incorporated. Thus, if a defective central heating boiler explodes and damages a house or a defective electrical insulation malfunctions and sets the house on fire, I see no reason to doubt that the owner of the house, if he can prove that the damage was due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boiler manufacturer in the one case or the electrical contractor in the other, can recover damages in tort on Donoghue v. Stevenson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Winnipeg Condominium dealt with the distinction between property damage and economic loss for the purpose of tort law. The Supreme Court of Canada held that the contractor owed a duty to subsequent purchasers of the building to prevent defects that caused danger to persons or property. The subsequent owner did not have to wait until there was an actual injury before doing corrective repairs. The duty was confined to dangerous defects and to subsequent purchasers who could not rely on any contractual relationship with the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After the Supreme Court of Canada's decision in Winnipeg Condominium, the defendant contractor sought an order that its insurer defend the claim. In Bird Construction Co. v. Allstate Insurance Co. of Canada, </w:t>
      </w:r>
      <w:hyperlink r:id="rId531" w:history="1">
        <w:r>
          <w:rPr>
            <w:rFonts w:ascii="arial" w:eastAsia="arial" w:hAnsi="arial" w:cs="arial"/>
            <w:i/>
            <w:color w:val="0077CC"/>
            <w:sz w:val="20"/>
            <w:u w:val="single"/>
            <w:shd w:val="clear" w:color="auto" w:fill="FFFFFF"/>
            <w:lang w:val="en-US" w:eastAsia="en-US" w:bidi="ar-SA"/>
          </w:rPr>
          <w:t>[1996] 7 W.W.R. 609</w:t>
        </w:r>
      </w:hyperlink>
      <w:r>
        <w:rPr>
          <w:rFonts w:ascii="arial" w:eastAsia="arial" w:hAnsi="arial" w:cs="arial"/>
          <w:color w:val="000000"/>
          <w:sz w:val="20"/>
          <w:lang w:val="en-US" w:eastAsia="en-US" w:bidi="ar-SA"/>
        </w:rPr>
        <w:t xml:space="preserve"> [Bird Construction], the Manitoba Court of Appeal said the insurer had no duty to defend and made clear (at [paragraph]s 11 and 12) that the Supreme Court of Canada's rejection of the "complex structure" theory for tort purposes, also applied to insurance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claim is obviously not one for "damages because of bodily injury." Nor is it one for "damages because of property damage" as those latter words are defined in the policy. As LaForest J. remarked in Winnipeg Condominium Corporation No. 36 v. Bird Construction Co. Ltd., supra, at p. 98: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observe that the losses claimed by the Condominium Corporation in the present case fall quite clearly under the category of economic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only damage to property alleged in the claim against the policy holder is damage to the building itself. But this is not damage in the sense defined in the policy which expressly excludes coverage for damage to the work performed by or on behalf of the policy holder (Exclusion (k)(4)). Nor can it be argued that the defect in part of the building caused damage to the rest of the building. This argument, known as the "complex structure" theory, was rejected by the Supreme Court of Canada in Winnipeg Condominium Corporation No. 36 v. Bird Construction Co. Ltd., supra, at p. 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basic principle set out in Privest and the authorities on which it is based is that for the purpose of CGL policies, damage to "tangible property" does not include the cost of remedying defects in the insured's own work. Drost J. also said that a general contractor's "work" is the project for which the contractor was engaged ([paragraph]238). The effect of Winnipeg Condominium and Bird Construction is that, subject to one possible exception that I will discuss below, this basic principle can not be avoided by an artificial division of the insured's work into component parts.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Of course, parties to insurance contracts might expand the definition of property damage and the scope of coverage to include some, but not all, of the insured's own work, based on what might be a difficult and arbitrary division of building components. However, I can find no language in these contracts that can be stretched to include such a departure from the usual purpose of a CGL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also note, that although the Supreme Court of Canada distinguished between defects that were dangerous and those that were merely substandard for the purpose of tort law, the Manitoba Court of Appeal was not prepared to incorporate a building defect into the definition of property damage simply because it is alleged to be "dangerous." That is also consistent with the decision of this Court in Privest, which dealt with the dangerous presence of asbestos in a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An apparently contrary result was reached by the Saskatchewan Court of Appeal in Westridge Construction. The contractor in that case had built a swine barn and was sued by the owner, who alleged that some time after the building was completed the roof began to rust. This rusting process continued so that by the time the writ was issued seven years after the building was completed there was a danger of catastrophic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Saskatchewan Court of Appeal said the damage alleged came within a definition of property damage similar to what is found in these policies. However, the Court does not appear to have been referred to Privest, Winnipeg Condominium or Bird Construction. Elsewhere in the judgment, the Court makes clear that it did not consider the alleged damage to be caused solely by faulty performance of a construction contract. The decision was based on a separate allegation of an independent tort. In Westridge Construction, the Saskatchewan Court of Appeal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These allegations raise a cause of action arising not from faulty workmanship or defective material, but from failure to warn, before the contract was entered into, that the work and materials called for by the contract were unsuitable for the conditions of the swine barn. ([paragraph]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Although, the Court drew that distinction in discussing the issue of exclusion clauses rather than the definition of property damage, it is a distinction that makes the result of that case inapplicable here, unless anything in the pleadings can be called an allegation of an independent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Swagger asserts that the counterclaim's references to breach of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create such an allegation. But the finding of an independent tort claim in Westridge was based on a finding that the tort and contract claims arose from different and separate sets of facts. In particular, the tort claim arose from alleged advice and representations that predated the contract. No such allegation is made here against Swagger. The tort duty of care is alleged to arise only out of the contract and the references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only be read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performance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Swagger also relies on the decision of this Court in AXA Pacific Insurance Co. v. Guildford Marquis Towers Ltd. </w:t>
      </w:r>
      <w:hyperlink r:id="rId532" w:history="1">
        <w:r>
          <w:rPr>
            <w:rFonts w:ascii="arial" w:eastAsia="arial" w:hAnsi="arial" w:cs="arial"/>
            <w:i/>
            <w:color w:val="0077CC"/>
            <w:sz w:val="20"/>
            <w:u w:val="single"/>
            <w:shd w:val="clear" w:color="auto" w:fill="FFFFFF"/>
            <w:lang w:val="en-US" w:eastAsia="en-US" w:bidi="ar-SA"/>
          </w:rPr>
          <w:t>(2000), 74 B.C.L.R. (3d) 194</w:t>
        </w:r>
      </w:hyperlink>
      <w:r>
        <w:rPr>
          <w:rFonts w:ascii="arial" w:eastAsia="arial" w:hAnsi="arial" w:cs="arial"/>
          <w:color w:val="000000"/>
          <w:sz w:val="20"/>
          <w:lang w:val="en-US" w:eastAsia="en-US" w:bidi="ar-SA"/>
        </w:rPr>
        <w:t xml:space="preserve">, </w:t>
      </w:r>
      <w:hyperlink r:id="rId532" w:history="1">
        <w:r>
          <w:rPr>
            <w:rFonts w:ascii="arial" w:eastAsia="arial" w:hAnsi="arial" w:cs="arial"/>
            <w:i/>
            <w:color w:val="0077CC"/>
            <w:sz w:val="20"/>
            <w:u w:val="single"/>
            <w:shd w:val="clear" w:color="auto" w:fill="FFFFFF"/>
            <w:lang w:val="en-US" w:eastAsia="en-US" w:bidi="ar-SA"/>
          </w:rPr>
          <w:t>2000 BCSC 197</w:t>
        </w:r>
      </w:hyperlink>
      <w:r>
        <w:rPr>
          <w:rFonts w:ascii="arial" w:eastAsia="arial" w:hAnsi="arial" w:cs="arial"/>
          <w:color w:val="000000"/>
          <w:sz w:val="20"/>
          <w:lang w:val="en-US" w:eastAsia="en-US" w:bidi="ar-SA"/>
        </w:rPr>
        <w:t xml:space="preserve"> [AXA Pacific]. This case involved claims for construction defects resulting in "substantial water infiltration into the interior walls." There was a specific claim for repairing parts of the building damaged by defects in other parts, such as drywall damaged by water entering through defective joists or caulking. After referring to Winnipeg Condominium and Bird Construction, Bauman J. said, at [paragraph] 24, that it was arguable that this category of damage "does not include parts of the buildings which form </w:t>
      </w:r>
      <w:r>
        <w:rPr>
          <w:rFonts w:ascii="arial" w:eastAsia="arial" w:hAnsi="arial" w:cs="arial"/>
          <w:color w:val="000000"/>
          <w:sz w:val="20"/>
          <w:u w:val="single"/>
          <w:lang w:val="en-US" w:eastAsia="en-US" w:bidi="ar-SA"/>
        </w:rPr>
        <w:t>'a single indivisible unit' of structural elements</w:t>
      </w:r>
      <w:r>
        <w:rPr>
          <w:rFonts w:ascii="arial" w:eastAsia="arial" w:hAnsi="arial" w:cs="arial"/>
          <w:color w:val="000000"/>
          <w:sz w:val="20"/>
          <w:lang w:val="en-US" w:eastAsia="en-US" w:bidi="ar-SA"/>
        </w:rPr>
        <w:t xml:space="preserve"> with the defective parts of the building."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This language suggests there may be a distinction between structural and non-structural elements of a building. That possibility arises directly from Winnipeg Condominium, which suggests a distinction between a part of a structure that "does not perform its proper function in sustaining the other parts and some distinct item incorporated in the structure which positively malfunctions." The Court used the example of a defective central heating boiler exploding and damaging the structure. That distinction must also work in the other direction. A defect in the structure may lead to damage to parts of the building that have no structural function and do not form part of an indivisible unit of structural elements. For example, a failure of the building envelope, such as is alleged in this case, may cause water damage to building elements that have an aesthetic or functional purpose but no structural significance. Carpeting and perhaps drywall could fall within this category. Although still part of the contractor's work, it might be said that the property damaged is so far removed from the defective portion, both in function and the specific construction steps taken in relation to it, that it would arguably be called "other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AXA Pacific, Bauman J. did not have to decide whether that distinction was relevant because he relied on the specific policy language to find that the duty to defend existed for both the cost of repairing defects and any "resultant damage to other parts of the building. The policy in that case defined property damage as "injury to or destruction" of property ([paragraph] 32). Bauman J. noted that the wording was the same as the policy wording that gave rise to a duty to defend in Privest because it could include "infringement of intangible property or incorporeal right." ([paragraph]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policy in this case refers to "tangible property", which is the language that Privest said does not give rise to a duty to defend. On its result, AXA Pacific is distinguishable from this case simply on the basis of what was found in Privest to be a significant difference in the wording of the policy. It certainly does not suggest any departure from the law stated in Privest, which has been adopted by courts across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However, AXA Pacific does leave open the question of whether the policies in this case could be interpreted as having application in the limited sense of resulting damage to non-structural portions of the plaintiff's work. Can, for example, a failure of the building envelope be considered property damage to the extent that it damages features like carpeting and interior drywall? If that can be considered property damage, it would appear to form a very small part of UBC's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But even if that very narrow category could be called property damage for the purpose of these policies, it would next become necessary to consider whether that property damage can be called the result of an "occurrence." In AXA Pacific, the parties agreed that the alleged events were an occurrence and it was therefore not necessary for the court to consider the authorities on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policies define an occurrence as an "accident". The Supreme Court of Canada's decision in Canadian Indemnity Co. v. Walkem Machinery &amp; Equipment Ltd., </w:t>
      </w:r>
      <w:hyperlink r:id="rId533" w:history="1">
        <w:r>
          <w:rPr>
            <w:rFonts w:ascii="arial" w:eastAsia="arial" w:hAnsi="arial" w:cs="arial"/>
            <w:i/>
            <w:color w:val="0077CC"/>
            <w:sz w:val="20"/>
            <w:u w:val="single"/>
            <w:shd w:val="clear" w:color="auto" w:fill="FFFFFF"/>
            <w:lang w:val="en-US" w:eastAsia="en-US" w:bidi="ar-SA"/>
          </w:rPr>
          <w:t>[1976] 1 S.C.R. 309</w:t>
        </w:r>
      </w:hyperlink>
      <w:r>
        <w:rPr>
          <w:rFonts w:ascii="arial" w:eastAsia="arial" w:hAnsi="arial" w:cs="arial"/>
          <w:color w:val="000000"/>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(1975) 53 D.L.R. (3d) 1</w:t>
        </w:r>
      </w:hyperlink>
      <w:r>
        <w:rPr>
          <w:rFonts w:ascii="arial" w:eastAsia="arial" w:hAnsi="arial" w:cs="arial"/>
          <w:color w:val="000000"/>
          <w:sz w:val="20"/>
          <w:lang w:val="en-US" w:eastAsia="en-US" w:bidi="ar-SA"/>
        </w:rPr>
        <w:t xml:space="preserve"> [Canadian Indemnity] is the leading Canadian authority on the definition of the word "accident." In that case, the insured manufactured what proved to be a defective crane that was installed on a barge. The crane collapsed and the insured was held liable to the owner of the barge.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Supreme Court of Canada held that the collapse of the crane was an "accident" within the meaning of the policy. At p. 6, it accepted the definition of accident as "any unlooked for mishap or occurrence" including a mishap that would have been avoided by the exercise of greater skill. The court rejected previous authority to the effect that the definition of accident did not extend to the results of a calculated risk or dangerous operation. To define the term so narrowly would defeat the purpose of liability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Canadian Indemnity was followed in Cansulex Ltd. v. Reed Stenhouse Ltd. </w:t>
      </w:r>
      <w:hyperlink r:id="rId534" w:history="1">
        <w:r>
          <w:rPr>
            <w:rFonts w:ascii="arial" w:eastAsia="arial" w:hAnsi="arial" w:cs="arial"/>
            <w:i/>
            <w:color w:val="0077CC"/>
            <w:sz w:val="20"/>
            <w:u w:val="single"/>
            <w:shd w:val="clear" w:color="auto" w:fill="FFFFFF"/>
            <w:lang w:val="en-US" w:eastAsia="en-US" w:bidi="ar-SA"/>
          </w:rPr>
          <w:t>(1986), 70 B.C.L.R. 273</w:t>
        </w:r>
      </w:hyperlink>
      <w:r>
        <w:rPr>
          <w:rFonts w:ascii="arial" w:eastAsia="arial" w:hAnsi="arial" w:cs="arial"/>
          <w:color w:val="000000"/>
          <w:sz w:val="20"/>
          <w:lang w:val="en-US" w:eastAsia="en-US" w:bidi="ar-SA"/>
        </w:rPr>
        <w:t xml:space="preserve"> [Cansulex]. The insured in that case had loaded a shipment of sulphur onto a ship for transport. The condition of the sulphur caused corrosion of the ship's hull. McEachern C.J.S.C. found on the basis of Canadian Indemnity, that the damage to the ship came within the definition of accident or occurrence.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However, Canadian Indemnity and Cansulex both involved situations where a defect in the insured's product caused an event that damaged other property. Would the result in those cases have been the same if the only claim was for damage to the defective product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That was the situation before the Court of Appeal in Harbour Machine Ltd. v. Guardian Insurance Company of Canada </w:t>
      </w:r>
      <w:hyperlink r:id="rId529" w:history="1">
        <w:r>
          <w:rPr>
            <w:rFonts w:ascii="arial" w:eastAsia="arial" w:hAnsi="arial" w:cs="arial"/>
            <w:i/>
            <w:color w:val="0077CC"/>
            <w:sz w:val="20"/>
            <w:u w:val="single"/>
            <w:shd w:val="clear" w:color="auto" w:fill="FFFFFF"/>
            <w:lang w:val="en-US" w:eastAsia="en-US" w:bidi="ar-SA"/>
          </w:rPr>
          <w:t>(1985), 60 B.C.L.R. 360</w:t>
        </w:r>
      </w:hyperlink>
      <w:r>
        <w:rPr>
          <w:rFonts w:ascii="arial" w:eastAsia="arial" w:hAnsi="arial" w:cs="arial"/>
          <w:color w:val="000000"/>
          <w:sz w:val="20"/>
          <w:lang w:val="en-US" w:eastAsia="en-US" w:bidi="ar-SA"/>
        </w:rPr>
        <w:t xml:space="preserve"> [Harbour Machine]. Engines had been installed improperly in a boat. This defect was discovered after a propeller fell off. The Court held that the improper installation and workmanship could not, in itself, be called either property damage or an accident or occurrence within the meaning of the insurance policy: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other hand, I incline to the view that the second submission of the appellant is right. Were it not for the matter of the propeller falling off on November 26th, I would be able to see no possible basis for holding that there was any damage to or destruction of property as required by both insuring agreements 2(a) and 2(b). Nor, apart from the matter of the propeller, could I see any possible basis for holding that there was either an accident or an occurrence. Essentially, the cost of remedying the defect arose out of the faulty planning and design of the installation and the poor workmanship in carrying it out. Apart from the minor matter of the propeller, there was nothing which could constitute a mishap or occurrence, the event which must happen before there can be said to be either an accident or an occurrence.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More recently, the Ontario Court of Appeal reached the same result in Celestica Inc. v. ACE INA Insurance </w:t>
      </w:r>
      <w:hyperlink r:id="rId535" w:history="1">
        <w:r>
          <w:rPr>
            <w:rFonts w:ascii="arial" w:eastAsia="arial" w:hAnsi="arial" w:cs="arial"/>
            <w:i/>
            <w:color w:val="0077CC"/>
            <w:sz w:val="20"/>
            <w:u w:val="single"/>
            <w:shd w:val="clear" w:color="auto" w:fill="FFFFFF"/>
            <w:lang w:val="en-US" w:eastAsia="en-US" w:bidi="ar-SA"/>
          </w:rPr>
          <w:t>(2003), 229 D.L.R. (4th) 392</w:t>
        </w:r>
      </w:hyperlink>
      <w:r>
        <w:rPr>
          <w:rFonts w:ascii="arial" w:eastAsia="arial" w:hAnsi="arial" w:cs="arial"/>
          <w:color w:val="000000"/>
          <w:sz w:val="20"/>
          <w:lang w:val="en-US" w:eastAsia="en-US" w:bidi="ar-SA"/>
        </w:rPr>
        <w:t xml:space="preserve"> [Celestica]. In Celestica the insured provided defective transformers for incorporation into photocopy machines. The transformers had to be replaced, but the Court said mere defective design or manufacture did not constitute an occurrence or accident. In coming to that conclusion, the Court referred to both Harbour Machine and Privest.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Ontario Superior Court has subsequently applied Celestica and Privest to facts more similar to the facts of this case. A.R.G. Construction Corp. v. Allstate Insurance Company of Canada et al. </w:t>
      </w:r>
      <w:hyperlink r:id="rId536" w:history="1">
        <w:r>
          <w:rPr>
            <w:rFonts w:ascii="arial" w:eastAsia="arial" w:hAnsi="arial" w:cs="arial"/>
            <w:i/>
            <w:color w:val="0077CC"/>
            <w:sz w:val="20"/>
            <w:u w:val="single"/>
            <w:shd w:val="clear" w:color="auto" w:fill="FFFFFF"/>
            <w:lang w:val="en-US" w:eastAsia="en-US" w:bidi="ar-SA"/>
          </w:rPr>
          <w:t>(2004), 38 C.L.R. (3d) 221</w:t>
        </w:r>
      </w:hyperlink>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73 O.R. (3d) 211</w:t>
        </w:r>
      </w:hyperlink>
      <w:r>
        <w:rPr>
          <w:rFonts w:ascii="arial" w:eastAsia="arial" w:hAnsi="arial" w:cs="arial"/>
          <w:color w:val="000000"/>
          <w:sz w:val="20"/>
          <w:lang w:val="en-US" w:eastAsia="en-US" w:bidi="ar-SA"/>
        </w:rPr>
        <w:t xml:space="preserve"> [A.R.G. Construction], dealt with a claim for water damage to portions of a building resulting from defective design and installation of exterior limestone cladding, and defective installation of a roof membrane. Ferrier J. said at [paragraph] 26 that: "Every allegation bespeaks faulty material, faulty workmanship and breach of contract." He went on to hold that such allegations if proven would not constitute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A similar result was reached by the Newfoundland and Labrador Supreme Court in Twin Cities Mechanical and Electrical Ltd. v. Progress Homes Inc., </w:t>
      </w:r>
      <w:hyperlink r:id="rId537" w:history="1">
        <w:r>
          <w:rPr>
            <w:rFonts w:ascii="arial" w:eastAsia="arial" w:hAnsi="arial" w:cs="arial"/>
            <w:i/>
            <w:color w:val="0077CC"/>
            <w:sz w:val="20"/>
            <w:u w:val="single"/>
            <w:shd w:val="clear" w:color="auto" w:fill="FFFFFF"/>
            <w:lang w:val="en-US" w:eastAsia="en-US" w:bidi="ar-SA"/>
          </w:rPr>
          <w:t>[2004] N.J. No. 282</w:t>
        </w:r>
      </w:hyperlink>
      <w:r>
        <w:rPr>
          <w:rFonts w:ascii="arial" w:eastAsia="arial" w:hAnsi="arial" w:cs="arial"/>
          <w:color w:val="000000"/>
          <w:sz w:val="20"/>
          <w:lang w:val="en-US" w:eastAsia="en-US" w:bidi="ar-SA"/>
        </w:rPr>
        <w:t>, 2004 NL SCTD 157. That case dealt with the duty of a liability insurer to defend a mechanical and electrical contractor against construction deficiency claims. At [paragraph]s 32 to 34, the Court found: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relief requested is the cost of rectifying the deficiencies and the loss of revenue from the delay in opening the facility.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only one item in the list of deficiencies which could suggest property damage. Item 5 in par. 30 of the statement of claim reads - "repair under-floor leaking ductwork - $38,000". The reply to the demand for particulars alleges the physical causes of this leaking to be "improper sealing of the ductwork" and a "collapse in the ductwork". The leaking is said to have caused consequential damage to the ventilation system.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even if one were to conclude that the single reference to leaking connotes property damage, there is no reference in the pleadings to such leakage having been caused by an accident. The pleadings against Newton, read reasonably, assert a claim based on breach of contract or negligent or faulty workmanship. The true nature and substance of Progress Homes claim arises out of a contract for design and construction contract administration; it is in no sense a claim for property damage caused by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Counsel for Swagger also relies on F.W. Hearn/Actes - A Joint Venture Ltd. v. Commonwealth Insurance Co. </w:t>
      </w:r>
      <w:hyperlink r:id="rId538" w:history="1">
        <w:r>
          <w:rPr>
            <w:rFonts w:ascii="arial" w:eastAsia="arial" w:hAnsi="arial" w:cs="arial"/>
            <w:i/>
            <w:color w:val="0077CC"/>
            <w:sz w:val="20"/>
            <w:u w:val="single"/>
            <w:shd w:val="clear" w:color="auto" w:fill="FFFFFF"/>
            <w:lang w:val="en-US" w:eastAsia="en-US" w:bidi="ar-SA"/>
          </w:rPr>
          <w:t>(2000), 75 B.C.L.R. (3d) 272</w:t>
        </w:r>
      </w:hyperlink>
      <w:r>
        <w:rPr>
          <w:rFonts w:ascii="arial" w:eastAsia="arial" w:hAnsi="arial" w:cs="arial"/>
          <w:color w:val="000000"/>
          <w:sz w:val="20"/>
          <w:lang w:val="en-US" w:eastAsia="en-US" w:bidi="ar-SA"/>
        </w:rPr>
        <w:t xml:space="preserve">, </w:t>
      </w:r>
      <w:hyperlink r:id="rId538" w:history="1">
        <w:r>
          <w:rPr>
            <w:rFonts w:ascii="arial" w:eastAsia="arial" w:hAnsi="arial" w:cs="arial"/>
            <w:i/>
            <w:color w:val="0077CC"/>
            <w:sz w:val="20"/>
            <w:u w:val="single"/>
            <w:shd w:val="clear" w:color="auto" w:fill="FFFFFF"/>
            <w:lang w:val="en-US" w:eastAsia="en-US" w:bidi="ar-SA"/>
          </w:rPr>
          <w:t>2000 BCSC 764</w:t>
        </w:r>
      </w:hyperlink>
      <w:r>
        <w:rPr>
          <w:rFonts w:ascii="arial" w:eastAsia="arial" w:hAnsi="arial" w:cs="arial"/>
          <w:color w:val="000000"/>
          <w:sz w:val="20"/>
          <w:lang w:val="en-US" w:eastAsia="en-US" w:bidi="ar-SA"/>
        </w:rPr>
        <w:t xml:space="preserve"> [Hearn/Actes]. This case also involved a construction contract at UBC, alleged deficiencies in the contractor's performance, and an application by the contractor that its insurers provide a defence. The policy language was similar to the policies at issue here. It referred to damage or destruction of tangible property caused by an occurrence. J.T. Edwards J. held that there was a duty to defend because the claims fell within "the liberal interpretation of damage to property now specifically adopted by our courts." He also held that there was an occurrence.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Counsel for Swagger says that Hearn/Actes, and AXA Pacific indicate that the law in British Columbia has diverged from the law in other provinces. Counsel argues that the law in British Columbia now calls for a wider and more liberal interpretation of insurance policies in cases like this. I have already said that AXA Pacific is distinguishable on the basis of the policy wording.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But of course, if Hearn/Actes in itself sets out law that is different from the law in other jurisdictions, I am bound to follow it. However, there was no suggestion of any reason why the law in British Columbia should be different from the rest of the country. I was not directed to any statutes that mandate a different approach, or to any differences in the prevailing conditions or practices within the industry. In the absence of such differences, insurers and contractors, many of whom carry on business across the country, should be able to expect reasonable consistency in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confess, with respect, that I have difficulty understanding how the Court in Hearn/Actes reached the decision it did in light of the applicable authorities. One problem is that the pleadings are not described except in very general terms. They are said to allege construction deficiencies, including resultant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Court refers to Winnipeg Condominium. It does not refer to Bird Construction. However, it refers to AXA Pacific, which does refer to Bird Construction. If Bird Construction was argued in Hearn/Actes, there is no explanation of why a different result was reached. In reference to Winnipeg Condominium,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Winnipeg Condominium, supra, Mr. Justice LaForest used the potential of danger to back away from a previously unshaken characterization of this type of loss as pure economic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claims for "economic loss" fall within the liberal interpretation of "damage to property", now specifically adopted by our courts ([paragraph]s 12 and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Court then stated at [paragraph]s 26 to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respondents argue that the costs of repairing defects are "economic loss" and are not recoverable. The policy considered by Drost J. in Privest was identical to the coverage provided in the case at bar.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Canadian Indemnity Insurance Co. v. Andrews and George Co., </w:t>
      </w:r>
      <w:hyperlink r:id="rId539" w:history="1">
        <w:r>
          <w:rPr>
            <w:rFonts w:ascii="arial" w:eastAsia="arial" w:hAnsi="arial" w:cs="arial"/>
            <w:i/>
            <w:color w:val="0077CC"/>
            <w:sz w:val="20"/>
            <w:u w:val="single"/>
            <w:shd w:val="clear" w:color="auto" w:fill="FFFFFF"/>
            <w:lang w:val="en-US" w:eastAsia="en-US" w:bidi="ar-SA"/>
          </w:rPr>
          <w:t>[1953] 1 S.C.R. 19</w:t>
        </w:r>
      </w:hyperlink>
      <w:r>
        <w:rPr>
          <w:rFonts w:ascii="arial" w:eastAsia="arial" w:hAnsi="arial" w:cs="arial"/>
          <w:color w:val="000000"/>
          <w:sz w:val="20"/>
          <w:lang w:val="en-US" w:eastAsia="en-US" w:bidi="ar-SA"/>
        </w:rPr>
        <w:t xml:space="preserve"> at 27 Rand J. defined "accident" as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What is meant is something out of the ordinary or the likely, something fortuitous, unusual and unexpected, not of the range of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a mishap might have been avoided by the exercise of greater care and diligence does not automatically take it out of the range of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factors, in my view, bring the allegations in the amended counterclaim within the coverage provisions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policy in Hearn/Actes was identical to one category of policy considered in Privest. However, this was the category that Drost J. held did not give rise to a duty to defend. In relation to the finding that there was an occurrence, the Court was apparently not referred to the discussion of that issue in Harbour Marine, and, of course, could not have had the benefit of subsequent authorities such as Celestica and A.R.G.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conclusion reached in Hearn/Actes was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conclusion, on the issue of whether or not there is coverage on the insuring agreement, it is my view that provided the court is required to construe the coverage provisions broadly and considering the definitions of "accident", "occurrence", "property liability" and the words of Bauman J. in AXA Pacific Insurance Company, supra, the petitioner has met the first part of the test and has established that the claims are within the scope of the Policy ([paragraph]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have already noted that the AXA Pacific case relied upon in that paragraph, is based on language established by previous authority to be significantly different from what was before the court in Hearn/Actes, and from what is before the court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Having said that, Hearn/Actes is a considered decision of this Court on facts that, as far as can be determined, appear to be very similar to the case at bar. I am bound to follow it except in the specific circumstances set out in Re Hansard Spruce Mills Ltd., </w:t>
      </w:r>
      <w:hyperlink r:id="rId540" w:history="1">
        <w:r>
          <w:rPr>
            <w:rFonts w:ascii="arial" w:eastAsia="arial" w:hAnsi="arial" w:cs="arial"/>
            <w:i/>
            <w:color w:val="0077CC"/>
            <w:sz w:val="20"/>
            <w:u w:val="single"/>
            <w:shd w:val="clear" w:color="auto" w:fill="FFFFFF"/>
            <w:lang w:val="en-US" w:eastAsia="en-US" w:bidi="ar-SA"/>
          </w:rPr>
          <w:t>[1954] 4 D.L.R. 590</w:t>
        </w:r>
      </w:hyperlink>
      <w:r>
        <w:rPr>
          <w:rFonts w:ascii="arial" w:eastAsia="arial" w:hAnsi="arial" w:cs="arial"/>
          <w:color w:val="000000"/>
          <w:sz w:val="20"/>
          <w:lang w:val="en-US" w:eastAsia="en-US" w:bidi="ar-SA"/>
        </w:rPr>
        <w:t xml:space="preserve"> (B.C.S.C.) [Hansard Spruce Mills]. Those circumstances were described by Wilson J. as occurring when:</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subsequent decisions have affected the validity of the impugned judgment;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demonstrated that some binding authority in case law, or some relevant statute was not considered;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judgment was unconsidered, a nisi prius judgment given in circumstances familiar to all trial Judges, where the exigencies of the trial require an immediate decision without opportunity to fully consult authority. (p. 592),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That passage was recently considered by Goepel J. in McCready v. Nanaimo (City), </w:t>
      </w:r>
      <w:hyperlink r:id="rId541" w:history="1">
        <w:r>
          <w:rPr>
            <w:rFonts w:ascii="arial" w:eastAsia="arial" w:hAnsi="arial" w:cs="arial"/>
            <w:i/>
            <w:color w:val="0077CC"/>
            <w:sz w:val="20"/>
            <w:u w:val="single"/>
            <w:shd w:val="clear" w:color="auto" w:fill="FFFFFF"/>
            <w:lang w:val="en-US" w:eastAsia="en-US" w:bidi="ar-SA"/>
          </w:rPr>
          <w:t>[2005] B.C.J. No. 1157</w:t>
        </w:r>
      </w:hyperlink>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2005 BCSC 762</w:t>
        </w:r>
      </w:hyperlink>
      <w:r>
        <w:rPr>
          <w:rFonts w:ascii="arial" w:eastAsia="arial" w:hAnsi="arial" w:cs="arial"/>
          <w:color w:val="000000"/>
          <w:sz w:val="20"/>
          <w:lang w:val="en-US" w:eastAsia="en-US" w:bidi="ar-SA"/>
        </w:rPr>
        <w:t xml:space="preserve"> at [paragraph]s 47 and 48. Goepel J. also considered the case of Cairney v. Queen Charlotte Airlines Ltd. et al. (No. 2) (1954), 12 W.W.R. (N.S.) 459 (B.C.S.C), which is referred to in Hansard Spruce Mills: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Hansard Spruce Mills, Wilson J. reiterates what he said in Cairney and refers to it, but he omits specific reference to one of the conditions he mentioned in Cairney at p. 460: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 suggestion has been made to me that the authorities bearing on the question were not considered by Fisher J. There is no subsequent judgment by any member of this court or by any higher court which would suggest that Fisher J. reached a wrong conclusion. There is no suggestion that his judgment is palpably wrong in that it displays a patent error as to law or as to the facts upon which his statement of law is based.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patent error of law or fact is a ground on which I may refuse to follow an earlier judgment of this court: Leischner et al. v. West Kootenay Power &amp; Light Co. Ltd. et al., </w:t>
      </w:r>
      <w:hyperlink r:id="rId542" w:history="1">
        <w:r>
          <w:rPr>
            <w:rFonts w:ascii="arial" w:eastAsia="arial" w:hAnsi="arial" w:cs="arial"/>
            <w:i/>
            <w:color w:val="0077CC"/>
            <w:sz w:val="20"/>
            <w:u w:val="single"/>
            <w:shd w:val="clear" w:color="auto" w:fill="FFFFFF"/>
            <w:lang w:val="en-US" w:eastAsia="en-US" w:bidi="ar-SA"/>
          </w:rPr>
          <w:t>150 D.L.R. (3d) 242</w:t>
        </w:r>
      </w:hyperlink>
      <w:r>
        <w:rPr>
          <w:rFonts w:ascii="arial" w:eastAsia="arial" w:hAnsi="arial" w:cs="arial"/>
          <w:color w:val="000000"/>
          <w:sz w:val="20"/>
          <w:lang w:val="en-US" w:eastAsia="en-US" w:bidi="ar-SA"/>
        </w:rPr>
        <w:t xml:space="preserve"> (B.C.S.C.), varied </w:t>
      </w:r>
      <w:hyperlink r:id="rId543" w:history="1">
        <w:r>
          <w:rPr>
            <w:rFonts w:ascii="arial" w:eastAsia="arial" w:hAnsi="arial" w:cs="arial"/>
            <w:i/>
            <w:color w:val="0077CC"/>
            <w:sz w:val="20"/>
            <w:u w:val="single"/>
            <w:shd w:val="clear" w:color="auto" w:fill="FFFFFF"/>
            <w:lang w:val="en-US" w:eastAsia="en-US" w:bidi="ar-SA"/>
          </w:rPr>
          <w:t>(1983), 24 D.L.R. (4th) 641</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dealing with an issue of interpretation of a statutory provision, Goepel J. found that a previous decision of this court was "palpably wrong" and declined to follow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It will be apparent from my previous review of Hearn/Actes that I believe the first two of the three conditions set out in Hansard Spruce Mills apply. The Court was not referred to a binding authority on the definition of occurrence - a subject which has also been considered by subsequent authorities. It may be that there were specific allegations in the pleadings that supported the result in Hearn/Actes. However, in the absence of such information, I am unable to see how the result could have been reached on a proper application of the law set out in Privest, Winnipeg Condominium, Bird Construction and the other cases to which I have referred. I therefore must conclude, with great respect, that I am not bound to follow Hearn/Actes.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 must also deal with another case relied upon by Swagger. In SCS Western Corp. v. Dominion of Canada General Insurance Co., </w:t>
      </w:r>
      <w:hyperlink r:id="rId544" w:history="1">
        <w:r>
          <w:rPr>
            <w:rFonts w:ascii="arial" w:eastAsia="arial" w:hAnsi="arial" w:cs="arial"/>
            <w:i/>
            <w:color w:val="0077CC"/>
            <w:sz w:val="20"/>
            <w:u w:val="single"/>
            <w:shd w:val="clear" w:color="auto" w:fill="FFFFFF"/>
            <w:lang w:val="en-US" w:eastAsia="en-US" w:bidi="ar-SA"/>
          </w:rPr>
          <w:t>[1998] 7 W.W.R. 570</w:t>
        </w:r>
      </w:hyperlink>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1998 ABQB 152</w:t>
        </w:r>
      </w:hyperlink>
      <w:r>
        <w:rPr>
          <w:rFonts w:ascii="arial" w:eastAsia="arial" w:hAnsi="arial" w:cs="arial"/>
          <w:color w:val="000000"/>
          <w:sz w:val="20"/>
          <w:lang w:val="en-US" w:eastAsia="en-US" w:bidi="ar-SA"/>
        </w:rPr>
        <w:t xml:space="preserve"> [S.C.S.], the insured constructed a gas bar and was alleged to have negligently installed underground gasoline piping. The Court summarized the claims at [paragraph] 3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Domo claims in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Pier Mac. It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SCS for negligently installing fibre reinforced plastic piping. Domo claims for costs incurred to rectify petroleum leakage, including removal and replacement of piping, environmental monitoring, installation of vapour extraction systems, excavation, removal and replacement of contaminated soil, regarding of the property and inspection and environmental testing costs. Domo also claims for revenue lost while the gas bar was shut down for the repair and remedial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concluded at [paragraph] 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this matter cannot be resolved by a chambers application. There are disputed facts, serious questions of law, and, in relation to the issue when the damage occurred, the possibility of inconsistent findings by separate courts. But SCS should not be required to have the duty to defend determined by a trial of an issue. Unless it has been shown that it is not possible for coverage to exist, the duty to defend remains. To hold otherwise would read the insurer's obligation to defend to narrowly, and the insurer's exclusion clauses too broadly.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claim in SCS included a claim for contaminated soils, which would be injury to property other than the insured's work. I note that it also includes a claim for loss of use of the gas bar. The case may be seen as an application of a distinction similar to the one I have suggested may exist between structural and non-structural property. It could be argued that a gas bar, if that means a building, would be so different in function and construction from the underground piping that it could be said to be "other property." I do not think the case assists Swagger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Finally, Swagger relies on provisions of the ING policy that provide "completed operations coverage." This is further coverage, for which Swagger says it paid an additional premium, to extend coverage for two years from the normal expiry date of the policy or from completion of the project. The additional coverage is defined as follows:</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"Products-completed operations hazard" includes all "bodily injury" and "property damage" occurring away from premises you own and arising out of "your product" or "your work" except:</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Products that are still in your physical possession; or</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Work that has not yet been completed or abandoned.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"Property damage" is a defined term within the policy and I have already discussed how that definition must be applied in these circumstances. There is nothing in the definition of the "completed operations hazard" to indicate that a different definition of property damage should apply. The clear intention of the additional coverage, and the purpose for which Swagger paid an extra premium, was to extend the protection of the policy beyond the time when it would normally expire. Giving the policy's language the broadest possible interpretation, I still cannot find that it changes the nature of the damage for which coverage is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am fortified in that conclusion by reference to one of the exclusion clauses in the contract. The insurers have relied on a number of exclusion clauses and I generally do not need to deal with them because I have found that the claim does not fall within the insuring agreement. However, one of the exclusions applies specifically to the completed operations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policy contains a general exclusion clause relating to the insured's own work. It excludes coverage for property damage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that particular part of any property that must be restored, repaired or replaced because "your work" was incorrectly performed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That paragraph goes on to state that the exclusion does not apply to property damage included in the completed operations hazard, but a subsequent paragraph provides an exclusion for property damage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"your work" arising out of or in any part of it and included in the "products - completed operations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As I said earlier in these reasons, it was held in Privest, that the "work" or "product" of a general contractor is "the project for which the contractor was engaged" ([paragraph] 238). The Court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strength of these authorities, and bearing in mind the underlying purpose of a CGL policy, I am of the opinion that the work/product exclusion clause found in each of the subject policies ... relieves the insurer of any obligation to defend Foundation ([paragraph] 239).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Although the language of the policy is somewhat tortuous, I do not find any ambiguity. The clear intention of the policy was to extend the effect of the "work/product exclusion" as well as the basic definition of property damage, to any claim arising under the completed operations hazard. The completed operations hazard extends the time for which coverage is provided, but does not change the nature of the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summary, I find that allegations in the counterclaim do not come within the insuring agreements of any of the policies. Because of that conclusion, I do not have to address all of exclusion clauses that the insurers relied on. I also do not need to address the submissions on behalf of American Home that it is in a different position from the other insurers because of the late inception of its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None of the insurers are required to provide Swagger with a defence and the petition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N.H.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4" style="position:absolute;z-index:2518374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51" w:history="1">
        <w:r>
          <w:rPr>
            <w:rFonts w:ascii="arial" w:eastAsia="arial" w:hAnsi="arial" w:cs="arial"/>
            <w:b/>
            <w:bCs/>
            <w:i/>
            <w:color w:val="0077CC"/>
            <w:kern w:val="32"/>
            <w:sz w:val="28"/>
            <w:szCs w:val="32"/>
            <w:u w:val="single"/>
            <w:shd w:val="clear" w:color="auto" w:fill="FFFFFF"/>
            <w:lang w:val="en-US" w:eastAsia="en-US" w:bidi="ar-SA"/>
          </w:rPr>
          <w:t>Viroforce Systems Inc. v. Fasken Martineau Dumoulin LLP, [2012] B.C.J. No. 304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and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 McKinnon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6 and 13,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15,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89562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Kelowna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304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226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99 C.P.R. (4th) 356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Viroforce Systems Inc. and Nigel Boast, Plaintiffs, and Fasken Martineau Dumoulin LLP and Doran Ingalls,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5"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8" w:name="Keywords_26"/>
      <w:bookmarkEnd w:id="178"/>
      <w:r>
        <w:rPr>
          <w:rFonts w:ascii="arial" w:eastAsia="arial" w:hAnsi="arial" w:cs="arial"/>
          <w:b/>
          <w:color w:val="000000"/>
          <w:sz w:val="20"/>
          <w:lang w:val="en-US" w:eastAsia="en-US" w:bidi="ar-SA"/>
        </w:rPr>
        <w:t xml:space="preserve">Civil litigation — Civil procedure — Discovery — Production and inspection of documents — Privileged documents — Solicitor-client privilege — Relevancy — Application by the plaintiff Viroforce for production of communications between Weiffenbach and the defendant law firm dismissed — Viroforce brought an action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fraud and breach of contract — Viroforce engaged the law firm to apply for US patents but an employee of the firm allegedly unlawfully utilized electronic signatures of US patent agents — Weiffenbach provided the firm with advice which led to the firm embarking on a ratification process — Opinions received by the law firm respecting the efficacy of the ratification process were irrelevant — In any event, solicitor/client privilege existed and had not been waived.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Contracts — Proceedings in contract — Practice and procedure — Discovery — Application by the plaintiff Viroforce for production of communications between Weiffenbach and the defendant law firm dismissed — Viroforce brought an action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fraud and breach of contract — Viroforce engaged the law firm to apply for US patents but an employee of the firm allegedly unlawfully utilized electronic signatures of US patent agents — Weiffenbach provided the firm with advice which led to the firm embarking on a ratification process — Opinions received by the law firm respecting the efficacy of the ratification process were irrelevant — In any event, solicitor/client privilege existed and had not been waived.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Practice and procedure — Discovery — Inspection of documents — Privileged documents — Application by the plaintiff Viroforce for production of communications between Weiffenbach and the defendant law firm dismissed — Viroforce brought an action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fraud and breach of contract — Viroforce engaged the law firm to apply for US patents but an employee of the firm allegedly unlawfully utilized electronic signatures of US patent agents — Weiffenbach provided the firm with advice which led to the firm embarking on a ratification process — Opinions received by the law firm respecting the efficacy of the ratification process were irrelevant — In any event, solicitor/client privilege existed and had not been waived.</w:t>
      </w:r>
    </w:p>
    <w:p>
      <w:pPr>
        <w:jc w:val="both"/>
        <w:rPr>
          <w:rFonts w:ascii="arial" w:eastAsia="arial" w:hAnsi="arial" w:cs="arial"/>
          <w:sz w:val="20"/>
          <w:lang w:val="en-US" w:eastAsia="en-US" w:bidi="ar-SA"/>
        </w:rPr>
      </w:pPr>
      <w:bookmarkStart w:id="179" w:name="Counsel_25"/>
      <w:bookmarkEnd w:id="17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6"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on own behalf and on behalf of Viroforce Systems Inc: Nigel Boast.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D.C. Quinlan.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0" w:name="Judgment_26"/>
      <w:bookmarkEnd w:id="180"/>
      <w:r>
        <w:pict>
          <v:line id="_x0000_s1157" style="position:absolute;z-index:2517882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1" w:name="R.A. McKINNON J."/>
            <w:bookmarkEnd w:id="181"/>
            <w:r>
              <w:rPr>
                <w:rFonts w:ascii="arial" w:eastAsia="arial" w:hAnsi="arial" w:cs="arial"/>
                <w:b/>
                <w:color w:val="000000"/>
                <w:sz w:val="30"/>
                <w:lang w:val="en-US" w:eastAsia="en-US" w:bidi="ar-SA"/>
              </w:rPr>
              <w:t>R.A. McKINNON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claim damages from the defendants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and fraud". The plaintiffs also seek compensatory and punitive damages of $32,000,000.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company developed a gas-based disinfection technology. Mr. Boast is the principle shareholder and Chief Executive Officer of Viroforce.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Fasken Martineau Dumoulin (FMD) is a law firm and the defendant Ingalls was at all material times a partner/employee of FMD. Although a Canadian patent agent, he is not similarly registered in the United States of America (USA).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company engaged FMD to make application in the USA for certain patents. Ingalls acted in that capacity but unknown to FMD until June 1, 2010, he allegedly unlawfully utilized the electronic signatures of qualified U.S. patent agents.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Members of FMD took steps to remedy the potential damage that could result from that alleged deception. It sent letters to affected clients (including the plaintiff) on July 21, 2010, advising that it had engaged an eminent U.S. patent attorney, one Cameron Weiffenbach to provide it with appropriate advice. It also offered the plaintiff a free consultation with another eminent U.S. patent attorney, Bruce Stoner.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Consequent upon advice that FMD received, it embarked upon a process of "Ratification", which it believed offered the best method to protect its clients from any potential damage caused by Mr. Ingalls alleged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should be noted that FMD acted for many clients, some with patents and others that were in the patent application process. The plaintiff falls into the latter category, it does not (yet) have a patent.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Unhappy with what it perceived as a stain on its ability to attract investors, the plaintiff commenced this action. The trial is scheduled to take place in Kelowna in April of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issue for trial is whether, on all the evidence, the process of "Ratification" will act to remedy the alleged wrong caused by Mr. Ingalls. The defendants say, "If the application for patent protection was flawed, given Mr. Ingalls' conduct, we have rectified that flawed process and thus you have not suffered any provable loss." I note the defendants say that the trial court has two questions to answer:</w:t>
      </w:r>
      <w:r>
        <w:rPr>
          <w:rFonts w:ascii="arial" w:eastAsia="arial" w:hAnsi="arial" w:cs="arial"/>
          <w:sz w:val="20"/>
          <w:lang w:val="en-US" w:eastAsia="en-US" w:bidi="ar-SA"/>
        </w:rPr>
        <w:cr/>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Mr. Ingalls breached the applicable standard of care; if "yes"</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that breach thereby caused damage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doubt a court will spend much time on Question 1. It is the second question that will take more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Expert opinion evidence in respect to Ratification will be served before trial and those witnesses made available for cross-examination in accordance with the Rules. The opinion of experts filed to date suggests that the conduct of FMD, when the alleged wrong was discovered, is also important to the process. Where good faith and speedy rectification is found, the greater the likelihood that patent protection will be afforded.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However, the evidence before me is also clear that patent protection is never guaranteed, no matter how meticulous the application and issuing process. A patent is always open to challenge. I reiterate that the plaintiffs do not have a patent, they have (merely) made an application. At trial the defendants will say that the plaintiffs are no worse off than if the application process had proceeded uneventfully. If a patent is issued to the corporate plaintiff it will face the same hurdles any patent holder faces. It seems evident that if the plaintiff obtains a patent, and if it is successfully challenged based solely upon the alleged misconduct of Mr. Ingalls, it may then have a crystallized claim against FMD.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note that there has been considerable production of documents, including all of those documents associated with the Ratification process. No privilege is claimed by FMD in respect to correspondence and documents respecting Mr. Stoner. Counsel for FMD and Ingalls says that Mr. Boast is wrong when he alleges that there has been a "refusal" to produce documents related to the Ratification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seek disclosure of all communication between Cameron Weiffenbach and FMD and "any other lawyer offering opinion in respect to the Ratification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defendants say that opinions (save for expert opinion relied upon at trial) in respect to the Ratification process are irrelevant, it is the effect of the Ratification process that the court must determine. Does that process serve to rectify the signature issue or not? Secondly, the defendants say that communications between Mr. Weiffenbach and FMD are protected by solicitor/client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Weiffenbach is not being called at trial nor is his opinion being relied upon by the defendants. Thus the determination is whether Mr. Weiffenbach was acting in part for the plaintiff company and/or whether, if acting solely for the plaintiff, it has somehow waived the privilege such that disclosure should be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had no difficulty concluding that Mr. Weiffenbach acted solely for FMD. The letter of July 21, 2010 makes that plain. That letter also offers the services of Mr. Stoner to the plaintiff company to provide it with an independent opinion. The fact that Mr. Weiffenbach and Mr. Stoner acted in concert to effect the Ratification process does not create a solicitor/client relationship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law respecting solicitor/client privilege has been canvassed in many decisions. Dickson J. in </w:t>
      </w:r>
      <w:r>
        <w:rPr>
          <w:rFonts w:ascii="arial" w:eastAsia="arial" w:hAnsi="arial" w:cs="arial"/>
          <w:i/>
          <w:color w:val="000000"/>
          <w:sz w:val="20"/>
          <w:lang w:val="en-US" w:eastAsia="en-US" w:bidi="ar-SA"/>
        </w:rPr>
        <w:t>Le Soleil Hotel &amp; Suites Ltd. v. Le Soleil Management Inc.</w:t>
      </w:r>
      <w:r>
        <w:rPr>
          <w:rFonts w:ascii="arial" w:eastAsia="arial" w:hAnsi="arial" w:cs="arial"/>
          <w:color w:val="000000"/>
          <w:sz w:val="20"/>
          <w:lang w:val="en-US" w:eastAsia="en-US" w:bidi="ar-SA"/>
        </w:rPr>
        <w:t xml:space="preserve">, </w:t>
      </w:r>
      <w:hyperlink r:id="rId552" w:history="1">
        <w:r>
          <w:rPr>
            <w:rFonts w:ascii="arial" w:eastAsia="arial" w:hAnsi="arial" w:cs="arial"/>
            <w:i/>
            <w:color w:val="0077CC"/>
            <w:sz w:val="20"/>
            <w:u w:val="single"/>
            <w:shd w:val="clear" w:color="auto" w:fill="FFFFFF"/>
            <w:lang w:val="en-US" w:eastAsia="en-US" w:bidi="ar-SA"/>
          </w:rPr>
          <w:t>2007 BCSC 1420</w:t>
        </w:r>
      </w:hyperlink>
      <w:r>
        <w:rPr>
          <w:rFonts w:ascii="arial" w:eastAsia="arial" w:hAnsi="arial" w:cs="arial"/>
          <w:color w:val="000000"/>
          <w:sz w:val="20"/>
          <w:lang w:val="en-US" w:eastAsia="en-US" w:bidi="ar-SA"/>
        </w:rPr>
        <w:t xml:space="preserve"> succinctly sets it out in paragraphs 20 to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At bar, it is alleged that implicit waiver has occurred because the defendants have placed their "state of mind" in issue, see </w:t>
      </w:r>
      <w:r>
        <w:rPr>
          <w:rFonts w:ascii="arial" w:eastAsia="arial" w:hAnsi="arial" w:cs="arial"/>
          <w:i/>
          <w:color w:val="000000"/>
          <w:sz w:val="20"/>
          <w:lang w:val="en-US" w:eastAsia="en-US" w:bidi="ar-SA"/>
        </w:rPr>
        <w:t>Doman Forest Products Ltd. v. GMAC Commercial Credit Corp - Canada</w:t>
      </w:r>
      <w:r>
        <w:rPr>
          <w:rFonts w:ascii="arial" w:eastAsia="arial" w:hAnsi="arial" w:cs="arial"/>
          <w:color w:val="000000"/>
          <w:sz w:val="20"/>
          <w:lang w:val="en-US" w:eastAsia="en-US" w:bidi="ar-SA"/>
        </w:rPr>
        <w:t xml:space="preserve">, </w:t>
      </w:r>
      <w:hyperlink r:id="rId553" w:history="1">
        <w:r>
          <w:rPr>
            <w:rFonts w:ascii="arial" w:eastAsia="arial" w:hAnsi="arial" w:cs="arial"/>
            <w:i/>
            <w:color w:val="0077CC"/>
            <w:sz w:val="20"/>
            <w:u w:val="single"/>
            <w:shd w:val="clear" w:color="auto" w:fill="FFFFFF"/>
            <w:lang w:val="en-US" w:eastAsia="en-US" w:bidi="ar-SA"/>
          </w:rPr>
          <w:t>2004 BCCA 512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There is no allegation by the defendants that they acted in a certain way by virtue of advice given to them by Mr. Weiffenbach. Mere denial of allegations does not create a waiver of privilege. See. </w:t>
      </w:r>
      <w:r>
        <w:rPr>
          <w:rFonts w:ascii="arial" w:eastAsia="arial" w:hAnsi="arial" w:cs="arial"/>
          <w:i/>
          <w:color w:val="000000"/>
          <w:sz w:val="20"/>
          <w:lang w:val="en-US" w:eastAsia="en-US" w:bidi="ar-SA"/>
        </w:rPr>
        <w:t>G.W.L. Properties Ltd. v. W.R. Grace &amp; Co. of Canada</w:t>
      </w:r>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(1992), 10 C.P.C. (3d) 165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accept the defendants' submissions that any opinions they received respecting the efficacy of the "Ratification" process is irrelevant to the action. That is the very question the trier of fact is obliged to answer. He or she may be helped by experts called at trial but opinions untested by cross-examination are of no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If I am wrong in that respect, then I find that solicitor/client privilege exists between Mr. Weiffenbach and FMD/Ingalls that has not been waived.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application is dismissed. The defendants are entitled to their costs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 McKINNON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8" style="position:absolute;z-index:2518384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55"/>
          <w:headerReference w:type="default" r:id="rId556"/>
          <w:footerReference w:type="even" r:id="rId557"/>
          <w:footerReference w:type="default" r:id="rId558"/>
          <w:headerReference w:type="first" r:id="rId559"/>
          <w:footerReference w:type="first" r:id="rId56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61" w:history="1">
        <w:r>
          <w:rPr>
            <w:rFonts w:ascii="arial" w:eastAsia="arial" w:hAnsi="arial" w:cs="arial"/>
            <w:b/>
            <w:bCs/>
            <w:i/>
            <w:color w:val="0077CC"/>
            <w:kern w:val="32"/>
            <w:sz w:val="28"/>
            <w:szCs w:val="32"/>
            <w:u w:val="single"/>
            <w:shd w:val="clear" w:color="auto" w:fill="FFFFFF"/>
            <w:lang w:val="en-US" w:eastAsia="en-US" w:bidi="ar-SA"/>
          </w:rPr>
          <w:t>White v. Canada (Attorney General), [2006] B.C.J. No. 760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Cullen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6,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7,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S005157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760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561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148 A.C.W.S. (3d) 691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William White, plaintiff, and Attorney General of Canada, defendant, and Navy League of Canada and Ralph Bremner, Conrad Eugene Sundman, Beverley Richard Wilson, and Evelyn Anderson, Executrix of the Estate of Clarence Allan Anderson, Deceased,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9"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2" w:name="Keywords_27"/>
      <w:bookmarkEnd w:id="182"/>
      <w:r>
        <w:rPr>
          <w:rFonts w:ascii="arial" w:eastAsia="arial" w:hAnsi="arial" w:cs="arial"/>
          <w:b/>
          <w:color w:val="000000"/>
          <w:sz w:val="20"/>
          <w:lang w:val="en-US" w:eastAsia="en-US" w:bidi="ar-SA"/>
        </w:rPr>
        <w:t xml:space="preserve">Civil procedure — Settlements — Approval — Application for an order approving terms of settlement and approving legal fees of class counsel pursuant to s. 38(2) of the Class Proceedings Act allowed — Plaintiffs sought damages for systemic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the federal Crown in the operation of HMCS Discovery and the Royal Canadian Sea Cadets, Captain Vancouver Corps, arising from an alleged failure to protect the plaintiffs from sexual abuse by several officers of HMCS Discovery — Settlement agreement called for payment of $8 million inclusive of legal fees to the 35 approved class members, a further $200,000 to cover administrative fees, and a further $1,800,000 for further approved class members that might come forward within 45 of the approval of the agreement — In all the circumstances, the settlement was fair and reasonable and in the best interests of the class as a whole — Costs were approved on a 30 per cent basis — Class Proceedings Act, s. 38(2).</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3" w:name="Case Summary_25"/>
            <w:bookmarkEnd w:id="18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for an order approving terms of settlement and approving legal fees of the class counsel pursuant to s. 38(2) of the Class Proceedings Act. The action was commenced in September 2006 pursuant to the Act seeking damages for, among other things,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federal Crown in the operation of HMCS Discovery and the Royal Canadian Sea Cadets, Captain Vancouver Corps, arising from an alleged failure to protect the plaintiff class from sexual abuse by several officers of HMCS Discovery. The trial of the common issues was set for January 23, 2006. Meanwhile, the discovery of documents was commenced and an examination for discovery of a representative of the defendant was held in February 2005. Settlement negotiations commenced on September 30, 2005, and resulted in an agreement in principle. A final settlement agreement was executed on February 28, 2006. The settlement agreement called for the payment of $8 million inclusive of legal fees, disbursements, PST and GST, to the 35 approved class members, a further $200,000 to cover administrative fees and a further $1,800,000 for further approved class members that might come forward within 45 of the approval of the agreement. The agreement provided for a payout of $30,000 with no testing. There was a level II payout mechanism that involved psychological testing and assessments. The maximum level II payout was $500,000. The average payout was approximately $226,867. None of the class members had expressed opposition to the settlement. Counsel sought approval of their fees amounting to $2,664,000, based on a contingency fee agreement entered into between class counsel and the representative plaintiff. Counsel also sought approval of disbursements in the amount of approximately $60,000.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4" w:name="Holdings of Court_22"/>
            <w:bookmarkEnd w:id="184"/>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settlement was approved. It avoided protracted and numerous proceedings with no clear prospect of success. The settlement incorporated a reasoned approach to the assessment of loss and damage experienced by each member of the class and provided for options for class members tailored to their individual circumstances. The settlement provided for the due administration of the funds and for payment of that administration in a manner that did not impinge upon the funds set aside for settlement. In all the circumstances, the settlement was fair and reasonable and in the best interests of the class as a whole. With respect to fees, class counsel took on and diligently pursued a case with many potential obstacles along the road to success. The common issue of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new and untried one. The time between commencement of the actions and settlement was five years. The professional skills and experience called for in this case were high. In the circumstances, it was appropriate to approve the fees and disbursements on a 30 per cent contingency fee basis.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5" w:name="Legislation Cited_21"/>
      <w:bookmarkEnd w:id="18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0"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Class Proceedings Act, </w:t>
      </w:r>
      <w:hyperlink r:id="rId28" w:history="1">
        <w:r>
          <w:rPr>
            <w:rFonts w:ascii="arial" w:eastAsia="arial" w:hAnsi="arial" w:cs="arial"/>
            <w:i/>
            <w:color w:val="0077CC"/>
            <w:sz w:val="20"/>
            <w:u w:val="single"/>
            <w:shd w:val="clear" w:color="auto" w:fill="FFFFFF"/>
            <w:lang w:val="en-US" w:eastAsia="en-US" w:bidi="ar-SA"/>
          </w:rPr>
          <w:t>R.S.B.C. 1996, c. 50, s. 4</w:t>
        </w:r>
      </w:hyperlink>
      <w:r>
        <w:rPr>
          <w:rFonts w:ascii="arial" w:eastAsia="arial" w:hAnsi="arial" w:cs="arial"/>
          <w:color w:val="000000"/>
          <w:sz w:val="20"/>
          <w:lang w:val="en-US" w:eastAsia="en-US" w:bidi="ar-SA"/>
        </w:rPr>
        <w:t>(1), s. 4(2), s. 35, s. 38(2)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6" w:name="Counsel_26"/>
      <w:bookmarkEnd w:id="18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1" style="position:absolute;z-index:251789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R.D. Gibbens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L. Lachance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7" w:name="Judgment_27"/>
      <w:bookmarkEnd w:id="187"/>
      <w:r>
        <w:pict>
          <v:line id="_x0000_s1162" style="position:absolute;z-index:25183948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8" w:name="CULLEN J."/>
            <w:bookmarkEnd w:id="188"/>
            <w:r>
              <w:rPr>
                <w:rFonts w:ascii="arial" w:eastAsia="arial" w:hAnsi="arial" w:cs="arial"/>
                <w:b/>
                <w:color w:val="000000"/>
                <w:sz w:val="30"/>
                <w:lang w:val="en-US" w:eastAsia="en-US" w:bidi="ar-SA"/>
              </w:rPr>
              <w:t>CULLEN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INTRODUCTION AND BACKGROUND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action was commenced on September 26, 2000 pursuant to the </w:t>
      </w:r>
      <w:r>
        <w:rPr>
          <w:rFonts w:ascii="arial" w:eastAsia="arial" w:hAnsi="arial" w:cs="arial"/>
          <w:b/>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seeking damages for,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Crown in Right of Canada in the operation of HMCS Discovery and the Royal Canadian Sea Cadets, Captain Vancouver Corps, arising from an alleged failure to protect the plaintiff class from sexual abuse by several officers of HMCS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application for certification of the action as a class proceeding was divided into two parts, the first of which determined whether the pleadings disclosed a cause of action as required by s. 4(1)(a) of the </w:t>
      </w:r>
      <w:r>
        <w:rPr>
          <w:rFonts w:ascii="arial" w:eastAsia="arial" w:hAnsi="arial" w:cs="arial"/>
          <w:b/>
          <w:i/>
          <w:color w:val="000000"/>
          <w:sz w:val="20"/>
          <w:lang w:val="en-US" w:eastAsia="en-US" w:bidi="ar-SA"/>
        </w:rPr>
        <w:t>Class Proceedings Act</w:t>
      </w:r>
      <w:r>
        <w:rPr>
          <w:rFonts w:ascii="arial" w:eastAsia="arial" w:hAnsi="arial" w:cs="arial"/>
          <w:color w:val="000000"/>
          <w:sz w:val="20"/>
          <w:lang w:val="en-US" w:eastAsia="en-US" w:bidi="ar-SA"/>
        </w:rPr>
        <w:t xml:space="preserve"> and the second, which determined whether the preconditions to certification under s. 4(1)(b)(c) and (3) were met and whether certification of the action as a class proceeding would be the preferable procedure under s. 4(1)(b) in light of the considerations set forth in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first part of the certification hearing was conducted on May 27, 2002 and an order was made on August 6, 2002 determining that the pleadings disclosed a cause of action which was not barred by a limitation defence. That order was appealed to the Court of Appeal on January 15, 2003 at which time the appeal was dismissed. The second part of the certification process was heard on September 29, 30, and October 1, 2003 after the defendant issued a third party notice against the Navy League and certain of the alleged abusers. In reasons issued January 23, 2004, I granted certification of the action as a class action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trial of the common issues was set for January 23, 2006. In the meantime, discovery of documents was commenced and an examination for discovery of a representative of the defendant was held on February 18, 21 and 22, 2005. Settlement negotiations commenced on September 30, 2005, culminating in an agreement in principle, reached on December 1, 2005 and a final settlement agreement executed February 28, 2006. This application was brought on January 6, 2006 based on the agreement in principle and sought the following relief:</w:t>
      </w:r>
      <w:r>
        <w:rPr>
          <w:rFonts w:ascii="arial" w:eastAsia="arial" w:hAnsi="arial" w:cs="arial"/>
          <w:sz w:val="20"/>
          <w:lang w:val="en-US" w:eastAsia="en-US" w:bidi="ar-SA"/>
        </w:rPr>
        <w:cr/>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approving the terms of the Settlement, including all Appendices attached thereto pursuant to s. 35 of the </w:t>
      </w:r>
      <w:r>
        <w:rPr>
          <w:rFonts w:ascii="arial" w:eastAsia="arial" w:hAnsi="arial" w:cs="arial"/>
          <w:b/>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requiring the Representative Plaintiff, all members of the Class and the Defendant, Canada, to comply with the terms of the Settlement;</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declaring that the Settlement is binding upon the Representative Plaintiff, all members of the Class and the Defendant, Canada;</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approving the legal fees of Class Counsel pursuant to s. 38(2) of the </w:t>
      </w:r>
      <w:r>
        <w:rPr>
          <w:rFonts w:ascii="arial" w:eastAsia="arial" w:hAnsi="arial" w:cs="arial"/>
          <w:b/>
          <w:i/>
          <w:color w:val="000000"/>
          <w:sz w:val="20"/>
          <w:lang w:val="en-US" w:eastAsia="en-US" w:bidi="ar-SA"/>
        </w:rPr>
        <w:t>Class Proceedings Act,</w:t>
      </w:r>
      <w:r>
        <w:rPr>
          <w:rFonts w:ascii="arial" w:eastAsia="arial" w:hAnsi="arial" w:cs="arial"/>
          <w:i/>
          <w:color w:val="000000"/>
          <w:sz w:val="20"/>
          <w:lang w:val="en-US" w:eastAsia="en-US" w:bidi="ar-SA"/>
        </w:rPr>
        <w:t xml:space="preserve"> supra,</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amending the Class Definition to read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 class is comprised of all former members of the Canadian Sea Cadets, who are currently residents in British Columbia and Manitoba, who claim to have suffered sexual abuse or from sexual misconduct between 1964 and 1980 from employees, agents, or other cadets of the Canadian Sea Cadets, Captain Vancouver Corps, HMCS Discovery.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declaring a sealing order, confidentiality order and publication ban on the names of the Approved Class Members found in Appendix E to the Settlement Agreement which is attached as Exhibit "B" to the Affidavit of William White #3;</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order pursuant to s. 16(2) of the </w:t>
      </w:r>
      <w:r>
        <w:rPr>
          <w:rFonts w:ascii="arial" w:eastAsia="arial" w:hAnsi="arial" w:cs="arial"/>
          <w:b/>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to amend the certification order to allow a former member of the Royal Canadian Sea Cadets who presently resides in Manitoba to opt into the class;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declaration that the application of PST to legal services rendered in this case is inapplicable based on </w:t>
      </w:r>
      <w:r>
        <w:rPr>
          <w:rFonts w:ascii="arial" w:eastAsia="arial" w:hAnsi="arial" w:cs="arial"/>
          <w:b/>
          <w:i/>
          <w:color w:val="000000"/>
          <w:sz w:val="20"/>
          <w:lang w:val="en-US" w:eastAsia="en-US" w:bidi="ar-SA"/>
        </w:rPr>
        <w:t>Christie v. AG</w:t>
      </w:r>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[2005] B.C.J. No. 2745</w:t>
        </w:r>
      </w:hyperlink>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2005 BCCA 631</w:t>
        </w:r>
      </w:hyperlink>
      <w:r>
        <w:rPr>
          <w:rFonts w:ascii="arial" w:eastAsia="arial" w:hAnsi="arial" w:cs="arial"/>
          <w:color w:val="000000"/>
          <w:sz w:val="20"/>
          <w:lang w:val="en-US" w:eastAsia="en-US" w:bidi="ar-SA"/>
        </w:rPr>
        <w:t xml:space="preserve"> (B.C.C.A.) and </w:t>
      </w:r>
      <w:r>
        <w:rPr>
          <w:rFonts w:ascii="arial" w:eastAsia="arial" w:hAnsi="arial" w:cs="arial"/>
          <w:b/>
          <w:i/>
          <w:color w:val="000000"/>
          <w:sz w:val="20"/>
          <w:lang w:val="en-US" w:eastAsia="en-US" w:bidi="ar-SA"/>
        </w:rPr>
        <w:t>Miura v. BC</w:t>
      </w:r>
      <w:r>
        <w:rPr>
          <w:rFonts w:ascii="arial" w:eastAsia="arial" w:hAnsi="arial" w:cs="arial"/>
          <w:color w:val="000000"/>
          <w:sz w:val="20"/>
          <w:lang w:val="en-US" w:eastAsia="en-US" w:bidi="ar-SA"/>
        </w:rPr>
        <w:t xml:space="preserve"> </w:t>
      </w:r>
      <w:hyperlink r:id="rId563" w:history="1">
        <w:r>
          <w:rPr>
            <w:rFonts w:ascii="arial" w:eastAsia="arial" w:hAnsi="arial" w:cs="arial"/>
            <w:i/>
            <w:color w:val="0077CC"/>
            <w:sz w:val="20"/>
            <w:u w:val="single"/>
            <w:shd w:val="clear" w:color="auto" w:fill="FFFFFF"/>
            <w:lang w:val="en-US" w:eastAsia="en-US" w:bidi="ar-SA"/>
          </w:rPr>
          <w:t>[2005] B.C.J. No. 2409</w:t>
        </w:r>
      </w:hyperlink>
      <w:r>
        <w:rPr>
          <w:rFonts w:ascii="arial" w:eastAsia="arial" w:hAnsi="arial" w:cs="arial"/>
          <w:color w:val="000000"/>
          <w:sz w:val="20"/>
          <w:lang w:val="en-US" w:eastAsia="en-US" w:bidi="ar-SA"/>
        </w:rPr>
        <w:t xml:space="preserve"> (B.C.S.C.);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orders as counsel many advise and this Court may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hearing on January 6th with the consent of all counsel, I granted the order sought in subparagraph 6 declaring a sealing order, confidentiality order and publication ban on the names of the approved class members, found in Appendix E to the settlement agreement, excepting the name of the representative plaintiff, William White. At that hearing, Mr. Lachance, counsel for Canada, indicated that the defendant consented to the orders sought in subparagraph 5 amending the class definition and subparagraph 7, seeking an order pursuant to s. 16(2) to allow a former member of the Royal Canadian Sea Cadets who presently resides in Manitoba to opt into the class, subject to the final settlement. That eventuality having occurred, I will now make the orders sought in subparagraph 5 and subparagraph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Insofar as the order sought in subparagraph 8 is concerned, at the hearing on January 6, 2006, counsel for the plaintiffs sought to adjourn that portion of the application generally, pending an appeal of </w:t>
      </w:r>
      <w:r>
        <w:rPr>
          <w:rFonts w:ascii="arial" w:eastAsia="arial" w:hAnsi="arial" w:cs="arial"/>
          <w:b/>
          <w:i/>
          <w:color w:val="000000"/>
          <w:sz w:val="20"/>
          <w:lang w:val="en-US" w:eastAsia="en-US" w:bidi="ar-SA"/>
        </w:rPr>
        <w:t>Christie v. AG,</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Miura v. BC,</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xml:space="preserve"> to the Supreme Court of Canada. I granted that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That leaves the applications in subparagraphs 1 - 4, seeking an order approving the settlement and requiring compliance with it and seeking approval of the legal fees of the class counsel pursuant to s. 38(2) of the </w:t>
      </w:r>
      <w:r>
        <w:rPr>
          <w:rFonts w:ascii="arial" w:eastAsia="arial" w:hAnsi="arial" w:cs="arial"/>
          <w:b/>
          <w:i/>
          <w:color w:val="000000"/>
          <w:sz w:val="20"/>
          <w:lang w:val="en-US" w:eastAsia="en-US" w:bidi="ar-SA"/>
        </w:rPr>
        <w:t>Class Proceedings Act</w:t>
      </w:r>
      <w:r>
        <w:rPr>
          <w:rFonts w:ascii="arial" w:eastAsia="arial" w:hAnsi="arial" w:cs="arial"/>
          <w:color w:val="000000"/>
          <w:sz w:val="20"/>
          <w:lang w:val="en-US" w:eastAsia="en-US" w:bidi="ar-SA"/>
        </w:rPr>
        <w:t>, all of which were adjourned pending final settlement of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settlement agreement calls for the payment of $8 million inclusive of legal fees, disbursements, PST and GST, to the 35 presently approved class members, a further $200,000 to cover administrative fees not covered by investment or interest gains on the $8 million and a further $1,800,000 for further approved class members that may come forward within 45 days of the approval of this order. The balance of the agreement is described in the affidavit of Charles Weiler, sworn in support of this application on December 23, 2005 in paragraphs 50 - 58 inclusive, which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$8,000,000 is to be dispersed in a model with two levels of payout. The first level, Level I, is a $30,000 payout with no testing. An Approved Class Member can simply take the money and walk away.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Level II payout mechanism involves psychological testing and assessments. The maximum Level II payout is $500,000.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 further final payout of the residual, if any money is left over at the end of the process, it is paid out on a pro rata basis to the Level II claimants.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one can see the average payout is approximately $226,867 (before legal fees and PST and GST) (or $8,000,000 - less approximately $60,000 in disbursements divided by 35 members). Some members, based on the testing and assessments that they will undergo, will get less than this and other members will get more than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average figure of $226,857 incorporates a loss of earning capacity component. The assessment will also test for the loss of earning capacity component.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Administrative expenses will also be paid from the fund but it is intended that the interest (and/or investment gain) and the $200,000 payment will meet these costs and that the administrative expenses will not touch the capital of $8,000,000.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psychologists will score the Level II candidates on a 0 to 5 scale, then add up the scores of all the Level II candidates and divide that figure into the $8,000,000 (after the Level I payouts and the legal fees have been deducted) this figure will then provide a monetary valuation for each point. Each individual will then be awarded an amount based on their Level II point figure multiplied by the valuation of the point.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advised by Robert Gibbens that the lead psychologist chosen for this model is Dr. Judith Daylen. Dr. Daylen has extensive experience as an expert in sexual abuse cases. Dr. Daylen also was the psychologist involved in the Jericho Hill class action sexual assault case upon which this settlement model is based.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 the period of time that the testing will take place there will also be a return on the invested capital. Any money left over at the end of the process will be paid out to the Level II members on a pro rata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APPROVAL OF THE SETTLEMENT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Section 35 of the </w:t>
      </w:r>
      <w:r>
        <w:rPr>
          <w:rFonts w:ascii="arial" w:eastAsia="arial" w:hAnsi="arial" w:cs="arial"/>
          <w:b/>
          <w:i/>
          <w:color w:val="000000"/>
          <w:sz w:val="20"/>
          <w:lang w:val="en-US" w:eastAsia="en-US" w:bidi="ar-SA"/>
        </w:rPr>
        <w:t>Class Proceedings Act</w:t>
      </w:r>
      <w:r>
        <w:rPr>
          <w:rFonts w:ascii="arial" w:eastAsia="arial" w:hAnsi="arial" w:cs="arial"/>
          <w:color w:val="000000"/>
          <w:sz w:val="20"/>
          <w:lang w:val="en-US" w:eastAsia="en-US" w:bidi="ar-SA"/>
        </w:rPr>
        <w:t xml:space="preserve"> insofar as it is relevant to these proceedings,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35(1) A class proceeding may be settled, discontinued or abandoned only</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approval of the court, and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terms the court considers appropriate.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settlement under this section is not binding unless approved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Endean v. Canadian Red Cross Society</w:t>
      </w:r>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(2000), 68 B.C.L.R. (3d) 350</w:t>
        </w:r>
      </w:hyperlink>
      <w:r>
        <w:rPr>
          <w:rFonts w:ascii="arial" w:eastAsia="arial" w:hAnsi="arial" w:cs="arial"/>
          <w:color w:val="000000"/>
          <w:sz w:val="20"/>
          <w:lang w:val="en-US" w:eastAsia="en-US" w:bidi="ar-SA"/>
        </w:rPr>
        <w:t>, Smith J. (as he then was) addressed the issue of the standard to be applied by the court in approving a settlement under s. 35 as follows at paras. 13 and 14 which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Morneau J. and Winkler J., in their respective reasons, applied the standard set out by Sharpe J. in </w:t>
      </w:r>
      <w:r>
        <w:rPr>
          <w:rFonts w:ascii="arial" w:eastAsia="arial" w:hAnsi="arial" w:cs="arial"/>
          <w:i/>
          <w:color w:val="000000"/>
          <w:sz w:val="20"/>
          <w:lang w:val="en-US" w:eastAsia="en-US" w:bidi="ar-SA"/>
        </w:rPr>
        <w:t>Dabbs v. Sun Life Assurance Co. of Canada</w:t>
      </w:r>
      <w:r>
        <w:rPr>
          <w:rFonts w:ascii="arial" w:eastAsia="arial" w:hAnsi="arial" w:cs="arial"/>
          <w:color w:val="000000"/>
          <w:sz w:val="20"/>
          <w:lang w:val="en-US" w:eastAsia="en-US" w:bidi="ar-SA"/>
        </w:rPr>
        <w:t xml:space="preserve"> (February 24, 1998), Doc. Toronto 96-CT-022862 (Ont. Gen. Div.) (</w:t>
      </w:r>
      <w:r>
        <w:rPr>
          <w:rFonts w:ascii="arial" w:eastAsia="arial" w:hAnsi="arial" w:cs="arial"/>
          <w:i/>
          <w:color w:val="000000"/>
          <w:sz w:val="20"/>
          <w:lang w:val="en-US" w:eastAsia="en-US" w:bidi="ar-SA"/>
        </w:rPr>
        <w:t>Dabbs No. 1</w:t>
      </w:r>
      <w:r>
        <w:rPr>
          <w:rFonts w:ascii="arial" w:eastAsia="arial" w:hAnsi="arial" w:cs="arial"/>
          <w:color w:val="000000"/>
          <w:sz w:val="20"/>
          <w:lang w:val="en-US" w:eastAsia="en-US" w:bidi="ar-SA"/>
        </w:rPr>
        <w:t>) at para. 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court must find that in all the circumstances the settlement is fair, reasonable and in the best interests of those affected by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has been adopted as the correct approach on an application for approval of a settlement pursuant to s. 35 of the British Columbia statute as well: </w:t>
      </w:r>
      <w:r>
        <w:rPr>
          <w:rFonts w:ascii="arial" w:eastAsia="arial" w:hAnsi="arial" w:cs="arial"/>
          <w:i/>
          <w:color w:val="000000"/>
          <w:sz w:val="20"/>
          <w:lang w:val="en-US" w:eastAsia="en-US" w:bidi="ar-SA"/>
        </w:rPr>
        <w:t>Heney Iron Works Ltd. v. Manufacturers Life Insurance Co.</w:t>
      </w:r>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(1998), 169 D.L.R. (4th) 565</w:t>
        </w:r>
      </w:hyperlink>
      <w:r>
        <w:rPr>
          <w:rFonts w:ascii="arial" w:eastAsia="arial" w:hAnsi="arial" w:cs="arial"/>
          <w:color w:val="000000"/>
          <w:sz w:val="20"/>
          <w:lang w:val="en-US" w:eastAsia="en-US" w:bidi="ar-SA"/>
        </w:rPr>
        <w:t xml:space="preserve"> (B.C.S.C.) at para. 21. In applying the test, the court is to be concerned with the interests of the class as a whole rather than with the interests of particular members: </w:t>
      </w:r>
      <w:r>
        <w:rPr>
          <w:rFonts w:ascii="arial" w:eastAsia="arial" w:hAnsi="arial" w:cs="arial"/>
          <w:i/>
          <w:color w:val="000000"/>
          <w:sz w:val="20"/>
          <w:lang w:val="en-US" w:eastAsia="en-US" w:bidi="ar-SA"/>
        </w:rPr>
        <w:t>Sawatzky v. Societe Chirurgicale Instrumentarium Inc.</w:t>
      </w:r>
      <w:r>
        <w:rPr>
          <w:rFonts w:ascii="arial" w:eastAsia="arial" w:hAnsi="arial" w:cs="arial"/>
          <w:color w:val="000000"/>
          <w:sz w:val="20"/>
          <w:lang w:val="en-US" w:eastAsia="en-US" w:bidi="ar-SA"/>
        </w:rPr>
        <w:t xml:space="preserve"> (August 4, 1999), Doc. Vancouver C954740 (B.C.S.C.) at para. 19.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paragraphs 69 and 70 in </w:t>
      </w:r>
      <w:r>
        <w:rPr>
          <w:rFonts w:ascii="arial" w:eastAsia="arial" w:hAnsi="arial" w:cs="arial"/>
          <w:i/>
          <w:color w:val="000000"/>
          <w:sz w:val="20"/>
          <w:lang w:val="en-US" w:eastAsia="en-US" w:bidi="ar-SA"/>
        </w:rPr>
        <w:t>Parsons</w:t>
      </w:r>
      <w:r>
        <w:rPr>
          <w:rFonts w:ascii="arial" w:eastAsia="arial" w:hAnsi="arial" w:cs="arial"/>
          <w:color w:val="000000"/>
          <w:sz w:val="20"/>
          <w:lang w:val="en-US" w:eastAsia="en-US" w:bidi="ar-SA"/>
        </w:rPr>
        <w:t>, Winkler J.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[69] ... As this court stated in </w:t>
      </w:r>
      <w:r>
        <w:rPr>
          <w:rFonts w:ascii="arial" w:eastAsia="arial" w:hAnsi="arial" w:cs="arial"/>
          <w:b/>
          <w:i/>
          <w:color w:val="000000"/>
          <w:sz w:val="20"/>
          <w:lang w:val="en-US" w:eastAsia="en-US" w:bidi="ar-SA"/>
        </w:rPr>
        <w:t>Ontario New Home Warranty Program v. Chevron Chemical Co.,</w:t>
      </w:r>
      <w:r>
        <w:rPr>
          <w:rFonts w:ascii="arial" w:eastAsia="arial" w:hAnsi="arial" w:cs="arial"/>
          <w:color w:val="000000"/>
          <w:sz w:val="20"/>
          <w:lang w:val="en-US" w:eastAsia="en-US" w:bidi="ar-SA"/>
        </w:rPr>
        <w:t xml:space="preserve"> </w:t>
      </w:r>
      <w:hyperlink r:id="rId566" w:history="1">
        <w:r>
          <w:rPr>
            <w:rFonts w:ascii="arial" w:eastAsia="arial" w:hAnsi="arial" w:cs="arial"/>
            <w:i/>
            <w:color w:val="0077CC"/>
            <w:sz w:val="20"/>
            <w:u w:val="single"/>
            <w:shd w:val="clear" w:color="auto" w:fill="FFFFFF"/>
            <w:lang w:val="en-US" w:eastAsia="en-US" w:bidi="ar-SA"/>
          </w:rPr>
          <w:t>[1999] O.J. No. 2245</w:t>
        </w:r>
      </w:hyperlink>
      <w:r>
        <w:rPr>
          <w:rFonts w:ascii="arial" w:eastAsia="arial" w:hAnsi="arial" w:cs="arial"/>
          <w:color w:val="000000"/>
          <w:sz w:val="20"/>
          <w:lang w:val="en-US" w:eastAsia="en-US" w:bidi="ar-SA"/>
        </w:rPr>
        <w:t xml:space="preserve"> (Sup. Ct.) at para. 89:</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exercise of settlement approval does not lead the court to a dissection of the settlement with an eye to perfection in every aspect. Rather, the settlement must fall within a zone or range of reasonableness.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[70] Sharpe J. stated in </w:t>
      </w:r>
      <w:r>
        <w:rPr>
          <w:rFonts w:ascii="arial" w:eastAsia="arial" w:hAnsi="arial" w:cs="arial"/>
          <w:b/>
          <w:i/>
          <w:color w:val="000000"/>
          <w:sz w:val="20"/>
          <w:lang w:val="en-US" w:eastAsia="en-US" w:bidi="ar-SA"/>
        </w:rPr>
        <w:t>Dabbs v. Sun Life Assurance</w:t>
      </w:r>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(1998), 40 O.R. (3d) 429</w:t>
        </w:r>
      </w:hyperlink>
      <w:r>
        <w:rPr>
          <w:rFonts w:ascii="arial" w:eastAsia="arial" w:hAnsi="arial" w:cs="arial"/>
          <w:color w:val="000000"/>
          <w:sz w:val="20"/>
          <w:lang w:val="en-US" w:eastAsia="en-US" w:bidi="ar-SA"/>
        </w:rPr>
        <w:t xml:space="preserve"> (Gen. Div.), aff'd </w:t>
      </w:r>
      <w:hyperlink r:id="rId568" w:history="1">
        <w:r>
          <w:rPr>
            <w:rFonts w:ascii="arial" w:eastAsia="arial" w:hAnsi="arial" w:cs="arial"/>
            <w:i/>
            <w:color w:val="0077CC"/>
            <w:sz w:val="20"/>
            <w:u w:val="single"/>
            <w:shd w:val="clear" w:color="auto" w:fill="FFFFFF"/>
            <w:lang w:val="en-US" w:eastAsia="en-US" w:bidi="ar-SA"/>
          </w:rPr>
          <w:t>41 O.R. (3d) 97</w:t>
        </w:r>
      </w:hyperlink>
      <w:r>
        <w:rPr>
          <w:rFonts w:ascii="arial" w:eastAsia="arial" w:hAnsi="arial" w:cs="arial"/>
          <w:color w:val="000000"/>
          <w:sz w:val="20"/>
          <w:lang w:val="en-US" w:eastAsia="en-US" w:bidi="ar-SA"/>
        </w:rPr>
        <w:t xml:space="preserve"> (C.A.), leave to appeal to S.C.C. dismissed October 22, 1998, (</w:t>
      </w:r>
      <w:r>
        <w:rPr>
          <w:rFonts w:ascii="arial" w:eastAsia="arial" w:hAnsi="arial" w:cs="arial"/>
          <w:b/>
          <w:i/>
          <w:color w:val="000000"/>
          <w:sz w:val="20"/>
          <w:lang w:val="en-US" w:eastAsia="en-US" w:bidi="ar-SA"/>
        </w:rPr>
        <w:t>Dabbs No. 2</w:t>
      </w:r>
      <w:r>
        <w:rPr>
          <w:rFonts w:ascii="arial" w:eastAsia="arial" w:hAnsi="arial" w:cs="arial"/>
          <w:color w:val="000000"/>
          <w:sz w:val="20"/>
          <w:lang w:val="en-US" w:eastAsia="en-US" w:bidi="ar-SA"/>
        </w:rPr>
        <w:t>) at 440, that "reasonableness allows for a range of possible resolutions." I agree. The court must remain flexible when presented with settlement proposals for approval. However the reasonableness of any settlement depends on the factual matrix of the proceeding. Hence, the "range of reasonableness" is not a static valuation with an arbitrary application to every class proceeding, but rather it is an objective standard which allows for variation depending upon the subject matter of the litigation and the nature of the damages for which the settlement is to provide compensation.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with and adopt those remarks as applicable to the applications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 present case, counsel provided a list of factors which courts have considered in making a determination whether the settlement is "fair and reasonable and in the best interests of the class as a whole." Those factors include:</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likelihood of recovery, or the likelihood of success;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and nature of discovery evidence;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settlement terms and conditions;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recommendations and experience of counsel;</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expense and likely duration of litigation;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recommendations of neutral parties, if any;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number of objectors and nature of objections;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presence of good faith and absence of collusion;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degree and nature of communications by counsel and the representative plaintiffs with class members during litigation;</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information conveying to the court the dynamics of, and the positions taken by the parties during the negotiation.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See </w:t>
      </w:r>
      <w:r>
        <w:rPr>
          <w:rFonts w:ascii="arial" w:eastAsia="arial" w:hAnsi="arial" w:cs="arial"/>
          <w:b/>
          <w:i/>
          <w:color w:val="000000"/>
          <w:sz w:val="20"/>
          <w:lang w:val="en-US" w:eastAsia="en-US" w:bidi="ar-SA"/>
        </w:rPr>
        <w:t>Sawatzky v. Society Chirugicale Instrumentarium Inc.</w:t>
      </w:r>
      <w:r>
        <w:rPr>
          <w:rFonts w:ascii="arial" w:eastAsia="arial" w:hAnsi="arial" w:cs="arial"/>
          <w:color w:val="000000"/>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(1999), 71 B.C.L.R. (3d) 51</w:t>
        </w:r>
      </w:hyperlink>
      <w:r>
        <w:rPr>
          <w:rFonts w:ascii="arial" w:eastAsia="arial" w:hAnsi="arial" w:cs="arial"/>
          <w:color w:val="000000"/>
          <w:sz w:val="20"/>
          <w:lang w:val="en-US" w:eastAsia="en-US" w:bidi="ar-SA"/>
        </w:rPr>
        <w:t xml:space="preserve">, at [paragraph] 19 (S.C.); </w:t>
      </w:r>
      <w:r>
        <w:rPr>
          <w:rFonts w:ascii="arial" w:eastAsia="arial" w:hAnsi="arial" w:cs="arial"/>
          <w:b/>
          <w:i/>
          <w:color w:val="000000"/>
          <w:sz w:val="20"/>
          <w:lang w:val="en-US" w:eastAsia="en-US" w:bidi="ar-SA"/>
        </w:rPr>
        <w:t>Haney Iron Works Ltd. v. Manufactures Life Insurance Co.</w:t>
      </w:r>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(1998), 169 D.L.R. (4th) 565</w:t>
        </w:r>
      </w:hyperlink>
      <w:r>
        <w:rPr>
          <w:rFonts w:ascii="arial" w:eastAsia="arial" w:hAnsi="arial" w:cs="arial"/>
          <w:color w:val="000000"/>
          <w:sz w:val="20"/>
          <w:lang w:val="en-US" w:eastAsia="en-US" w:bidi="ar-SA"/>
        </w:rPr>
        <w:t xml:space="preserve"> at [paragraph] 23 (B.C.S.C.); </w:t>
      </w:r>
      <w:r>
        <w:rPr>
          <w:rFonts w:ascii="arial" w:eastAsia="arial" w:hAnsi="arial" w:cs="arial"/>
          <w:b/>
          <w:i/>
          <w:color w:val="000000"/>
          <w:sz w:val="20"/>
          <w:lang w:val="en-US" w:eastAsia="en-US" w:bidi="ar-SA"/>
        </w:rPr>
        <w:t>Dabbs v. Sun Life Assurance Co. of Canada</w:t>
      </w:r>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(1998), 40 O.R. (3d) 429</w:t>
        </w:r>
      </w:hyperlink>
      <w:r>
        <w:rPr>
          <w:rFonts w:ascii="arial" w:eastAsia="arial" w:hAnsi="arial" w:cs="arial"/>
          <w:color w:val="000000"/>
          <w:sz w:val="20"/>
          <w:lang w:val="en-US" w:eastAsia="en-US" w:bidi="ar-SA"/>
        </w:rPr>
        <w:t xml:space="preserve"> (Gen. Div.) affd </w:t>
      </w:r>
      <w:hyperlink r:id="rId568" w:history="1">
        <w:r>
          <w:rPr>
            <w:rFonts w:ascii="arial" w:eastAsia="arial" w:hAnsi="arial" w:cs="arial"/>
            <w:i/>
            <w:color w:val="0077CC"/>
            <w:sz w:val="20"/>
            <w:u w:val="single"/>
            <w:shd w:val="clear" w:color="auto" w:fill="FFFFFF"/>
            <w:lang w:val="en-US" w:eastAsia="en-US" w:bidi="ar-SA"/>
          </w:rPr>
          <w:t>(1998), 41 O.R. (3d) 97</w:t>
        </w:r>
      </w:hyperlink>
      <w:r>
        <w:rPr>
          <w:rFonts w:ascii="arial" w:eastAsia="arial" w:hAnsi="arial" w:cs="arial"/>
          <w:color w:val="000000"/>
          <w:sz w:val="20"/>
          <w:lang w:val="en-US" w:eastAsia="en-US" w:bidi="ar-SA"/>
        </w:rPr>
        <w:t xml:space="preserve"> (C.A.); leave to appeal to the S.C.C. refused, </w:t>
      </w:r>
      <w:hyperlink r:id="rId570" w:history="1">
        <w:r>
          <w:rPr>
            <w:rFonts w:ascii="arial" w:eastAsia="arial" w:hAnsi="arial" w:cs="arial"/>
            <w:i/>
            <w:color w:val="0077CC"/>
            <w:sz w:val="20"/>
            <w:u w:val="single"/>
            <w:shd w:val="clear" w:color="auto" w:fill="FFFFFF"/>
            <w:lang w:val="en-US" w:eastAsia="en-US" w:bidi="ar-SA"/>
          </w:rPr>
          <w:t>[1998] S.C.C.A. No. 372</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Parsons v. Canadian Red Cross Society</w:t>
      </w:r>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(1999), 40 C.P.C. (4th) 151</w:t>
        </w:r>
      </w:hyperlink>
      <w:r>
        <w:rPr>
          <w:rFonts w:ascii="arial" w:eastAsia="arial" w:hAnsi="arial" w:cs="arial"/>
          <w:color w:val="000000"/>
          <w:sz w:val="20"/>
          <w:lang w:val="en-US" w:eastAsia="en-US" w:bidi="ar-SA"/>
        </w:rPr>
        <w:t xml:space="preserve"> (Ont. S.C.J.)].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this case, at the time of settlement, the issue of liability was still outstanding and very much a live issue and this action potentially involved a series of cases to be heard on the question of damages, in the event of a resolution of the common issue relating to the presence or absence of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favourable to the plaintiff class. Additionally, there are 35 identified plaintiffs whose cases could take years to litigate through the process and would engage substantial expense in terms of experts and time and effort.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settlement involves $8 million for 35 individuals (before legal fees, PST and GST) which represents an average of $226,857 for each individual plaintiff after deducting disbursements. Under the settlement anonymity is afforded the members and they are no longer obliged to give evidence in court or be cross examined on the issue of liability or on the issue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am informed that of the 35 members, all of whom have been contacted and informed of this settlement, 25 have responded with their agreement to the settlement and none of the members have expressed opposition to the settlement. It appears that in the present case, there has been full and complete communication between counsel and the class represented.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my view, this is an appropriate case in which to approve settlement. The settlement avoids protracted and numerous proceedings with no clear prospect of success. The settlement incorporates a reasoned approach to the assessment of the loss and damage experienced by each member of the class and provides for options for class members tailored to their individual circumstances. The settlement provides for the due administration of the funds and for payment of that administration in a way that does not impinge upon the funds set aside for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have been no objections made to the settlement and there is no evidence of any bad faith or collusion. There has been significant discovery of a representative of the defendant as well as document discovery and counsel who have reached the settlement on behalf of all parties have brought skill, experience and obvious commitment to the pursuit of the action and the attempt to strike a fair and reasonable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all the circumstances, I am satisfied that the settlement is fair and reasonable and in the best interests of the class as a whole. I therefore approve the settlement with one modification.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Sub-section 5 of s. 35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dismissing a class proceeding or in approving a settlement, discontinuance or abandonment, the court must consider whether notice should be given under s. 20 and whether the notice should include:</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account of the conduct of a proceeding;</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statement of the result of the proceeding; and</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description of any plan for distributing any settlement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my view, it would be appropriate in the circumstances to order that notice be given under s. 20, including a statement of the result of the proceeding and a description of the plan for distributing the settlement funds, together with notice of the limitation date for opting into the settlement. The notice will be given in the same manner as the notice attached as Appendix A to the order of certification of January 23, 2004. It will be made no later than 10 days from the date of this order and this order will be suspended until the notice is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make the further orders sought by the motion in paragraphs 2 and 3, which include giving effect to and making orders in the terms of paragraphs 13 and 14 of the agreement, which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Agreement is conditional on the Court ordering, concurrent with the approval of this Agreement, that upon the expiry of the Contingency Period set out in paragraph 8, above, all demands, claims and causes of action that Class Members, other than Approved Class Members listed in Appendix "E" and Proposed Members under paragraph 8, above, have or in the future may otherwise have had, against either:</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person or entity for whose actions Canada is vicariously liable, or</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person or entity who has a valid claim for contribution or indemnity against Canada,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regarding any Cadet Claims, are hereby extinguished.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Agreement is also conditional on the Court Ordering, concurrent with the approval of this Agreement, that if a Proposed Member's application to be deemed an Approved Class Member, as provided for in paragraph 8 of this Agreement and section 4.0 of Appendix "A", is denied or rejected, then, upon such denial or rejection, all demands, claims and causes of action that Proposed Member has, or in the future may otherwise have had, against either:</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person or entity for whose actions Canada is vicariously liable, or</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person or entity who has a valid claim for contribution or indemnity against Canada,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regarding any Cadet Claims, are immediately thereafter extinguished.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APPROVAL OF LEGAL FEES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Counsel for the plaintiffs seek approval of their fees amounting to $2.664 million based on a contingency fee agreement entered into between class counsel and the representative plaintiff. Counsel also seek approval of disbursements in the amount of approximately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approval of fees is governed by s. 38 of the </w:t>
      </w:r>
      <w:r>
        <w:rPr>
          <w:rFonts w:ascii="arial" w:eastAsia="arial" w:hAnsi="arial" w:cs="arial"/>
          <w:b/>
          <w:i/>
          <w:color w:val="000000"/>
          <w:sz w:val="20"/>
          <w:lang w:val="en-US" w:eastAsia="en-US" w:bidi="ar-SA"/>
        </w:rPr>
        <w:t>Class Proceedings Act</w:t>
      </w:r>
      <w:r>
        <w:rPr>
          <w:rFonts w:ascii="arial" w:eastAsia="arial" w:hAnsi="arial" w:cs="arial"/>
          <w:color w:val="000000"/>
          <w:sz w:val="20"/>
          <w:lang w:val="en-US" w:eastAsia="en-US" w:bidi="ar-SA"/>
        </w:rPr>
        <w:t>, the relevant portions of which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(1) An agreement respecting fees and disbursements between a solicitor and a representative plaintiff must be in writing and must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state the terms under which fees and disbursements are to be paid,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 an estimate of the expected fee, whether or not that fee is contingent on success in the class proceeding,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state the method by which payment is to be made, whether by lump sum or otherwise.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agreement respecting fees and disbursements between a solicitor and a representative plaintiff is not enforceable unless approved by the court, on the application of the solicitor.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agreement is not approved by the court or if the amount owing to a solicitor under an approved agreement is in dispute, the court may</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the amount owing to the solicitor in respect of fees and disbursements,</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 an inquiry, assessment or accounting under the Rules of Court to determine the amount owing,</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 that the amount owing be determined in any other manner, or</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any other or further order it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that case, the representative plaintiff entered into an initial fee agreement with counsel on September 25, 2000. That agreement provided for a 30% contingency fee up to and including the trial and a further 5% in the event of the filing or conduct of an appeal. A supplemental fee agreement was entered into between class counsel and the representative plaintiff on June 2nd, 2004 after certification was granted. The supplemental agreement provided an estimate of the expected fee based on a 30% contingency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Estimate of Expected Fee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fee in this matter is 30% for the trial. Therefore, if a global settlement in this matter is reached, which would be a settlement for the entire class (excluding costs) but would include pain and suffering (non-pecuniary damages), pre-trial wage loss, future loss of earning capacity, and special damages (out of pocket expenses) the 30% would be on the global figure. For example, if the damages in this case are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928"/>
        <w:gridCol w:w="1359"/>
        <w:gridCol w:w="48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w:t>
            </w:r>
          </w:p>
        </w:tc>
        <w:tc>
          <w:tcPr>
            <w:tcW w:w="47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405"/>
        <w:gridCol w:w="1882"/>
        <w:gridCol w:w="48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$ 50,000</w:t>
            </w:r>
          </w:p>
        </w:tc>
        <w:tc>
          <w:tcPr>
            <w:tcW w:w="47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823"/>
        <w:gridCol w:w="522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wage loss</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$ 50,000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647"/>
        <w:gridCol w:w="480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53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$200,000</w:t>
            </w:r>
          </w:p>
        </w:tc>
        <w:tc>
          <w:tcPr>
            <w:tcW w:w="47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estimate of our expected fee to Laxton &amp; Company would be $60,000 (30% x $200,000). This fee applies to everyone in the class so if there is a class global settlement of $1,000,000 the fee is $300,000.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top of the legal fees PST (7.5%) and GST (7%) are payable on the legal fees.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Interest on costs and disbursements is payable at pre-judgement registrar's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 are presently 35 class members who are participating in the settlement, 13 of whom had commenced individual actions and were represented by the law firm of Murphy Battista. The fee agreement between those individual plaintiffs and Murphy Battista provided for a 33 1/3% contingency fee. Of the total disbursements, Murphy Battista had expended $39,857.61 together with $4,065 paid to the plaintiff's previous counsel in disbursements. The remainder of the disbursements expended by counsel for the class representative amounted to $16,254.27 for a total of $59,881.47. I am satisfied that the disbursements are in order and should be approved based on the evidence placed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Of the 35 class members, 25, including all of the Murphy Battista plaintiffs have responded to the settlement proposal and fee agreement with the representative plaintiff and have approved of the settlement and fee agreement. None of the class members has expressed any opposition to the settlement agreement or the fee arrangement. It should be noted that class members were informed that the legal fees would be based on a contingency of 33 1/3%, the class counsel having agreed to reduce their fee from 35% (30% up to and including a trial and 5% for the appeal) to 33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factors to be considered for approval of legal fees and class proceedings actions include the following:</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and character of the services rendered;</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labour, time and trouble involved;</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character and importance of the litigation;</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money involved;</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professional skills and experience called for;</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character and standing of counsel;</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ability of clients to pay;</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results achieved;</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risk of no recovery;</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expectation of a larger fee than in a non-contingency case;</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contribution of counsel to the result; and</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integrity of the legal profession.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See </w:t>
      </w:r>
      <w:r>
        <w:rPr>
          <w:rFonts w:ascii="arial" w:eastAsia="arial" w:hAnsi="arial" w:cs="arial"/>
          <w:b/>
          <w:i/>
          <w:color w:val="000000"/>
          <w:sz w:val="20"/>
          <w:lang w:val="en-US" w:eastAsia="en-US" w:bidi="ar-SA"/>
        </w:rPr>
        <w:t>Endean v. Canadian Red Cross Society</w:t>
      </w:r>
      <w:r>
        <w:rPr>
          <w:rFonts w:ascii="arial" w:eastAsia="arial" w:hAnsi="arial" w:cs="arial"/>
          <w:color w:val="000000"/>
          <w:sz w:val="20"/>
          <w:lang w:val="en-US" w:eastAsia="en-US" w:bidi="ar-SA"/>
        </w:rPr>
        <w:t xml:space="preserve"> </w:t>
      </w:r>
      <w:hyperlink r:id="rId572" w:history="1">
        <w:r>
          <w:rPr>
            <w:rFonts w:ascii="arial" w:eastAsia="arial" w:hAnsi="arial" w:cs="arial"/>
            <w:i/>
            <w:color w:val="0077CC"/>
            <w:sz w:val="20"/>
            <w:u w:val="single"/>
            <w:shd w:val="clear" w:color="auto" w:fill="FFFFFF"/>
            <w:lang w:val="en-US" w:eastAsia="en-US" w:bidi="ar-SA"/>
          </w:rPr>
          <w:t>2000 78 B.C.L.R (3d) 28</w:t>
        </w:r>
      </w:hyperlink>
      <w:r>
        <w:rPr>
          <w:rFonts w:ascii="arial" w:eastAsia="arial" w:hAnsi="arial" w:cs="arial"/>
          <w:color w:val="000000"/>
          <w:sz w:val="20"/>
          <w:lang w:val="en-US" w:eastAsia="en-US" w:bidi="ar-SA"/>
        </w:rPr>
        <w:t xml:space="preserve"> B.C.S.C.; </w:t>
      </w:r>
      <w:r>
        <w:rPr>
          <w:rFonts w:ascii="arial" w:eastAsia="arial" w:hAnsi="arial" w:cs="arial"/>
          <w:b/>
          <w:i/>
          <w:color w:val="000000"/>
          <w:sz w:val="20"/>
          <w:lang w:val="en-US" w:eastAsia="en-US" w:bidi="ar-SA"/>
        </w:rPr>
        <w:t>Lam et al v. Ajinomoto USA Inc et al</w:t>
      </w:r>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[2004] B.C.J. No. 985</w:t>
        </w:r>
      </w:hyperlink>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2004 BCSC 651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this case, class counsel took on and diligently pursued a case with many potential obstacles along the road to success. The action framed involved both critical common issues and critical individual issues which could have led to prolonged and multi-faceted litigation with a range of potential outcomes including complete failure, partial success or full success. The common issue of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new and untried one, vulnerable to attack at the certification stage and subject to a rigorous defence at the stage of a common issues trial. Proof of issues at any trial of the common issues and any trials involving individual issues would have been compromised by the passage of time and the inevitable erosion of memory and loss of records and witnesses. In addition, the nature of the action, involving allegations of sexual abuse, rendered a conduct of such proceedings more difficult because of the deeply emotional overtones of the subject matter, the often secret nature of the impugned conduct and the inherent difficulty in isolating identifying and ultimately quantifying the consequences of any wrongdoing found to have occurred. Taken with that, the manifest significance of a successful resolution of the action to the plaintiffs frames the general importance of the litigation and offers a positive measure of the extent and character of the services rendered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Insofar as the labour, time and trouble involved for counsel is concerned, I have not been provided with an objective record of the time expended on this file either by class counsel or counsel for the individual plaintiffs opting into this settlement represented by Murphy Battista. I have reviewed the affidavit material and am generally aware of the overall length of time between the commencement of this action and settlement - five years, the complexity of the certification hearings which were vigorously and comprehensively litigated by both sides, the three days of discovery of the defendant's representative, the extensive discovery of documents, and the contact and communication with class members. I have no hesitation in characterizing the professional skills and experience called for in a case of this nature as high and commensurate with the ability and standing of counsel in this case. Difficult issues were dealt with deftly and economically. The results achieved in my view, were excellent in light of potential obstacles to success at both the trial of the common issues and with regard to the trial of the individual issues. The action could not be regarded as free from risk of no recovery. Indeed, given the effluxion of time, and the inevitable erosion of evidence and the state of the art defence being advanced by the defendants as well as the inherent difficulties in proving historical cases of this nature, the risk of no recovery either globally or individually had to be viewed as a realistic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 circumstances, counsel, in taking on the case involving a significant commitment of time and the ongoing payment of disbursements incurred a significant risk to their own economic interests, which if not adequately compensated for, would discourage similar willingness in the bar to take on difficult cases on such a basis in the future. In such circumstances, there is clearly the expectation of a higher fee than in a non-contingency fee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As far as the contribution of counsel to the result is concerned, this is not a case where counsel have taken advantage of any extra judicial benefit to the class plaintiffs as was the case in </w:t>
      </w:r>
      <w:r>
        <w:rPr>
          <w:rFonts w:ascii="arial" w:eastAsia="arial" w:hAnsi="arial" w:cs="arial"/>
          <w:b/>
          <w:i/>
          <w:color w:val="000000"/>
          <w:sz w:val="20"/>
          <w:lang w:val="en-US" w:eastAsia="en-US" w:bidi="ar-SA"/>
        </w:rPr>
        <w:t>Prudential Insurance Company of America Sales Practices Litigation (Re)</w:t>
      </w:r>
      <w:r>
        <w:rPr>
          <w:rFonts w:ascii="arial" w:eastAsia="arial" w:hAnsi="arial" w:cs="arial"/>
          <w:color w:val="000000"/>
          <w:sz w:val="20"/>
          <w:lang w:val="en-US" w:eastAsia="en-US" w:bidi="ar-SA"/>
        </w:rPr>
        <w:t xml:space="preserve"> 1998 F. (3d) 283. Rather, in this case, the train of events leading to the settlement as approved, has been entirely the product of counsel's efforts in initiating, pursuing and ultimately resolving this litigation without the benefit of any extra judicial impetus or accommodation.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assessing the factor of the integrity of the legal profession, it is instructive to refer to the comments of Smith J. in </w:t>
      </w:r>
      <w:r>
        <w:rPr>
          <w:rFonts w:ascii="arial" w:eastAsia="arial" w:hAnsi="arial" w:cs="arial"/>
          <w:b/>
          <w:i/>
          <w:color w:val="000000"/>
          <w:sz w:val="20"/>
          <w:lang w:val="en-US" w:eastAsia="en-US" w:bidi="ar-SA"/>
        </w:rPr>
        <w:t>Endean</w:t>
      </w:r>
      <w:r>
        <w:rPr>
          <w:rFonts w:ascii="arial" w:eastAsia="arial" w:hAnsi="arial" w:cs="arial"/>
          <w:color w:val="000000"/>
          <w:sz w:val="20"/>
          <w:lang w:val="en-US" w:eastAsia="en-US" w:bidi="ar-SA"/>
        </w:rPr>
        <w:t>, in characterizing the concept as involving "the decency, honour and high mindedness of the profession, both in substance and in public perception ... to the willingness of lawyers to readily reduce the amount payable under a contingent fee arrangement when circumstances are such that the agreed fee would be disproportionate to the amount of effort, risk and loss involved ... and the client needs the funds and cannot really afford to pay them to a lawyer despite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approving a fee of $15 million (representing about 4.6 of the notionally recovered amount in that case) Smith J.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contingent percentage fee of that magnitude in an action for damages for personal injuries is virtually unheard of in British Columbia. Rule 8-4(2) of the </w:t>
      </w:r>
      <w:r>
        <w:rPr>
          <w:rFonts w:ascii="arial" w:eastAsia="arial" w:hAnsi="arial" w:cs="arial"/>
          <w:i/>
          <w:color w:val="000000"/>
          <w:sz w:val="20"/>
          <w:lang w:val="en-US" w:eastAsia="en-US" w:bidi="ar-SA"/>
        </w:rPr>
        <w:t>Law Society Rules</w:t>
      </w:r>
      <w:r>
        <w:rPr>
          <w:rFonts w:ascii="arial" w:eastAsia="arial" w:hAnsi="arial" w:cs="arial"/>
          <w:color w:val="000000"/>
          <w:sz w:val="20"/>
          <w:lang w:val="en-US" w:eastAsia="en-US" w:bidi="ar-SA"/>
        </w:rPr>
        <w:t xml:space="preserve"> permits a maximum percentage of 40% in cases such as this. The vast majority of percentage contingent fees in British Columbia range between 15% and 33 1/3%. In </w:t>
      </w:r>
      <w:r>
        <w:rPr>
          <w:rFonts w:ascii="arial" w:eastAsia="arial" w:hAnsi="arial" w:cs="arial"/>
          <w:i/>
          <w:color w:val="000000"/>
          <w:sz w:val="20"/>
          <w:lang w:val="en-US" w:eastAsia="en-US" w:bidi="ar-SA"/>
        </w:rPr>
        <w:t xml:space="preserve">Harrington v. Dow Corning Corp., </w:t>
      </w:r>
      <w:hyperlink r:id="rId574" w:history="1">
        <w:r>
          <w:rPr>
            <w:rFonts w:ascii="arial" w:eastAsia="arial" w:hAnsi="arial" w:cs="arial"/>
            <w:i/>
            <w:color w:val="0077CC"/>
            <w:sz w:val="20"/>
            <w:u w:val="single"/>
            <w:shd w:val="clear" w:color="auto" w:fill="FFFFFF"/>
            <w:lang w:val="en-US" w:eastAsia="en-US" w:bidi="ar-SA"/>
          </w:rPr>
          <w:t>[1999] B.C.J. No. 320</w:t>
        </w:r>
      </w:hyperlink>
      <w:r>
        <w:rPr>
          <w:rFonts w:ascii="arial" w:eastAsia="arial" w:hAnsi="arial" w:cs="arial"/>
          <w:color w:val="000000"/>
          <w:sz w:val="20"/>
          <w:lang w:val="en-US" w:eastAsia="en-US" w:bidi="ar-SA"/>
        </w:rPr>
        <w:t xml:space="preserve"> E.R.A. Edwards J. observed that class counsel fees in the United States commonly range between 15% and 50%, and that a "presumptively reasonable rate" is 30%. He approved a contingent fee of 15%, which produced a fee in the order of $6,000,000 for plaintiffs' class counsel. In </w:t>
      </w:r>
      <w:r>
        <w:rPr>
          <w:rFonts w:ascii="arial" w:eastAsia="arial" w:hAnsi="arial" w:cs="arial"/>
          <w:i/>
          <w:color w:val="000000"/>
          <w:sz w:val="20"/>
          <w:lang w:val="en-US" w:eastAsia="en-US" w:bidi="ar-SA"/>
        </w:rPr>
        <w:t>Sawatzky, supra</w:t>
      </w:r>
      <w:r>
        <w:rPr>
          <w:rFonts w:ascii="arial" w:eastAsia="arial" w:hAnsi="arial" w:cs="arial"/>
          <w:color w:val="000000"/>
          <w:sz w:val="20"/>
          <w:lang w:val="en-US" w:eastAsia="en-US" w:bidi="ar-SA"/>
        </w:rPr>
        <w:t xml:space="preserve"> a contingent fee of 20% amounting to $760,000 was approved. In </w:t>
      </w:r>
      <w:r>
        <w:rPr>
          <w:rFonts w:ascii="arial" w:eastAsia="arial" w:hAnsi="arial" w:cs="arial"/>
          <w:i/>
          <w:color w:val="000000"/>
          <w:sz w:val="20"/>
          <w:lang w:val="en-US" w:eastAsia="en-US" w:bidi="ar-SA"/>
        </w:rPr>
        <w:t xml:space="preserve">Fischer, </w:t>
      </w:r>
      <w:hyperlink r:id="rId575" w:history="1">
        <w:r>
          <w:rPr>
            <w:rFonts w:ascii="arial" w:eastAsia="arial" w:hAnsi="arial" w:cs="arial"/>
            <w:i/>
            <w:color w:val="0077CC"/>
            <w:sz w:val="20"/>
            <w:u w:val="single"/>
            <w:shd w:val="clear" w:color="auto" w:fill="FFFFFF"/>
            <w:lang w:val="en-US" w:eastAsia="en-US" w:bidi="ar-SA"/>
          </w:rPr>
          <w:t>[1999] B.C.J. No. 3149</w:t>
        </w:r>
      </w:hyperlink>
      <w:r>
        <w:rPr>
          <w:rFonts w:ascii="arial" w:eastAsia="arial" w:hAnsi="arial" w:cs="arial"/>
          <w:color w:val="000000"/>
          <w:sz w:val="20"/>
          <w:lang w:val="en-US" w:eastAsia="en-US" w:bidi="ar-SA"/>
        </w:rPr>
        <w:t xml:space="preserve"> a fee of 30% of shares in a public company issued in settlement was approved, although the value of the fee in monetary terms is not apparent.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fee proposed here compares favourably in percentage terms with contingent fees approved in Ontario and Quebec, as well. In </w:t>
      </w:r>
      <w:r>
        <w:rPr>
          <w:rFonts w:ascii="arial" w:eastAsia="arial" w:hAnsi="arial" w:cs="arial"/>
          <w:i/>
          <w:color w:val="000000"/>
          <w:sz w:val="20"/>
          <w:lang w:val="en-US" w:eastAsia="en-US" w:bidi="ar-SA"/>
        </w:rPr>
        <w:t xml:space="preserve">Nantais, </w:t>
      </w:r>
      <w:hyperlink r:id="rId576" w:history="1">
        <w:r>
          <w:rPr>
            <w:rFonts w:ascii="arial" w:eastAsia="arial" w:hAnsi="arial" w:cs="arial"/>
            <w:i/>
            <w:color w:val="0077CC"/>
            <w:sz w:val="20"/>
            <w:u w:val="single"/>
            <w:shd w:val="clear" w:color="auto" w:fill="FFFFFF"/>
            <w:lang w:val="en-US" w:eastAsia="en-US" w:bidi="ar-SA"/>
          </w:rPr>
          <w:t>[1996] O.J. No. 5386</w:t>
        </w:r>
      </w:hyperlink>
      <w:r>
        <w:rPr>
          <w:rFonts w:ascii="arial" w:eastAsia="arial" w:hAnsi="arial" w:cs="arial"/>
          <w:color w:val="000000"/>
          <w:sz w:val="20"/>
          <w:lang w:val="en-US" w:eastAsia="en-US" w:bidi="ar-SA"/>
        </w:rPr>
        <w:t xml:space="preserve"> Brockenshire J. approved a percentage fee of 30%, which yielded a fee of approximately $6,000,000. In </w:t>
      </w:r>
      <w:r>
        <w:rPr>
          <w:rFonts w:ascii="arial" w:eastAsia="arial" w:hAnsi="arial" w:cs="arial"/>
          <w:i/>
          <w:color w:val="000000"/>
          <w:sz w:val="20"/>
          <w:lang w:val="en-US" w:eastAsia="en-US" w:bidi="ar-SA"/>
        </w:rPr>
        <w:t>Doyer v. Dow Corning Corp.</w:t>
      </w:r>
      <w:r>
        <w:rPr>
          <w:rFonts w:ascii="arial" w:eastAsia="arial" w:hAnsi="arial" w:cs="arial"/>
          <w:color w:val="000000"/>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[1999] Q.J. No. 6203</w:t>
        </w:r>
      </w:hyperlink>
      <w:r>
        <w:rPr>
          <w:rFonts w:ascii="arial" w:eastAsia="arial" w:hAnsi="arial" w:cs="arial"/>
          <w:color w:val="000000"/>
          <w:sz w:val="20"/>
          <w:lang w:val="en-US" w:eastAsia="en-US" w:bidi="ar-SA"/>
        </w:rPr>
        <w:t xml:space="preserve"> (September 1, 1999), Doc. Montreal 500-06-000013-934 (Que. S.C.) a percentage of 20% was approved yielding a fee of $10,400,000. In </w:t>
      </w:r>
      <w:r>
        <w:rPr>
          <w:rFonts w:ascii="arial" w:eastAsia="arial" w:hAnsi="arial" w:cs="arial"/>
          <w:i/>
          <w:color w:val="000000"/>
          <w:sz w:val="20"/>
          <w:lang w:val="en-US" w:eastAsia="en-US" w:bidi="ar-SA"/>
        </w:rPr>
        <w:t>Pelletier v. Baxter Health Care Co.</w:t>
      </w:r>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[1999] Q.J. No. 3038</w:t>
        </w:r>
      </w:hyperlink>
      <w:r>
        <w:rPr>
          <w:rFonts w:ascii="arial" w:eastAsia="arial" w:hAnsi="arial" w:cs="arial"/>
          <w:color w:val="000000"/>
          <w:sz w:val="20"/>
          <w:lang w:val="en-US" w:eastAsia="en-US" w:bidi="ar-SA"/>
        </w:rPr>
        <w:t xml:space="preserve"> (July 9, 1999), Doc. Montreal 500-06000005-55 (Ont. S.C.), a percentage of 16.9% yielding $3,648,000 in fees was approved.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note, as well, the observation of McEachern C.J.B.C., speaking for the Court in </w:t>
      </w:r>
      <w:r>
        <w:rPr>
          <w:rFonts w:ascii="arial" w:eastAsia="arial" w:hAnsi="arial" w:cs="arial"/>
          <w:i/>
          <w:color w:val="000000"/>
          <w:sz w:val="20"/>
          <w:lang w:val="en-US" w:eastAsia="en-US" w:bidi="ar-SA"/>
        </w:rPr>
        <w:t xml:space="preserve">Commonwealth No. 2, </w:t>
      </w:r>
      <w:hyperlink r:id="rId579" w:history="1">
        <w:r>
          <w:rPr>
            <w:rFonts w:ascii="arial" w:eastAsia="arial" w:hAnsi="arial" w:cs="arial"/>
            <w:i/>
            <w:color w:val="0077CC"/>
            <w:sz w:val="20"/>
            <w:u w:val="single"/>
            <w:shd w:val="clear" w:color="auto" w:fill="FFFFFF"/>
            <w:lang w:val="en-US" w:eastAsia="en-US" w:bidi="ar-SA"/>
          </w:rPr>
          <w:t>[1994] B.C.J. No. 1690</w:t>
        </w:r>
      </w:hyperlink>
      <w:r>
        <w:rPr>
          <w:rFonts w:ascii="arial" w:eastAsia="arial" w:hAnsi="arial" w:cs="arial"/>
          <w:i/>
          <w:color w:val="000000"/>
          <w:sz w:val="20"/>
          <w:lang w:val="en-US" w:eastAsia="en-US" w:bidi="ar-SA"/>
        </w:rPr>
        <w:t xml:space="preserve"> </w:t>
      </w:r>
      <w:r>
        <w:rPr>
          <w:rFonts w:ascii="arial" w:eastAsia="arial" w:hAnsi="arial" w:cs="arial"/>
          <w:color w:val="000000"/>
          <w:sz w:val="20"/>
          <w:lang w:val="en-US" w:eastAsia="en-US" w:bidi="ar-SA"/>
        </w:rPr>
        <w:t xml:space="preserve"> at p. 188, para. 49, that he saw nothing unreasonable or threatening to the integrity of the profession in a fee of 25% "for the skilful recovery of $6.5 million." Further, Mr. Giles, who is an experienced Vancouver barrister, as I have already noted, does not appear to consider that Mr. Camp's proposed fee is unseemly: he expressed the opinion that it is reasonable in all the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accept that a percentage fee should generally be lower where the recovery is higher. However, 4.26% is modest by any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this case, it is my view that based on the supplemental contingency agreement entered into on June 2nd, 2004, after certification, that the fee under consideration must be based on an estimate of a 30% contingency fee, not 33 1/3% or 35% as contemplated by communications to class members or the original contingency fee agreement respectively. It is clear that the statute requires a fee estimate to the representative plaintiff as a pre-condition to approval. Here, despite the initial contingency agreement and despite the appeal already taken the estimate given was based on a 30% contingency fee only. In the circumstances, I conclude it is not open to me to entertain a fee that is higher on a percentage basis than the percentage upon which it was based in the supplemental agreement of June 2nd,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am satisfied in all of the circumstances that it is appropriate to approve the fees and disbursements of counsel based on the 30% contingency fee. While the fees resulting are significantly higher than what my assessment of counsel's time represents, it is clear that a combination of skill, experience and commitment were necessary to achieve what was an excellent result by any measure, and given the responding class members' acceptances of a 33 1/3% contingency fee, it appears within their ability to pay in light of all the conditions of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Additionally, approval of such a fee in this case fulfills the policy objective of encouraging greater access to justice through the mechanism of class proceedings for those who might otherwise be unable, by compensating counsel for the realistic and significant risk they expose themselves to by taking on difficult and time consuming cases with no guarantee of success, on a contingency basis. I am satisfied in all the circumstances that the fee, based on 30% of the recovery, meets the criteria for approval and accordingly, I approve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Counsel has liberty to speak to any matter that remains unaddressed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CULLEN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3"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86" w:history="1">
        <w:r>
          <w:rPr>
            <w:rFonts w:ascii="arial" w:eastAsia="arial" w:hAnsi="arial" w:cs="arial"/>
            <w:b/>
            <w:bCs/>
            <w:i/>
            <w:color w:val="0077CC"/>
            <w:kern w:val="32"/>
            <w:sz w:val="28"/>
            <w:szCs w:val="32"/>
            <w:u w:val="single"/>
            <w:shd w:val="clear" w:color="auto" w:fill="FFFFFF"/>
            <w:lang w:val="en-US" w:eastAsia="en-US" w:bidi="ar-SA"/>
          </w:rPr>
          <w:t>Azam v. Bilaya, [2014] B.C.J. No. 2189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L.B. Gerow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28-30, May 1-2 and 5-8,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25,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M113154, M134315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2189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1615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Shameema Azam, Plaintiff, and Jesus Bilaya and Hans-Henrik Jensen, Defendants And between Shameema Azam, Plaintiff, and Hans-Henrik Jensen,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4"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9" w:name="Keywords_28"/>
      <w:bookmarkEnd w:id="189"/>
      <w:r>
        <w:rPr>
          <w:rFonts w:ascii="arial" w:eastAsia="arial" w:hAnsi="arial" w:cs="arial"/>
          <w:b/>
          <w:color w:val="000000"/>
          <w:sz w:val="20"/>
          <w:lang w:val="en-US" w:eastAsia="en-US" w:bidi="ar-SA"/>
        </w:rPr>
        <w:t>Damages — For torts — Affecting the person — Assault — Action for damages for injuries sustained in assault allowed in part — Defendant did not defend action — Plaintiff and defendant were in volatile relationship with numerous physical altercations — In most serious, defendant held plaintiff hostage, punched and kicked her, and threw her against wall — Assault injured plaintiff's neck, back and jaw, and exacerbated motor vehicle accident injuries — Plaintiff awarded $10,000 non-pecuniary damages and $1,8111 health care recovery costs.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and psychological injuries — Body injuries — Back and spine — Neck — Whiplash — Head injuries — Concussion — Arm injuries — Wrist — Fractures — Leg injuries — Knee — Fibromyalgia or chronic pain — Psychological injuries — Depression — Considerations impacting on award — Pre-existing injury — Credibility — Action for damages for injuries sustained in two motor vehicle accidents allowed in part — Plaintiff sustained concussion, whiplash, fractured shoulder, low back in injury in first, exacerbated injuries and injured knees and fractured wrist in second — Plaintiff had pre-existing low back injury, functioned higher than claimed, did not show significant determination in finding work, and psychological problems not caused by accidents — Plaintiff had flare-ups of pain and guarded prognosis — Plaintiff awarded $85,000 non-pecuniary damages, $10,000 attributable to divisible injuries from second accident, $65,000 past wage loss, $100,000 future loss, $43,300 future care and $4,049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Aggravation of pre-existing injury — Cost of future care — Loss of earning capacity — Loss of housekeeping ability — Special damages — Past loss of income — Employment income — Expenses and expenditures — Non-pecuniary loss — Pain and suffering — Action for damages for injuries sustained in two motor vehicle accidents allowed in part — Plaintiff sustained concussion, whiplash, fractured shoulder, low back in injury in first, exacerbated injuries and injured knees and fractured wrist in second — Plaintiff had pre-existing low back injury, functioned higher than claimed, did not show significant determination in finding work, and psychological problems not caused by accidents — Plaintiff had flare-ups of pain and guarded prognosis — Plaintiff awarded $85,000 non-pecuniary damages, $10,000 attributable to divisible injuries from second accident, $65,000 past wage loss, $100,000 future loss, $43,300 future care and $4,049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0" w:name="Case Summary_26"/>
            <w:bookmarkEnd w:id="19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personal injuries sustained in two motor vehicle accidents and assaults. The plaintiff was a passenger on the defendant, her former boyfriend, motorcycle in both accidents and he also assaulted her. The other driver in the first accident was also a defendant. In the first accident, the plaintiff was thrown from the motorcycle and briefly lost consciousness. In the second accident, the plaintiff fell off the back of the motorcycle. The plaintiff and defendant had a volatile relationship with many physical altercations. In the most serious incident, the defendant held the plaintiff hostage and punched and kicked her, and threw her against a wall. The plaintiff had a pre-existing history of low back pain and also hurt her low back in a subsequent slip-and-fall. The plaintiff testified she had ongoing pain in her shoulder, knee, forearm and low back, and psychological problems as a result of the accidents. The plaintiff argued the injuries from the accidents and the assault were indivisible, other than the wrist fracture from the second accident. The plaintiff claimed her pain affected her ability to work full-time. The defendants admitted liability for the accident and the assault claim was not defended. The defendants disputed the extent of the injuries, and argued the plaintiff had pre-existing injuries and was not credible. The plaintiff sought $125,000 non-pecuniary damages, $133,000 past wage loss, $325,000 loss of earning capacity, $231,745 cost of future care, as well as special damages and damages for the assaults.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1" w:name="Holdings of Court_23"/>
            <w:bookmarkEnd w:id="191"/>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medical evidence established the plaintiff sustained a concussion, moderate whiplash, a fractured shoulder and injury to her low back in the first accident. The plaintiff already had degeneration to her spine and periodic back pain at the time. In the second accident, the plaintiff exacerbated these injuries and injured her knees and fractured her wrist. The plaintiff sustained neck, back and jaw injuries in the assaults, and injured her low back in the slip-and-fall, both exacerbating her symptoms. The plaintiff's complaints were chronic in nature. The plaintiff's personality and abusive relationship led to her psychological problems, not the accidents. The low back symptoms fell within the crumbling skull rule. The plaintiff was not a credible witness and there was evidence she functioned at a higher level than she claimed. The plaintiff still had painful flare-ups and her prognosis was guarded. The plaintiff would be awarded $100,000 non-pecuniary damages, but the award was reduced to $85,000 for pre-existing injuries, of which $10,000 was attributable to the divisible injuries from the second accident. It was far from clear the plaintiff would have remained at the same full-time position but for the accident. She took a great deal of time off work prior to the accidents and moved several times after. When the plaintiff was advised to return to work in a sedentary position, she made no effort to find work. The plaintiff was awarded $65,000 past wage loss. The plaintiff had not shown significant determination in returning to work but, given the medical evidence and guarded prognosis, there was a substantial possibility she could not return to physically demanding work. The capital asset approach was used. The plaintiff could work as a pharmacy technician and some loss of earning capacity was due to other factors. The plaintiff was awarded $100,000. The plaintiff required exercise, pain medication, housekeeping and child care assistance so was awarded $43,300 cost of future care. The plaintiff was awarded $4,049 special damages. The total award for the motor vehicle accidents was $296,749. The plaintiff did not lead evidence on the amount that should be awarded for psychological injuries attributable to the assaults. As such, the plaintiff was awarded $10,000 non-pecuniary loss for her assault injuries, and $1,811 health care recovery costs.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2" w:name="Legislation Cited_22"/>
      <w:bookmarkEnd w:id="19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5"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Health Care Costs Recovery Act, S.B.C. 2008, c . 27,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3" w:name="Counsel_27"/>
      <w:bookmarkEnd w:id="19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6"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in both actions: G.J. Collette.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in both actions: H.A. Walford.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4" w:name="Judgment_28"/>
      <w:bookmarkEnd w:id="194"/>
      <w:r>
        <w:pict>
          <v:line id="_x0000_s1167" style="position:absolute;z-index:2518405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5" w:name="L.B. GEROW J."/>
            <w:bookmarkEnd w:id="195"/>
            <w:r>
              <w:rPr>
                <w:rFonts w:ascii="arial" w:eastAsia="arial" w:hAnsi="arial" w:cs="arial"/>
                <w:b/>
                <w:color w:val="000000"/>
                <w:sz w:val="30"/>
                <w:lang w:val="en-US" w:eastAsia="en-US" w:bidi="ar-SA"/>
              </w:rPr>
              <w:t>L.B. GEROW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Shameema Azam was involved in two motorcycle accidents, one on September 11, 2009, and the other on April 25, 2010. At the time of both accidents, Ms. Azam was a passenger, and her boyfriend, the defendant Hans-Henrik Jensen, was driving. Ms. Azam commenced two actions, one against Jesus Bilaya and Mr. Jensen seeking damages for the injuries she sustained in the September 2009 accident. Ms. Azam has commenced a second action against Mr. Jensen for injuries she sustained in the April 2010 accident. In the second action, Ms. Azam also claims damages for injuries she sustained when Mr. Jensen physically assaulted her on different occasions. The actions were heard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Jesus Bilaya and Mr. Jensen have jointly admitted their liability for causing the motor vehicle accident of September 11, 2009. Mr. Jensen admits liability for causing the motor vehicle accident of April 25, 2010. Mr. Jensen has not defended the action against him for the assaults on Ms. Azam, and did not attend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As well, the defendants in the two motor vehicle accidents admit Ms. Azam suffered some injuries in the accidents. However, they disagree about the extent, seriousness and duration of her injuries. They take the position that Ms. Azam has not proven her ongoing low back and psychological complaints were caused by the accidents. The defendants in the motor vehicle accidents assert Ms. Azam has been involved in a number of physical altercations with Mr. Jensen and has suffered various injuries from those assaults. They say any ongoing complaints Ms. Azam has are from the injuries she sustained in the assaults and not from injuries she sustained in either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issues to be determined are:</w:t>
      </w:r>
      <w:r>
        <w:rPr>
          <w:rFonts w:ascii="arial" w:eastAsia="arial" w:hAnsi="arial" w:cs="arial"/>
          <w:sz w:val="20"/>
          <w:lang w:val="en-US" w:eastAsia="en-US" w:bidi="ar-SA"/>
        </w:rPr>
        <w:cr/>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nature, extent and duration of the injuries Ms. Azam suffered from the motor vehicle accidents and the assaults?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award of general damages for pain and suffering?</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 if any, should be awarded for the past and future loss of earnings or income earning capacity?</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 if any, should be awarded for cost of future care?</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 should be awarded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Azam is currently 35 years old and living in Saskatchewan. At the time of both motor vehicle accidents she was living in Vancouver,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first motor vehicle accident occurred on September 11, 2009. Ms. Azam and Mr. Jensen were participating in a motorcycle ride with other motorcycle enthusiasts. They met through a motorcycle group that rode motorcycles recreationally. At the time of the first accident, Mr. Jensen was living with another woman, but he and Ms. Azam had just commenced a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accident occurred when a minivan driven by the defendant Mr. Bilaya turned left without signalling as Mr. Jensen was attempting to pass it. Ms. Azam was thrown from the motorcycle and landed half on the sidewalk and half on the street. She lost consciousness briefly, but regained it at the scene. She was taken to Richmond Hospital where X-rays revealed a fracture of her right scapula. Ms. Azam was also told she had sustained a concussion. She was released from the hospital the same day. There is a dispute between the parties as to whether or not Ms. Azam sustained injuries to her low back in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the time of the first accident, Ms. Azam was working full time as a grocery clerk at Save-On-Foods. She had been working part time in the pharmacy department as a pharmacy technician but had obtained full time employment as a grocery clerk on July 28, 2009. On October 13, 2009, Ms. Azam commenced a graduated return to work program. She took some further time off work in October but returned to work fulltime with light duties on November 21,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second motorcycle accident occurred on April 25, 2010. Mr. Jensen was stopped at an intersection and when he accelerated, the front end of the motorcycle lifted up and Ms. Azam fell off the back and onto the road. She did not lose consciousness; however, she felt immediate pain in her right hand and arm. Ms. Azam was taken to the hospital and X-rays revealed she had broken her right wrist. As well, Ms. Azam says she injured her knees in the accident, and her injuries from the earlier accident were aggravated.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After the second accident, Ms. Azam and Mr. Jensen continued to have a relationship. Ms. Azam decided to confront Mr. Jensen's former girlfriend and tell her about the affair. As a result, Mr. Jensen's girlfriend told him to leave. He was initially angry at Ms. Azam for sabotaging his relationship, and they did not speak for a while. However, they reconnected, and Mr. Jensen moved in with Ms. Azam on August 1,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After moving in with Ms. Azam, Mr. Jensen remained "hung up" on his former girlfriend, which caused stress in his relationship with Ms. Azam. Their relationship became volatile, and they started fighting more often. Their first major altercation was shortly after he moved in August 2010, when she smashed some objects and left temporarily. After that incident the couple became increasingly physical with one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January 2011, Ms. Azam attempted to commit suicide.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March 2013, there was a physical altercation between the couple. Mr. Jensen strangled Ms. Azam, and she hit him with a rolling pin and over the head with a wine bottle. As well in March 2011, Ms. Azam stabbed Mr. Jensen in the hand with a knife when he was trying to get into the apartment through a window after she had locked him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From April 11-24, 2011, Ms. Azam went to Denmark with Mr. Jensen to see his family and friends. In June 2011, she saw a psychiatrist at a mood disorder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the beginning of October 2011, Ms. Azam and Mr. Jensen moved to Kelowna. She was originally hoping to get a job in the pharmacy at Costco and did not apply for other positions. Ms. Azam eventually obtained two part-time pharmacy jobs, one at Save-On-Foods in January 2012, and the other at Shoppers Drug Mart starting January 24,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February 2012, Ms. Azam received a chest injury as a result of what she characterized as rough-housing with Mr. Jensen. On May 19, 2012 she quit her job at Save-On-Foods.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Azam testified there was an altercation sometime in April or May 2012 in which they were fighting and she threatened to hit him with a frying pan. Mr. Jensen grabbed the pan out of her hand and threw her on the floor. She landed on her front. Her stomach hurt, and she had the wind knocked out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May 25 and 26, 2012, there was a very serious physical altercation between them. Mr. Jensen held Ms. Azam hostage, would not let her sleep, and punched and kicked her repeatedly. He grabbed her hair and pulled her to the ground by it, hurting her neck. At one point he threw her into a wall, where she hit the crown moulding. She testified she "saw stars". Mr. Jensen was threatening to kill her. Ms. Azam finally managed to get out of the house, and was seen by the neighbours, who called the police. The police attended and Mr. Jensen was arrested and charged with assault. He spent four months in jail. After his release, he and Ms. Azam resumed living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assaults caused injuries to Ms. Azam's neck and back. Ms. Azam testified that she could hardly turn her head after the assaults. Her neck was sore and her jaw was swollen. Ms. Azam attended the hospital for treatment. She testified the assaults aggravated her injuries from the motor vehicle accidents, but she returned to her pre-assault state in approximately a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From June to September 2012, Ms. Azam worked on an online bridging course for pharmacy technicians through Selkirk College in order to become registered as a pharmacy technician. She has not yet taken the required exam. During the period of time Ms. Azam worked as a pharmacy technician a registration requirement had been put in place. Ms. Azam has to complete the bridging program to become registered in British Columbia so that she can continue to work as a pharmacy technician. Not every province has a registration requirement for pharmacy technicians.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September 19, 2012, Ms. Azam lost her job at Shoppers Drug Mart as a result of problems she was having with the commute. On January 1, 2013, she started working at a different Shoppers Drug Mart location closer to her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March 2013, Ms. Azam slipped and fell on an icy driveway. The fall jolted her and injured her lower back. Ms. Azam attended a walk-in clinic after the fall. She testified her low back pain was aggravated.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July 2013, Ms. Azam quit her job to move with Mr. Jensen to Meadow Lake, Saskatchewan. Ms. Azam and Mr. Jensen were offered jobs working at his parents' bakery. She worked there for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July 28, 2013, another altercation occurred. Mr. Jensen punched Ms. Azam twice in the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August 2013, Ms. Azam started two jobs, one working at the Co-op in the pharmacy department and the other at Meadow Lake Hospital. She stopped working at the Co-op in December 2013. Since February 2014, Ms. Azam worked full time hours at the hospital; however her back pain was aggravated working full time. She is currently working reduced hours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trial, Ms. Azam testified her ongoing complaints are pain in her right shoulder, forearm pain, knee pain and her low back. Prior to the first accident, Ms. Azam suffered from periodic low back pain but would recover from it. As well, Ms. Azam says that she suffers from ongoing psychological problems as a result of the accidents. Ms. Azam concedes that she likely had personality disorder traits prior to the first accident, but says the accidents have significantly exacerbated her psychological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What are the Nature, Extent and Duration of the Injuries Ms. Azam Suffered in the Accidents?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Azam's position is that she suffered significant injuries as a combined effect to the two motor vehicle accidents. Ms. Azam concedes she suffered injuries as a result of the subsequent assaults on her by Mr. Jensen. Ms. Azam says the injuries from the accidents and the assaults are almost wholly indivisible injuries. Ms. Azam takes the position that the assaults by Mr. Jensen did not cause any new injuries, but only aggravated the injuries she sustained in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only distinct divisible injury she suffered is the fracture of her right wrist in the second accident which has resulted in some ongoing issues with repetitive motions.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well, Ms. Azam says the slip and fall she suffered in March 2013 did not cause any new injuries but exacerbated her pre-existing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Azam says the fracture of her scapula is just part of her shoulder injury for which a distinct cause and effect cannot be carved out. The same applies to the concussion from the first accident and the injuries caused by the assaults, with the exception of some bruises and abrasions.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Azam says the combined effects of the two accidents were sufficient to cause the ongoing disabilities she is suffering from. While the assaults subsequently contributed to Ms. Azam's injuries, none of them were sufficient to cause her loss and disability in the absence of the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Azam's injuries are both physical and psychological. While she likely had borderline personality traits prior to September 11, 2009, she had never been diagnosed or treated for any mental disorder. Ms. Azam's functioning prior to the first accident, while not outstanding, could be characterized as average.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Subsequent to the first accident she has developed and was diagnosed with borderline personality disorder and major depression. Ms. Azam submits the genesis of her psychiatric problems is with the first motor vehicle accident, aggravated by the second motor vehicle accident and the subsequent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While a substantial amount of time has been spent on Ms. Azam's emotional and psychological state, the primary cause of her disability is physical. The emotional and psychological issues caused by the accidents have simply been a complicating factor and likely have contributed to her remaining in an abusive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Prior to the first accident, Ms. Azam did suffer from episodic back pain from time to time usually related to her straining it while doing some particular activity. The uncontradicted evidence is that she fully recovered from all of those prior episodes of back pain. Since the first motor vehicle accident Ms. Azam has suffered from chronic, unrelenting back pain. There is no evidence that in the absence of the motor vehicle accidents her episodic back pain would have developed into such a chronic, disabling condition. It is likely she would have continued to have episodic back pain related to random incidents from time to time with a full recovery and a minimal amount of missed time from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Azam submits that her current injuries must be assessed as a single injury with the exception of the only clearly divisible injuries. The only significant injury that can be segregated out is the broken wrist. The wrist injury on its own would not have caused Ms. Azam's current disability. Ms. Azam submits that her current level of pain and dysfunction are solely attributable to the indivisible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defendants in the motor vehicle accidents concede Ms. Azam was injured in the two accidents; however they take the position that her ongoing complaints relating to her low back pain and psychological problems are not a result of the accidents. Further, the defendants submit that Ms. Azam is not a reliable witness, and that her evidence must be regarded with some skepticism because her reports of her injuries and abilities have not been 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Azam has a well-documented history of low back pain prior to the first accident, going back to 2005. A CT scan in February 2009 indicated she had two herniated discs. There was no report of back pain until October 29, 2009, a month after the first accident. The defendants submit Ms. Azam's report of low back pain in October 2009, is too remote to have been caused by the first accident. The defendants submit that a recurrence of her low back pain at that time is consistent with her prior pattern of low back pain arising from various incidents. She would have an aggravation of back pain and then it would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the spring of 2010, Ms. Azam resumed motorcycle riding and agreed she was 50% better from her injuries sustained in the first accident, when the second accident occurred. As a result of the second accident, Ms. Azam suffered a fractured right wrist, some neck pain and a temporary aggravation of her pre-existing low back condition, as well as some knee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defendants in the motor vehicle accidents submit the evidence supports a finding that the assaults caused a jaw injury, black eye, bruises on her neck and under her arm, psychological disorder and depression. While Ms. Azam's experts opine that her depression, aggravated borderline personality disorder and suicide attempt were caused by the accidents, their opinions were based largely on Ms. Azam's subjective reports of her symptoms. The defendants submit Ms. Azam's failure to volunteer little, if any, information about the nature of the assaults has contributed to her experts' opinions regarding the causation of her psychological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defendants in the motor vehicle accidents take the position that Ms. Azam's ongoing complaints relate mainly to her symptomatic pre-existing degenerative condition in her back, and subsequent injuries from the assaults by Mr. Jensen. Although Ms. Azam alleges she became increasingly depressed after the second accident with significant mood disruption and exacerbation of her pre-existing borderline personality trait leading to a major depressive disorder and an attempt to commit suicide in January 2011, the defendants submit Ms. Azam's psychological difficulties are attributable to her relationship with Mr. Jensen and her pre-existing personality traits.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Relevant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Supreme Court of Canada considered causation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The Court confirmed that the basic test for determining causation remains the "but for" test articulated in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The plaintiff bears the burden of proving that but for the negligent act or omission of the defendant, the injury would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plaintiff is not required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his or her injuries. The tortfeasor must take his or her victim as the tortfeasor finds them, and is liable even if there are other causal factors, for which tortfeasor is not responsible, that result in the victim's losses being more severe than they would be for the average person. At the same time, the tortfeasor need not put the victim in a better position than they would have been in, and need not compensate the victim for the effects of a pre-existing condition that the victim would have experienced in any event: </w:t>
      </w:r>
      <w:r>
        <w:rPr>
          <w:rFonts w:ascii="arial" w:eastAsia="arial" w:hAnsi="arial" w:cs="arial"/>
          <w:i/>
          <w:color w:val="000000"/>
          <w:sz w:val="20"/>
          <w:lang w:val="en-US" w:eastAsia="en-US" w:bidi="ar-SA"/>
        </w:rPr>
        <w:t>Snell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473, the Court sets out the way in which a pre-existing condition may be relevant to the assessment of damages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 The "crumbling skull" doctrine is an awkward label for a fairly simple idea. It is named after the well-known "thin skull" rule, which makes the tortfeasor liable for the plaintiff's injuries even if the injuries are unexpectedly severe owing to a pre-existing condition. The tortfeasor must take his or her victim as the tortfeasor finds the victim, and is therefore liable even though the plaintiff's losses are more dramatic than they would be for the average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so-called "crumbling skull" rule simply recognizes that the pre-existing condition was inherent in the plaintiff's "original position". The defendant need not put the plaintiff in a position </w:t>
      </w:r>
      <w:r>
        <w:rPr>
          <w:rFonts w:ascii="arial" w:eastAsia="arial" w:hAnsi="arial" w:cs="arial"/>
          <w:color w:val="000000"/>
          <w:sz w:val="20"/>
          <w:u w:val="single"/>
          <w:lang w:val="en-US" w:eastAsia="en-US" w:bidi="ar-SA"/>
        </w:rPr>
        <w:t>better</w:t>
      </w:r>
      <w:r>
        <w:rPr>
          <w:rFonts w:ascii="arial" w:eastAsia="arial" w:hAnsi="arial" w:cs="arial"/>
          <w:color w:val="000000"/>
          <w:sz w:val="20"/>
          <w:lang w:val="en-US" w:eastAsia="en-US" w:bidi="ar-SA"/>
        </w:rPr>
        <w:t xml:space="preserve">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then this can be taken into account in reducing the overall award: ... This is consistent with the general rule that the plaintiff must be returned to the position he would have been in, with all of its attendant risks and shortcomings, and not a better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587" w:history="1">
        <w:r>
          <w:rPr>
            <w:rFonts w:ascii="arial" w:eastAsia="arial" w:hAnsi="arial" w:cs="arial"/>
            <w:i/>
            <w:color w:val="0077CC"/>
            <w:sz w:val="20"/>
            <w:u w:val="single"/>
            <w:shd w:val="clear" w:color="auto" w:fill="FFFFFF"/>
            <w:lang w:val="en-US" w:eastAsia="en-US" w:bidi="ar-SA"/>
          </w:rPr>
          <w:t>2010 BCCA 61</w:t>
        </w:r>
      </w:hyperlink>
      <w:r>
        <w:rPr>
          <w:rFonts w:ascii="arial" w:eastAsia="arial" w:hAnsi="arial" w:cs="arial"/>
          <w:color w:val="000000"/>
          <w:sz w:val="20"/>
          <w:lang w:val="en-US" w:eastAsia="en-US" w:bidi="ar-SA"/>
        </w:rPr>
        <w:t xml:space="preserve">, the court referred to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in discussing indivisible and divisible injuries in the context of a personal injury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In the course of the discussion, Major J. (for the Court) described injuries produced by more than one cause as either "divisible" or "indivisible". Divisible injuries are those capable of being separated out and having their damages assessed independently. Indivisible injuries are those that cannot be separated or have liability attributed to the constituent causes. At paras. 22-25, he commented on apportionment between multiple causes and the issue of divisibility:</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Multiple Tortious Causes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The respondents argued that apportionment between tortious and non-tortious causes should be permitted just as it is where multiple tortfeasors cause the injury. The two situations are not analogous. </w:t>
      </w:r>
      <w:r>
        <w:rPr>
          <w:rFonts w:ascii="arial" w:eastAsia="arial" w:hAnsi="arial" w:cs="arial"/>
          <w:color w:val="000000"/>
          <w:sz w:val="20"/>
          <w:u w:val="single"/>
          <w:lang w:val="en-US" w:eastAsia="en-US" w:bidi="ar-SA"/>
        </w:rPr>
        <w:t xml:space="preserve">Apportionment between tortious causes is expressly permitted by provincial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statutes and is consistent with the general principles of tort law. The plaintiff is still fully compensated and is placed in the position he or she would have been in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of the defendants. Each defendant remains fully liable to the plaintiff for the injury, since each was a cause of the injury. The legislation simply permits defendants to seek contribution and indemnity from one another, according to the degree of responsibility for the injury</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Divisible Injuries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w:t>
      </w:r>
      <w:r>
        <w:rPr>
          <w:rFonts w:ascii="arial" w:eastAsia="arial" w:hAnsi="arial" w:cs="arial"/>
          <w:color w:val="000000"/>
          <w:sz w:val="20"/>
          <w:u w:val="single"/>
          <w:lang w:val="en-US" w:eastAsia="en-US" w:bidi="ar-SA"/>
        </w:rPr>
        <w:t>The respondents submitted that apportionment is permitted where the injuries caused by two defendants are divisible</w:t>
      </w:r>
      <w:r>
        <w:rPr>
          <w:rFonts w:ascii="arial" w:eastAsia="arial" w:hAnsi="arial" w:cs="arial"/>
          <w:color w:val="000000"/>
          <w:sz w:val="20"/>
          <w:lang w:val="en-US" w:eastAsia="en-US" w:bidi="ar-SA"/>
        </w:rPr>
        <w:t xml:space="preserve"> (for example, one injuring the plaintiff's foot and the other the plaintiff's arm): Fleming, supra, at p. 201. </w:t>
      </w:r>
      <w:r>
        <w:rPr>
          <w:rFonts w:ascii="arial" w:eastAsia="arial" w:hAnsi="arial" w:cs="arial"/>
          <w:color w:val="000000"/>
          <w:sz w:val="20"/>
          <w:u w:val="single"/>
          <w:lang w:val="en-US" w:eastAsia="en-US" w:bidi="ar-SA"/>
        </w:rPr>
        <w:t>Separation of distinct and divisible injuries is not truly apportionment; it is simply making each defendant liable only for the injury he or she has caused, according to the usual rule.</w:t>
      </w:r>
      <w:r>
        <w:rPr>
          <w:rFonts w:ascii="arial" w:eastAsia="arial" w:hAnsi="arial" w:cs="arial"/>
          <w:color w:val="000000"/>
          <w:sz w:val="20"/>
          <w:lang w:val="en-US" w:eastAsia="en-US" w:bidi="ar-SA"/>
        </w:rPr>
        <w:t xml:space="preserve"> The respondents are correct that separation is also permitted where some of the injuries have tortious causes and some of the injuries have non-tortious causes: Fleming,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202. Again, such cases merely recognize that the defendant is not liable for injuries which were not caused by his or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w:t>
      </w:r>
      <w:r>
        <w:rPr>
          <w:rFonts w:ascii="arial" w:eastAsia="arial" w:hAnsi="arial" w:cs="arial"/>
          <w:color w:val="000000"/>
          <w:sz w:val="20"/>
          <w:u w:val="single"/>
          <w:lang w:val="en-US" w:eastAsia="en-US" w:bidi="ar-SA"/>
        </w:rPr>
        <w:t>In the present case, there is a single indivisible injury, the disc herniation, so division is neither possible nor appropriate. The disc herniation and its consequences are one injury, and any defendant found to have negligently caused or contributed to the injury will be fully liable for it.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Accordingly, liability to a plaintiff for indivisible injuries is joint and several.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The conclusions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were further refined in the decision of the Supreme Court in </w:t>
      </w:r>
      <w:r>
        <w:rPr>
          <w:rFonts w:ascii="arial" w:eastAsia="arial" w:hAnsi="arial" w:cs="arial"/>
          <w:i/>
          <w:color w:val="000000"/>
          <w:sz w:val="20"/>
          <w:lang w:val="en-US" w:eastAsia="en-US" w:bidi="ar-SA"/>
        </w:rPr>
        <w:t>E.D.G. v. Hammer</w:t>
      </w:r>
      <w:r>
        <w:rPr>
          <w:rFonts w:ascii="arial" w:eastAsia="arial" w:hAnsi="arial" w:cs="arial"/>
          <w:color w:val="000000"/>
          <w:sz w:val="20"/>
          <w:lang w:val="en-US" w:eastAsia="en-US" w:bidi="ar-SA"/>
        </w:rPr>
        <w:t xml:space="preserve">, </w:t>
      </w:r>
      <w:hyperlink r:id="rId588" w:history="1">
        <w:r>
          <w:rPr>
            <w:rFonts w:ascii="arial" w:eastAsia="arial" w:hAnsi="arial" w:cs="arial"/>
            <w:i/>
            <w:color w:val="0077CC"/>
            <w:sz w:val="20"/>
            <w:u w:val="single"/>
            <w:shd w:val="clear" w:color="auto" w:fill="FFFFFF"/>
            <w:lang w:val="en-US" w:eastAsia="en-US" w:bidi="ar-SA"/>
          </w:rPr>
          <w:t>2003 SCC 52</w:t>
        </w:r>
      </w:hyperlink>
      <w:r>
        <w:rPr>
          <w:rFonts w:ascii="arial" w:eastAsia="arial" w:hAnsi="arial" w:cs="arial"/>
          <w:color w:val="000000"/>
          <w:sz w:val="20"/>
          <w:lang w:val="en-US" w:eastAsia="en-US" w:bidi="ar-SA"/>
        </w:rPr>
        <w:t>, [2003] 2 S.C.R. 429. Though not dispositive of that appeal, the judgment reinforced the distinction between divisible and indivisible injuries, and the principle that tortfeasors who cause or contribute to a single injury will be held jointly liable.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concluded that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requires joint and several liability for indivisible injuries. If it is concluded that an injury is indivisible, then the tortfeasors are jointly liable to the plaintiff and absent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can claim the entire award from either of them.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of the Law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injuries Ms. Azam suffered in the first motor vehicle accident included a concussion and a fractured scapula. As well, she suffered from scrapes to her face and bruises. Although she lost consciousness, Ms. Azam had a normal Glasgow Coma Score at the scene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Azam testified she experienced neck and shoulder pain, headaches and low back pain as a result of the first accident. Two days after the accident she experienced a fainting spell. Ms. Azam had mild cognitive difficulties for a period of time following the first accident, such as losing her train of thought, irritability and becoming emotional easily.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Azam's symptoms from the first accident were improving at the time of the second accident, which occurred only seven months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the second accident, Ms. Azam fractured her right wrist. As well, she exacerbated the injuries from the first accident. As a result of the second accident, Ms. Azam testified she experienced increased pain in her neck, shoulder and back, and new symptoms of pain in the right wrist and both knees, especially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Subsequent to both accidents, Ms. Azam had increased emotional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defendants challenge Ms. Azam's evidence that her lower back was injured in the first accident. As stated earlier, the defendants in the motor vehicle accidents argue that any ongoing physical and mental problems Ms. Azam suffers from are a result of the injuries from the assaults by Mr. Jensen, and not a result of the injuries sustained in either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Azam asserts the reason she did not initially report the other injuries she sustained in the first accident, including her low back pain, is because the concussion and fractured scapula were very painful and acute injuries that attracted most of her attention immediately after the accident. However, other physical and emotional issues caused by the first accident started to become more apparent in the weeks that followed. Ms. Azam's evidence is that she experienced lower back pain contemporaneously with the first accident occurring, but was more focused on the severe pain from the broken scapula and the severe headaches from the head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Robert Love was Ms. Azam's family doctor starting in December 2002. Dr. Love operated a walk-in clinic, but also saw patients who could book ahead. If Dr. Love was not available, Ms. Azam could see another doctor in the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Love saw Ms. Azam on September 17, 2009, six days after the first accident. Prior to the first accident, he had not treated Ms. Azam for any psychiatric or emotional problems. Dr. Love's evidence is that he had treated her for back pain prior to the first accident on a number of occasions, starting in October 2006. At that time she told Dr. Love she had a sore back on and off for 10 years. In October 2006, Dr. Love ordered an X-ray of her lumbar spine which was normal. She returned and was treated for low back pain on November 15,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Love testified that Ms. Azam next attended the clinic for back pain in May 2008. At that time she had severe low back pain. She had recently been motorcycle riding and had fallen off a Jet Ski, landing on the right side of her back. She had pain radiating down her right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Azam was next seen with a complaint of back pain in December 2008. She had bent over seven days prior to her visit to the clinic, and experienced back pain with a muscle spasm and pain radiating down her leg. She saw Dr. Love on December 23, 2008, for this back pain. At that time, Ms. Azam again stated she had ongoing back pain the last 10 years, and had pain radiating down her leg on and off for the previous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Azam next attended the clinic on January 27, 2009, for back pain. She complained of pain in her right anterior thigh and right lower leg. Her left leg also had some numbness and tingling. Dr. Love prescribed pain medication and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February 19, 2009, she attended the clinic again for back pain. At that time, a CT scan was ordered. On March 19, 2009, she was still taking pain medication for her back and was concerned about the addictive potential. She was given a prescription for more pain killers. Dr. Love referred her to Dr. Weiss, an expert in physical medicine and rehabilitation. Dr. Weiss provided a consultation report on May 28, 2009, where he noted herniated discs at L4/5 and L5/S1.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May 20, 2009, Ms. Azam attended the clinic after a fall off her motorcycle. Ms. Azam injured her thumb, but there is no note of an issue with her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next visit was after the first accident on September 17, 2009. Ms. Azam advised Dr. Love she had been in the accident and fractured her right shoulder and suffered a concussion. She advised him she had fainted following the accident on September 13, 2009, and was taken to Vancouver General Hospital emergency department. At the visit on September 17, 2009, Ms. Azam complained of headaches and pain in her neck, shoulder and head. Ms. Azam did not mention any back pain at the visit. On physical examination, Ms. Azam had a limited range of motion in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Azam saw Dr. Love on September 30, and October 7, 21 and 29, 2009. On October 29, 2009, she told Dr. Love her low back pain had increased while she was driving and was going down her right leg to her knee. Dr. Love was of the view Ms. Azam's low back pain was a result of the first accident. She continued to attend the clinic after that date for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On March 22, 2010, just prior to the second accident, Ms. Azam was reporting that her neck was in pain daily, and her shoulder muscles were sore. Ms. Azam reported that the abrasions on her left knee had healed but it was still tender. Dr. Love asked her about her back and Ms. Azam reported that it was sorer in the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first psychological complaint was in October 2009, when Ms. Azam told Dr. Love she was feeling a bit moody. After the second accident, she reported being more anxious. In January 2011, after the suicide attempt, Dr. Love started dealing with significant emotional issues with Ms. Azam.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On April 6, 2011, Ms. Azam reported pain in her low back three to four times a week. On physical examination she had good range of motion. There were no muscles spasms but some mild pain in her lumbar spine. At that time, Dr. Love prescribed an anti-depressant and referred her to a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last time Dr. Love treated Ms. Azam was on February 27, 2013. She reported to him that her low back pain had been worse since early February of that year, and she had been getting mild sciatic pain on and off that month. Dr. Love was not aware of the assault on Ms. Azam by Mr. Jensen in May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 number of medical practitioners conducted independent medical examinations of Ms. Azam and provided reports. Dr. Nairn Stewart, an expert in physical medicine and rehabilitation, was retained by Ms. Azam and provided an opinion regarding Ms. Azam's ongoing physical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her report, Dr. Stewart reviewed the history of Ms. Azam's low back pain. Dr. Stewart's opinion is, based on the history provided by Ms. Azam and a review of the medical records, that Ms. Azam sustained soft tissue injuries to her neck and back in the September 2009 accident. In the April 2010 accident, Ms. Azam sustained new injuries to her wrist and knees, and an exacerbation of her neck and back injuries from the earlier accident. Dr. Stewart's opinion was that the chronic pain Ms. Azam was complaining of was caused by the accidents. However, Ms. Azam did not advise Dr. Stewart of any assaults on her by Mr. Jensen, or the fact that she had been injured in any of the assaults. The most significant assault was three months prior to Dr. Stewart examining Ms. Azam. Dr. Stewart agreed the assaults could have aggravated Ms. Azam's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At the time Dr. Stewart saw Ms. Azam, she was working more than full time hours between her various jobs. Dr. Stewart thought it advisable that Ms. Azam work no more than a standard work week because of her injuries. Dr. Stewart recommended Ms. Azam do daily stretching exercises of her neck and back, and participate in an exercise program at a gym.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Stewart stated that although Ms. Azam likely sustained a concussion or mild traumatic brain injury in the 2009 accident, it is unlikely she sustained any lasting injury to her brain. Dr. Stewart was of the opinion that any cognitive difficulties she reported were probably due to other factors, such as sleep disturbance, medication effect and emotional disturbance.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Stephen Anderson, an expert in psychiatry, saw Ms. Azam on November 17, 2011, at the request of her counsel for an independent psychiatric assessment. Dr. Anderson diagnosed Ms. Azam as suffering from borderline personality traits. Borderline personality traits can wax and wane as a result of stressors but are usually developed by adolescence. In Dr. Anderson's opinion Ms. Azam was exhibiting borderline personality traits prior to the first accident, but suicidal behaviour and violent behaviour did not occur before the accident. Ms. Azam had some anger issues but no pattern of violent behaviour. She slapped one of her former boyfriends after he had stolen money and her car. After the motor vehicle accident she had several incidents of violent behaviour towards her partner and a suicidal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Anderson's opinion was that Ms. Azam's psychological difficulties were likely due to the accidents being superimposed on her premorbid physical and emotional functioning. Dr. Anderson was of the opinion that Ms. Azam would likely not have developed her present constellation of physical, cognitive and emotional difficulties if she had not been injured in the motor vehicle accidents. Dr. Anderson was of the opinion that any cognitive difficulties associated with the concussion from the first accident would have resolved within a few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Anderson stated that there has been a significant strain put on her relationship with Mr. Jensen because of her emotional changes following the accident. However, Ms. Azam did not advise Dr. Anderson of any of the assaults by Mr. Jensen, or the nature of the difficulties in their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Anderson stated he would give more weight to interpersonal stressors rather than the chronic pain as the cause of the suicide attempt in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Gouws, an expert in rehabilitation medicine, examined Ms. Azam on May 23, 2013, at the request of her counsel. The examination consisted of Ms. Azam completing questionnaires and being interviewed and physically 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Gouws noted Ms. Azam had suffered from episodic back pain since high school. As well, he noted a CT scan and MRI in January 2009 revealed a disc bulge at L3/4, and disc herniation at L4/5 and L5/S1.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Gouws' opinion is that Ms. Azam would not have developed the chronic pain condition she suffers from if it had not been for the accidents of 2009 and 2011. As well, he is of the opinion that she likely injured her low back in the 2009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Gouws was aware that there had been some assaults because of medical records he had reviewed, but was not advised by Ms. Azam of the extent of the assaults or the injuries caused by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Gouws' opinion is that Ms. Azam's prognosis for significant improvement in the future and a return to her pre-accident functioning was guarded. He recommended that Ms. Azam continue with appropriate rehabilitation and exercise. Dr. Gouws did not recommend passive therapy, but rather recommended she would benefit from an exercise program. Ms. Azam was not working at the time Dr. Gouws examined her and he recommended that it was essential for Ms. Azam to return to work as it had a significant positive influence on her life, as well as a stabilizing and therapeutic effect on her affective and personality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William Regan, an expert in the area of orthopaedic surgery, examined Ms. Azam at the request of the defendants on February 27, 2013. Dr. Regan's opinion was that the first accident did not injure or aggravate Ms. Azam's pre-existing low back problems. Dr. Regan was of the opinion that the second accident aggravated her low back complaints but was not causative of them. In his view, the two-day assault in May 2012 also aggravated Ms. Azam's spine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Regan based his opinion that her back was not injured in the 2009 accident on the fact there were no reported complaints of low back pain for a number of months following the accident. However, as noted earlier, Ms. Azam reported increased back pain about six weeks after the accident, not several months as understood by Dr. Regan. Dr. Regan conceded that the shorter the period of time between the accident and the report of pain, the more likely it is that Ms. Azam injured her low back in the accident. Dr. Regan's opinion that the second accident was not causative of her ongoing chronic pain was because she had reported low back pain prior to the 2010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Regan was of the view that Ms. Azam should have recovered from her neck and shoulder pain within three to four months of the accident, however, her prognosis was guarded regarding her chronic back pain. Dr. Regan recommended an exercise program and that Ms. Azam lose some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Jeanette Smith, an expert in the area of psychiatry, saw Ms. Azam at the request of the defendants on September 17, 2012. Dr. Smith's opinion is that the personal stressors as a result of Ms. Azam's relationship with Mr. Jensen would have developed regardless of the accidents. Mr. Jensen was living with another woman and would not end that relationship. In Dr. Stewart's opinion, given Ms. Azam's personality, in particular her extreme emotional reactivity to situations and the fact she is in an abusive relationship, it is likely the level of emotional and physical abuse would have led to similar levels of depression and emotional instability even in the absence of the physical injuries she sustained in the motor vehicle accident and associated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Smith agreed with Dr. Anderson that any cognitive difficulties associated with the concussion from the first accident resolved within a few months. Dr. Smith was of the view that Ms. Azam's depressive symptoms were well controlled by anti-depressants and she was not disabled from a psychiatric point of view, as she was functioning at work and studying online when she was interviewed.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Smith's opinion is that Ms. Azam is more vulnerable to experiencing depression but, due to her premorbid personality, it is likely she was predisposed to emotional instability and depression while under stress. Dr. Smith recommended Ms. Azam remain on anti-depressants, and attend 10-12 sessions of psychological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From a review of the medical evidence, I conclude that Ms. Azam suffered a concussion, a moderate whiplash injury to her neck, and a fractured shoulder in the first accident. As well, she suffered an injury to her low back. She also had some minor bruises and scrapes which resolved quite quickly. At the time of the 2009 accident, Ms. Azam had degeneration in her spine, and had episodic back pain for the prior 10 years. In the 2010 accident, the injuries she suffered in the 2009 accident were exacerbated, and she suffered injuries to her knees and a fractured wrist.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Ms. Azam subsequently suffered injuries to her neck, back and jaw in the assaults on her by Mr. Jensen. As well, she injured her back in the slip and fall in March 2013. Those injuries also exacerbated her symptoms. As of the date of the trial, Ms. Azam continues to complain of pain in her low back, neck and shoulders, as well as her right forearm. Her complaints appear to be chronic in nature. Her most significant complaint is her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As stated earlier, the defendants in the motor vehicle accidents assert that Ms. Azam's low back pain is not a result of either the 2009 or 2010 accidents. While Dr. Regan states in his report that her low back was not directly related to the first accident because of the time between the accident and her reporting of the pain, his opinion is based on the fact there were no reported complaints of low back pain for a number of months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However, Ms. Azam reported increased back pain at the end of October 2009, approximately six weeks after the accident. As set out earlier, Dr. Regan conceded that the shorter the period of time between the accident and the report of pain, the more likely it is Ms. Azam injured her low back in the accident. Dr. Regan's opinion that the second accident was not causative of her ongoing chronic pain was because she had reported low back pain prior to the 2010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Love, Dr. Stewart and Dr. Gouws were all of the view that the delay in reporting the back pain did not mean that her back was not injured in the first accident. Dr. Love pointed out that his notes indicated that Ms. Azam reported increased pain in the low back that day. However, it is also clear from the medical evidence that her back injury in the 2009 accident was not that significant and was resolving at the time of the second accident. Dr. Love's evidence was that when he saw Ms. Azam prior to the 2010 accident, she did not comment on any pain in her back until asked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As well, it is clear from the medical evidence that Ms. Azam suffered a concussion with some cognitive problems after the first accident. The issue is whether any ongoing psychological problems were caused or contributed to by the accident, or are as a result of her relationship issues with Mr. Jensen.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While Dr. Anderson was of the view that the deterioration of Ms. Azam's mood following the motor vehicle accidents was likely due to chronic pain, he had not been advised of the extent of Ms. Azam and Mr. Jensen's relationship difficulties. As stated earlier, Dr. Anderson was of the view that Ms. Azam likely had borderline personality traits prior to the accident as indicated by her impulsivity and other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my view, Dr. Stewart's opinion that due to Ms. Azam's personality, in particular her extreme reactivity to situations, and the fact she is in an abusive relationship, it is likely the level of emotional and physical abuse would have led to similar levels of depression and emotional instability even in the absence of the physical injures and associated pain from the accidents, should be preferred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Stewart's opinion is consistent with the evidence of Dr. Love. Although Ms. Azam reported some moodiness in October 2009, Dr. Love did not start treating her for any significant psychological problems until January 2011, after her suicide attempt. Dr. Anderson agreed that he would give more weight to her relationship problems than chronic pain as the cause of the suicide attempt. The fact that Ms. Azam attempted suicide as a result of her relationship problems was also consistent with the information she gave to the police after the assault in May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accept Dr. Stewart's opinion that Ms. Azam does not suffer from any ongoing psychiatric or psychological disability as a result of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my view, the preponderance of the evidence establishes a temporal connection between the accidents and Ms. Azam's ongoing symptoms of neck and back pain. As well, the first accident resulted in Ms. Azam's concussion and fractured scapula. The whiplash injuries Ms. Azam suffered in the accidents contributed to her degenerative disc disease becoming chronically symptomatic which has resulted in the symptoms she now suffers. However, she was having episodic pain in her back for over 10 years prior to the accidents. As well, the subsequent assaults and slip and fall also contributed to the ongoing symptoms from her pre-existing degenerative condition in her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In my opinion, Ms. Azam's low back symptoms falls within the crumbling skull rule enunciated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and any award must reflect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However, it is also my opinion that the psychological and psychiatric problems Ms. Azam is suffering from are caused by her relationship problems which exacerbated her pre-existing borderline personality traits, and were not caused by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the responses in the two motor vehicle actions, the defendants pleaded Ms. Azam failed to take reasonable steps to mitigate her loss and damage and failed to follow reasonable medical advice. However, they did not argue the issue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There is no question that every plaintiff has an obligation to take reasonable steps to reduce the damages flowing from a tort. In order to be successful in discharging the burden of proving that Ms. Azam has failed to mitigate, the onus is on the defendants to establish that Ms. Azam failed to undertake a recommended treatment, that by following the recommended treatment Ms. Azam would have overcome the problem, and that the refusal to take the treatment was unreasonable: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at para.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burden is on the defendants and they have not argued they have met it. Accordingly, the defendants have not established that Ms. Azam failed to mitigate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What is the Appropriate Award of General Damages for Pain and Suffering?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A plaintiff is entitled to reasonable damages for her pain and suffering. The plaintiff should be placed in the same position she would have been if the accident had not occurred, but not in a better position: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the court noted that a non-pecuniary damages award will vary from case to case to meet the specific circumstances of each case, and set out the factors to be considered in making such an award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that influence an award of non-pecuniary damages includes: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590"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590"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Ms. Azam takes the position that the evidence establishes that her life has changed dramatically as a result of her injuries. Her career aspirations have been thwarted and she has been forced to significantly reduce her hours. She has mostly lost the ability to participate in motorcycling which was her passion prior to the accidents. She was a physically active person and social person. Ms. Azam now spends her days off work recovering and resting so that she is able to continue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Ms. Azam says she has done her best to not let the pain get the best of her, but despite her efforts she has plateaued in her recovery. She is at risk for a worsening of her depression and she now has a personality disorder which may interfere with her functioning in the future, depending on stress levels. Ms. Azam says she has done everything she can to keep working in the occupation that she loves despite her symptoms. Ms. Azam has suffered and continues to suffer substantially.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Ms. Azam submits her evidence regarding her injuries and the ongoing symptoms she suffers from should be accepted. Her evidence in that regard was forthright, consistent and believable.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Ms. Azam relies on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591"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Poirier v. Aubrey</w:t>
      </w:r>
      <w:r>
        <w:rPr>
          <w:rFonts w:ascii="arial" w:eastAsia="arial" w:hAnsi="arial" w:cs="arial"/>
          <w:color w:val="000000"/>
          <w:sz w:val="20"/>
          <w:lang w:val="en-US" w:eastAsia="en-US" w:bidi="ar-SA"/>
        </w:rPr>
        <w:t xml:space="preserve">, </w:t>
      </w:r>
      <w:hyperlink r:id="rId592" w:history="1">
        <w:r>
          <w:rPr>
            <w:rFonts w:ascii="arial" w:eastAsia="arial" w:hAnsi="arial" w:cs="arial"/>
            <w:i/>
            <w:color w:val="0077CC"/>
            <w:sz w:val="20"/>
            <w:u w:val="single"/>
            <w:shd w:val="clear" w:color="auto" w:fill="FFFFFF"/>
            <w:lang w:val="en-US" w:eastAsia="en-US" w:bidi="ar-SA"/>
          </w:rPr>
          <w:t>2010 BCCA 266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Zylstra v. Hughes</w:t>
      </w:r>
      <w:r>
        <w:rPr>
          <w:rFonts w:ascii="arial" w:eastAsia="arial" w:hAnsi="arial" w:cs="arial"/>
          <w:color w:val="000000"/>
          <w:sz w:val="20"/>
          <w:lang w:val="en-US" w:eastAsia="en-US" w:bidi="ar-SA"/>
        </w:rPr>
        <w:t xml:space="preserve">, </w:t>
      </w:r>
      <w:hyperlink r:id="rId593" w:history="1">
        <w:r>
          <w:rPr>
            <w:rFonts w:ascii="arial" w:eastAsia="arial" w:hAnsi="arial" w:cs="arial"/>
            <w:i/>
            <w:color w:val="0077CC"/>
            <w:sz w:val="20"/>
            <w:u w:val="single"/>
            <w:shd w:val="clear" w:color="auto" w:fill="FFFFFF"/>
            <w:lang w:val="en-US" w:eastAsia="en-US" w:bidi="ar-SA"/>
          </w:rPr>
          <w:t>2001 BCCA 326</w:t>
        </w:r>
      </w:hyperlink>
      <w:r>
        <w:rPr>
          <w:rFonts w:ascii="arial" w:eastAsia="arial" w:hAnsi="arial" w:cs="arial"/>
          <w:color w:val="000000"/>
          <w:sz w:val="20"/>
          <w:lang w:val="en-US" w:eastAsia="en-US" w:bidi="ar-SA"/>
        </w:rPr>
        <w:t>, to support an award of general damages in the amount of $125,000.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defendants in the two motor vehicle accidents assert that Ms. Azam's evidence regarding the long term effects of her injuries should not be accepted because of inconsistencies on her evidence between direct and cross-examination in the trial, and between her examination for discovery evidence and her evidence at trial. As well, they submit that the description of her symptoms and the fact she did not tell a number of the medical experts or her family doctor about the extent of her relationship problems and the assaults is a good indicator of the inherent unreliability of her evidence. As a result, the defendants say that Ms. Azam's evidence regarding the effects of her injuries should be viewed very cautiously.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defendants rely on </w:t>
      </w:r>
      <w:r>
        <w:rPr>
          <w:rFonts w:ascii="arial" w:eastAsia="arial" w:hAnsi="arial" w:cs="arial"/>
          <w:i/>
          <w:color w:val="000000"/>
          <w:sz w:val="20"/>
          <w:lang w:val="en-US" w:eastAsia="en-US" w:bidi="ar-SA"/>
        </w:rPr>
        <w:t>Chalmers v. Russell</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2010 BCSC 1662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Bradshaw v. Matwick</w:t>
      </w:r>
      <w:r>
        <w:rPr>
          <w:rFonts w:ascii="arial" w:eastAsia="arial" w:hAnsi="arial" w:cs="arial"/>
          <w:color w:val="000000"/>
          <w:sz w:val="20"/>
          <w:lang w:val="en-US" w:eastAsia="en-US" w:bidi="ar-SA"/>
        </w:rPr>
        <w:t xml:space="preserve">, </w:t>
      </w:r>
      <w:hyperlink r:id="rId595" w:history="1">
        <w:r>
          <w:rPr>
            <w:rFonts w:ascii="arial" w:eastAsia="arial" w:hAnsi="arial" w:cs="arial"/>
            <w:i/>
            <w:color w:val="0077CC"/>
            <w:sz w:val="20"/>
            <w:u w:val="single"/>
            <w:shd w:val="clear" w:color="auto" w:fill="FFFFFF"/>
            <w:lang w:val="en-US" w:eastAsia="en-US" w:bidi="ar-SA"/>
          </w:rPr>
          <w:t>2009 BCSC 564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Schroeder v. Shaw</w:t>
      </w:r>
      <w:r>
        <w:rPr>
          <w:rFonts w:ascii="arial" w:eastAsia="arial" w:hAnsi="arial" w:cs="arial"/>
          <w:color w:val="000000"/>
          <w:sz w:val="20"/>
          <w:lang w:val="en-US" w:eastAsia="en-US" w:bidi="ar-SA"/>
        </w:rPr>
        <w:t xml:space="preserve">, </w:t>
      </w:r>
      <w:hyperlink r:id="rId596" w:history="1">
        <w:r>
          <w:rPr>
            <w:rFonts w:ascii="arial" w:eastAsia="arial" w:hAnsi="arial" w:cs="arial"/>
            <w:i/>
            <w:color w:val="0077CC"/>
            <w:sz w:val="20"/>
            <w:u w:val="single"/>
            <w:shd w:val="clear" w:color="auto" w:fill="FFFFFF"/>
            <w:lang w:val="en-US" w:eastAsia="en-US" w:bidi="ar-SA"/>
          </w:rPr>
          <w:t>2008 BCSC 1757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Simmavong v. Haddock</w:t>
      </w:r>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2012 BCSC 473</w:t>
        </w:r>
      </w:hyperlink>
      <w:r>
        <w:rPr>
          <w:rFonts w:ascii="arial" w:eastAsia="arial" w:hAnsi="arial" w:cs="arial"/>
          <w:color w:val="000000"/>
          <w:sz w:val="20"/>
          <w:lang w:val="en-US" w:eastAsia="en-US" w:bidi="ar-SA"/>
        </w:rPr>
        <w:t>, to support their argument that the appropriate range for non-pecuniary damages is $60,000 to $85,000.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of the Law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It is clear that Ms. Azam was injured in both motor vehicle accidents. In the first accident, she suffered a broken shoulder and a neck and back injury. In the second accident, she suffered a broken wrist, injury to her knees and an exacerbation of her pre-existing spine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accept she does have chronic pain in her back which is exacerbated by activity; however, I do not accept Ms. Azam's evidence regarding the impact of her injuries. I did not find Ms. Azam a particularly credible witness, and there is evidence that she is able to function at a higher level than she testified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At trial, Ms. Azam testified that she was incapacitated after the first accident. However, photographs dated September 12, 2009, the day after the first accident, show both she and Mr. Jensen in attendance at a bike-night event with other motorcycle enthusiasts. The pictures show Ms. Azam with her arm in a sling, smiling and smoking a cigarette.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her examination for discovery Ms. Azam stated that she did not ride a motorcycle at all in 2010 after the second accident, either as a passenger or a driver. However, at trial she admitted she rode her motorcycle after the accident in 2010. The evidence is that she was photographed riding on the back of a motorcycle, with Mr. Jensen driving, in June 2010, just two months after the second accident. There are other photographs from June 30, 2010, showing her smiling and dressed in leather motorcycle gear. Another photograph shows her on July 14, 2010, wearing a leather jacket and sitting on a motorcycle. She also admitted to arranging a motorcycle ride for her birthday on October 2, 2010, to go to Squamish.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evidence at trial is also inconsistent with her statements to Dr. Stewart in 2012, that she was afraid to get back on a motorcycle after the second accident, and that she had not been a passenger since then, and would never again be a passenger.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Ms. Azam's attempts to explain that she did not understand the question at the examination for discovery were not credible. The question was straightforward: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did you first start riding your motorcycle after the second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my second accident? Like a year later.</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 you didn't ride at all in2010?</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I couldn't.</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is that both as a rider and a passenger?</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Ms. Azam denied telling Dr. Stewart she would never ride as a passenger again, but Dr. Stewart confirmed she had provided the information contained in his report. I accept Dr. Stewart's evidence in that regard. Dr. Stewart testified the fact he put Ms. Azam's response to his question regarding whether she had been a passenger on a motorcycle since the 2010 accident, in quotation marks in his report, indicates it was a direct quote from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my view, the inconsistencies the defendants have identified are significant, and Ms. Azam's evidence regarding the ongoing impact of the injuries has to be viewed cautiously.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also do not accept Ms. Azam's evidence regarding the extent of her disabilities. She was able to go to Europe in the spring of 2011. In January 2012, she was working at three jobs. At the time Ms. Azam saw Dr. Stewart in August 2012, she was working more than full time hours although she was reporting increased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While Ms. Azam reports she has had constant back pain that has not improved since February 2013 when she slipped on the ice, she obtained two jobs in Meadow Lake, Saskatchewan, and was working full time at the hospital before a flare-up of her back pain a few months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physical examination, Dr. Stewart and Dr. Gouws both found that Ms. Azam's range of motion in her back was quite good, with the exception of her lumbar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There were some friends and co-workers who testified regarding changes in Ms. Azam from pre-accident to post-accident. However, none of those individuals have any ongoing or regular contact with Ms. Azam.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Lakh Khaira testified that he met Ms. Azam in high school, where they were acquaintances. He got to know her as a friend after they went to the same motorcycle school to get their licenses. While Ms. Azam lived in Vancouver, he would see her fairly regularly on motorcycle rides and other activities. Mr. Khaira was with Ms. Azam when the first accident occurred. He heard about the second accident from Ms. Azam and visited her in Kelowna while Mr. Jensen was in jail. Ms. Azam seemed to be agitated and riled up easily. Mr. Khaira testified that she started gaining weight after the second accident and became more emotional, and did not seem happy. However, he had not seen Ms. Azam much since she moved to Kelowna. In my view, it is not surprising that Mr. Khaira found Ms. Azam more emotional and unhappy when he visited Kelowna while Mr. Jensen was in jail.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Neither co-worker saw her after the accident. They testified they had not observed Ms. Azam having any physical restrictions when they worked with her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Darren Smith, another friend who rode with Ms. Azam, met her in the spring of 2009. Prior to the first accident, he described Ms. Azam as healthy and active. After the first accident she changed, but more so after the second accident. Mr. Smith did not have much contact with Ms. Azam after she moved to Kelowna, but he visited her there when Mr. Jensen was in jail.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As stated earlier, Ms. Azam has not established that the ongoing psychiatric or psychological problems she is suffering from are caused by the motor vehicle accidents. However, she has established that the accidents caused physical injuries, including to her low back, with ongoing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Having considered the extent of the injuries, the fact that she is still having chronic pain after the accident which flares up from time to time, the guarded prognosis for full recovery, as well as the authorities I was provided, I am of the view that the appropriate award for non-pecuniary damages would be $100,000, if the accidents were the only cause of Ms. Azam's ongoing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However, Ms. Azam must be put back in the position she would have been in if the two motor vehicle accidents had not occurred. The evidence establishes that Ms. Azam suffered from a pre-existing symptomatic spine condition which had caused her periodic back pain in the 10 years prior to the first accident. Although it was not symptomatic right before the first accident, is reasonable to infer Ms. Azam would likely continue to suffer from periodic back pain, regardless of the accidents. Having taken that into consideration, I am of the view that the appropriate award for non-pecuniary damages is $85,000.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Of that amount, $10,000 is attributable to the divisible injuries in the second motor vehicle accident, consisting of Ms. Azam's fractured wrist and injuries to her knees.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What Amount, If Any, Should Be Awarded for the Loss of Past and Future Earnings or Income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Loss of Income or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Ms. Azam advances a claim for past loss of income in the amount of $133,000, based on the fact she would have continued full time in her position as a grocery clerk at Save-On-Foods. Ms. Azam says her plan at the time of the 2009 accident was to work full time as a grocery clerk.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defendants in the motor vehicle accidents take the position that the net past loss income from the first accident is $5,416, and the potential loss from the second accident is $53,336. The defendants submit that Ms. Azam's maximum net past income loss attributable to the two accidents is $58,753.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the court confirmed the legal test for past loss of earning capacity and future loss of earning capacity is the same. A plaintiff must prove that an injury had an effect on her ability to earn income on a balance of probabilities, but once that has been established, hypothetical events need not be proved on a balance of probabilities. Rather, they are to be given weight based on their likelihood.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The plaintiff must prove on a balance of probabilities that the cause of the past or future hypothetical event resulting in the loss was because of the injuries the plaintiff sustained in the accidents: </w:t>
      </w:r>
      <w:r>
        <w:rPr>
          <w:rFonts w:ascii="arial" w:eastAsia="arial" w:hAnsi="arial" w:cs="arial"/>
          <w:i/>
          <w:color w:val="000000"/>
          <w:sz w:val="20"/>
          <w:lang w:val="en-US" w:eastAsia="en-US" w:bidi="ar-SA"/>
        </w:rPr>
        <w:t>Smith; Athey</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at para. 41, aff'd </w:t>
      </w:r>
      <w:hyperlink r:id="rId600"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In an action involving a motor vehicle accident, a plaintiff is only entitled to recover the net amount of her damages: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Gordon v. Lines</w:t>
      </w:r>
      <w:r>
        <w:rPr>
          <w:rFonts w:ascii="arial" w:eastAsia="arial" w:hAnsi="arial" w:cs="arial"/>
          <w:color w:val="000000"/>
          <w:sz w:val="20"/>
          <w:lang w:val="en-US" w:eastAsia="en-US" w:bidi="ar-SA"/>
        </w:rPr>
        <w:t xml:space="preserve">, </w:t>
      </w:r>
      <w:hyperlink r:id="rId601"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paras. 152-186.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As stated earlier, Ms. Azam saw Dr. Weiss in December 2010, and he recommended a gradual return to work, but she felt she was not ready at that point. As of June 2011, Ms. Azam was advised there were no identifiable medical contra-indications preventing her from returning to a sedentary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Dr. Remick also recommended Ms. Azam return to work in June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Ms. Azam then moved to Kelowna in October 2011, and began work in January 2012. The defendants submit that the period between June and December 2011 should not be allowed for income loss as Ms. Azam moved to Kelowna for lifestyle reasons, and to improve her relationship with Mr. Jensen. The defendants also submit some time should be deducted for recovery from her suicide attempt and the March 2011 assault in which she was injured. The defendants submit any income loss after January 2012 should not be attributed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 early 2013, Ms. Azam slipped on ice, which aggravated her back and caused her to take time off work. The defendants submit that time is not attributable to them. As well, the defendants say that Ms. Azam chose to move to Meadow Lake, Saskatchewan, in July 2013, for a business opportunity. That did not work out and she was able to obtain some part time employment at the Co-op pharmacy and Meadow Lake hospital. At that time, Ms. Azam was working all of the hours available to her. The defendants take the position that from the time Ms. Azam moved to Meadow Lake her income loss is not attributable to the accidents, but is a reflection of her choice to move to another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Ms. Azam's past income loss claim is based on the proposition she would continue to work full time as a grocery clerk at Save-On-Foods. Based on the evidence, it is far from clear that Ms. Azam would have continued to work as a grocery clerk in Vancouver if the accidents had not occurred. The evidence is that prior to the first accident she took an above average amount of time off work for various illnesses and family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It appears from the evidence that Ms. Azam places family concerns above work, in that she has taken time off work when her father was ill, and when several of her extended family have died or been ill. Although Ms. Azam asserts her move to Kelowna was for economic reasons, there is evidence she moved there for lifestyle reasons, i.e. because she liked it there and she thought it would improve her relationship with Mr. Jensen. There is also evidence she moved to Meadow Lake for family reasons, i.e. Mr. Jensen had an opportunity to take over his father's bakery. Although it did not work out as planned, the couple has stayed there for employment opportunities for both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Finally, the evidence is that it was recommended she return to work in June 2011 in a sedentary position, and she took no steps to find a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While I agree that Ms. Azam has established a likelihood of a past loss of capacity to earn income, I do not agree it is for the amount claimed by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Having considered all of the evidence, including the fact that Ms. Azam could have pursued employment after June 2011, I am of the view that appropriate award for loss of past income and income earning capacity is the net amount of $65,000.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Future Income or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turn next to the issue of future loss of earning capacity. Ms. Azam advances a claim for $325,000 under this head of damages on the basis she would have worked full time at Save-On-Foods. She is now limited in her ability to earn income from physically demanding jobs. Ms. Azam takes the position her residual ability to earn income will result in an annual loss of earning of approximately $15,000 per year. The current value of that loss is $350,640. The amount being claimed takes into account positive and negative contingencies and looking at her loss as an assessment, not an arithmetical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defendants in the motor vehicle accidents take the position that the evidence supports a finding that if Ms. Azam's back pain is attributable to the accidents, then her loss of income earning should be assessed on the capital asset approach, with an award in the range equivalent to one year's income, or $45,000.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the court noted that the first inquiry in dealing with a claim of this nature is whether there is a substantial possibility of future income loss.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w:t>
      </w:r>
      <w:hyperlink r:id="rId320" w:history="1">
        <w:r>
          <w:rPr>
            <w:rFonts w:ascii="arial" w:eastAsia="arial" w:hAnsi="arial" w:cs="arial"/>
            <w:i/>
            <w:color w:val="0077CC"/>
            <w:sz w:val="20"/>
            <w:u w:val="single"/>
            <w:shd w:val="clear" w:color="auto" w:fill="FFFFFF"/>
            <w:lang w:val="en-US" w:eastAsia="en-US" w:bidi="ar-SA"/>
          </w:rPr>
          <w:t>[2007] B.C.J. No. 499</w:t>
        </w:r>
      </w:hyperlink>
      <w:r>
        <w:rPr>
          <w:rFonts w:ascii="arial" w:eastAsia="arial" w:hAnsi="arial" w:cs="arial"/>
          <w:color w:val="000000"/>
          <w:sz w:val="20"/>
          <w:lang w:val="en-US" w:eastAsia="en-US" w:bidi="ar-SA"/>
        </w:rPr>
        <w:t xml:space="preserve">, by Bauman J.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w:t>
      </w:r>
      <w:hyperlink r:id="rId602" w:history="1">
        <w:r>
          <w:rPr>
            <w:rFonts w:ascii="arial" w:eastAsia="arial" w:hAnsi="arial" w:cs="arial"/>
            <w:i/>
            <w:color w:val="0077CC"/>
            <w:sz w:val="20"/>
            <w:u w:val="single"/>
            <w:shd w:val="clear" w:color="auto" w:fill="FFFFFF"/>
            <w:lang w:val="en-US" w:eastAsia="en-US" w:bidi="ar-SA"/>
          </w:rPr>
          <w:t>[2008] B.C.J. No. 48</w:t>
        </w:r>
      </w:hyperlink>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w:t>
      </w:r>
      <w:hyperlink r:id="rId603" w:history="1">
        <w:r>
          <w:rPr>
            <w:rFonts w:ascii="arial" w:eastAsia="arial" w:hAnsi="arial" w:cs="arial"/>
            <w:i/>
            <w:color w:val="0077CC"/>
            <w:sz w:val="20"/>
            <w:u w:val="single"/>
            <w:shd w:val="clear" w:color="auto" w:fill="FFFFFF"/>
            <w:lang w:val="en-US" w:eastAsia="en-US" w:bidi="ar-SA"/>
          </w:rPr>
          <w:t>[2010] B.C.J. No. 168</w:t>
        </w:r>
      </w:hyperlink>
      <w:r>
        <w:rPr>
          <w:rFonts w:ascii="arial" w:eastAsia="arial" w:hAnsi="arial" w:cs="arial"/>
          <w:color w:val="000000"/>
          <w:sz w:val="20"/>
          <w:lang w:val="en-US" w:eastAsia="en-US" w:bidi="ar-SA"/>
        </w:rPr>
        <w:t xml:space="preserve">,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[1990] B.C.J. No. 1158</w:t>
        </w:r>
      </w:hyperlink>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The former approach will be more useful when the loss is more easily measurable,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The latter approach will be more useful when the loss is not as easily measurable, as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[1995] B.C.J. No. 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A plaintiff may indeed be able to prove that there is a substantial possibility of a future loss of income despite having returned to his or her usual employment. That was the case in both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But, as Donald J.A. said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an inability to perform an occupation that is not a realistic alternative occupation is not proof of a future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the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the court discussed the assessment of an award for a loss of future income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In my view comparator cases are of limited utility in the assessment of awards for future losses, generally. It is well settled that an individual's earning capacity is a capital asset: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at para. 63. An award for future loss of earning capacity thus represents compensation for a pecuniary loss. It is true that the award is an assessment, not a mathematical calculation. Nevertheless, the award involves a comparison between the likely future of the plaintiff if the accident had not happened and the plaintiff's likely future after the accident has happened: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at para. 8. The degree of impairment to the plaintiff's earning capacity depends upon the type and severity of the plaintiff's injuries and the nature of the anticipated employment at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In valuing the award, the judge must consider the likely duration of the plaintiff's prospective working life and must account for negative and positive contingencies which are unique to each case. The final award must be fair and reasonable in all the circumstances. This assessment requires a very fact-intensive, case-specific inquiry. I am persuaded by what Macfarlane J.A. said in </w:t>
      </w:r>
      <w:r>
        <w:rPr>
          <w:rFonts w:ascii="arial" w:eastAsia="arial" w:hAnsi="arial" w:cs="arial"/>
          <w:i/>
          <w:color w:val="000000"/>
          <w:sz w:val="20"/>
          <w:lang w:val="en-US" w:eastAsia="en-US" w:bidi="ar-SA"/>
        </w:rPr>
        <w:t>Lawin v. Jones</w:t>
      </w:r>
      <w:r>
        <w:rPr>
          <w:rFonts w:ascii="arial" w:eastAsia="arial" w:hAnsi="arial" w:cs="arial"/>
          <w:color w:val="000000"/>
          <w:sz w:val="20"/>
          <w:lang w:val="en-US" w:eastAsia="en-US" w:bidi="ar-SA"/>
        </w:rPr>
        <w:t xml:space="preserve">, </w:t>
      </w:r>
      <w:hyperlink r:id="rId607" w:history="1">
        <w:r>
          <w:rPr>
            <w:rFonts w:ascii="arial" w:eastAsia="arial" w:hAnsi="arial" w:cs="arial"/>
            <w:i/>
            <w:color w:val="0077CC"/>
            <w:sz w:val="20"/>
            <w:u w:val="single"/>
            <w:shd w:val="clear" w:color="auto" w:fill="FFFFFF"/>
            <w:lang w:val="en-US" w:eastAsia="en-US" w:bidi="ar-SA"/>
          </w:rPr>
          <w:t>98 B.C.L.R. (2d) 126</w:t>
        </w:r>
      </w:hyperlink>
      <w:r>
        <w:rPr>
          <w:rFonts w:ascii="arial" w:eastAsia="arial" w:hAnsi="arial" w:cs="arial"/>
          <w:color w:val="000000"/>
          <w:sz w:val="20"/>
          <w:lang w:val="en-US" w:eastAsia="en-US" w:bidi="ar-SA"/>
        </w:rPr>
        <w:t xml:space="preserve">, </w:t>
      </w:r>
      <w:hyperlink r:id="rId607" w:history="1">
        <w:r>
          <w:rPr>
            <w:rFonts w:ascii="arial" w:eastAsia="arial" w:hAnsi="arial" w:cs="arial"/>
            <w:i/>
            <w:color w:val="0077CC"/>
            <w:sz w:val="20"/>
            <w:u w:val="single"/>
            <w:shd w:val="clear" w:color="auto" w:fill="FFFFFF"/>
            <w:lang w:val="en-US" w:eastAsia="en-US" w:bidi="ar-SA"/>
          </w:rPr>
          <w:t>[1994] B.C.J. No. 2107</w:t>
        </w:r>
      </w:hyperlink>
      <w:r>
        <w:rPr>
          <w:rFonts w:ascii="arial" w:eastAsia="arial" w:hAnsi="arial" w:cs="arial"/>
          <w:color w:val="000000"/>
          <w:sz w:val="20"/>
          <w:lang w:val="en-US" w:eastAsia="en-US" w:bidi="ar-SA"/>
        </w:rPr>
        <w:t xml:space="preserve"> at para. 35, about the lack of utility in comparisons to other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fact that we cannot foresee the future, it is impossible in a case like this to find any comfort in resort to other cases where the future may be more predictable. Judges will differ, perhaps widely, in making assessments in cases which have been said to depend on what may be seen in a crystal ball. What is certain is that a trial judge who hears and observes the witnesses is in a much better position than an appellate judge to come to a conclusion as to what is fair and reasonable in the circumstances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Ms. Azam asserts that she has demonstrated there is a real and substantial possibility of a future event leading to an income loss. She says based on the expert evidence, it is apparent she has functional impairments which will likely impact her ability to perform any physical jobs, and in particular the physical aspects of any grocery clerk or pharmacy assistant job. Ms. Azam points to the fact both Dr. Gouws and Louis Craig, a functional capacity evaluator, concluded that as a result of her neck, back and shoulder problems, she has diminished capacities.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Ms. Azam submits the reason she moved to Kelowna was economic in nature. However, as set out above, Ms. Azam's evidence in direct was she moved to Kelowna for family and lifestyle reasons. When asked what led her to the decision to move, her evidence was that she and Mr. Jensen were fighting and had tested their landlady's patience. They were on the verge of eviction and needed more space. She liked Kelowna and they were able to rent a carriage house overlooking the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do not agree with the submission that Ms. Azam has demonstrated significant determination in returning to work. Despite recommendations that she return to work in June 2011 to a more sedentary job, there is no evidence that she took any steps to find employment until her long-term disability had run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However, given the expert evidence that Ms. Azam's back and neck problems are chronic and the guarded prognosis, I find she has established a real and substantial possibility she is not able to return to her former employment as a grocery store clerk, or any other physically demanding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Turning next to the assessment of her loss, it is my view that since Ms. Azam is able to work at other positions, but has chosen not to work continuously, the earnings approach is not appropriate, and the capital asset approach should be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11, the court confirmed that the approach to be taken for a future loss of earning capacity in situations where the loss, though proven, is not measurable in a pecuniary way, is the one set out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at p.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In conducting the analysis under this head, the Court then has to consider the contingences, both positive and negative, which are applicable in arriving at a final sum.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In my view, Ms. Azam has established that she has been rendered less capable overall from earning income from all types of employment, she is less marketable and attractive as an employee, and she may not be able to take advantage of all job opportunities. As well, it was evident from her testimony that Ms. Azam is less valuable to herself as a result of her diminished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However, there are other contingencies to be factored in. As stated earlier, it is likely that Ms. Azam would have had periodic back pain regardless of the accidents, which would likely have limited her ability to work at physical jobs even if the accidents had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evidence is that Ms. Azam is able to work as a pharmacy technician in a hospital setting, and has periodically worked full time since the accidents. She is currently working at Meadow Lake Hospital, earning $34 per hour, which is higher than her hourly rate as a grocery clerk if she had remained at Save-On-Foods. Ms. Azam plans to complete the pharmacy bridging program which will give her the necessary certification to remain qualified as a pharmacy technician in British Columbia. Her evidence is that she and Mr. Jensen hope to move back to the Lower Mainland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Having considered all of the evidence, including the fact that some of Ms. Azam's loss of income earning capacity is due to factors unrelated to the injuries sustained in the accident, it is my view that the appropriate award for future loss of earning capacity is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Ms. Azam advances a claim for cost of future care in the amount of $231,745, based on a report prepared by Tracy Berry, an expert in the area of occupational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defendants in the motor vehicle accidents submit that many of the items contained in Ms. Berry's report are neither medically justified nor reasonable. They take the position that the appropriate award for cost of future care ranges from $9,124 to $22,962.50.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Cost of future care is established if there is a medical justification for the claim, and the claim is reasonable: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at paras. 62-63.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The opinion of a physician is not necessary to ground an award for cost of future care: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paras. 36-49.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Measures that provide some solace but are not likely to result in medical improvement ought to be compensated for under the head of general damages rather than an expense that is compensable as a cost of future care: </w:t>
      </w:r>
      <w:r>
        <w:rPr>
          <w:rFonts w:ascii="arial" w:eastAsia="arial" w:hAnsi="arial" w:cs="arial"/>
          <w:i/>
          <w:color w:val="000000"/>
          <w:sz w:val="20"/>
          <w:lang w:val="en-US" w:eastAsia="en-US" w:bidi="ar-SA"/>
        </w:rPr>
        <w:t>Harrington v. Sangha</w:t>
      </w:r>
      <w:r>
        <w:rPr>
          <w:rFonts w:ascii="arial" w:eastAsia="arial" w:hAnsi="arial" w:cs="arial"/>
          <w:color w:val="000000"/>
          <w:sz w:val="20"/>
          <w:lang w:val="en-US" w:eastAsia="en-US" w:bidi="ar-SA"/>
        </w:rPr>
        <w:t xml:space="preserve">, </w:t>
      </w:r>
      <w:hyperlink r:id="rId608" w:history="1">
        <w:r>
          <w:rPr>
            <w:rFonts w:ascii="arial" w:eastAsia="arial" w:hAnsi="arial" w:cs="arial"/>
            <w:i/>
            <w:color w:val="0077CC"/>
            <w:sz w:val="20"/>
            <w:u w:val="single"/>
            <w:shd w:val="clear" w:color="auto" w:fill="FFFFFF"/>
            <w:lang w:val="en-US" w:eastAsia="en-US" w:bidi="ar-SA"/>
          </w:rPr>
          <w:t>2011 BCSC 1035</w:t>
        </w:r>
      </w:hyperlink>
      <w:r>
        <w:rPr>
          <w:rFonts w:ascii="arial" w:eastAsia="arial" w:hAnsi="arial" w:cs="arial"/>
          <w:color w:val="000000"/>
          <w:sz w:val="20"/>
          <w:lang w:val="en-US" w:eastAsia="en-US" w:bidi="ar-SA"/>
        </w:rPr>
        <w:t xml:space="preserve"> at para. 153. As well, services that a plaintiff has not used and not sought out in the past should not be awarded as the plaintiff will be unlikely to avail herself of them: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609"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at paras. 73-74.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Ms. Azam seeks the following under this head of damages: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68" type="#_x0000_t75" style="width:408.75pt;height:468.75pt">
            <v:imagedata r:id="rId610"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defendants agree that Ms. Azam should attend a pain clinic. However, the defendants say the appropriate cost for the pain clinic in Saskatchewan is $1,200 to $1,650 for her transportation and meals, as the pain clinic itself is publicly funded. However, there is no evidence that Ms. Azam can attend that pain clinic, or evidence about the cost. The only evidence of the cost for a pain clinic is the discounted amount being claimed by Ms. Azam of $10,000. Accordingly, I am of the view the amount of $10,000 is an appropriate award for this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defendants agree that Ms. Azam should attend for some psychological counselling, but say $1,200 to $1,800 is the appropriate amount for the 12 to 18 sessions recommended by Dr. Smith. Having found that the accidents did not cause Ms. Azam's ongoing psychological problems, it is my view the appropriate amount for this item is $1,800, in order to assist Ms. Azam in dealing with her chronic pain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Ms. Azam puts forwards claims for kinesiology, and yoga or Pilates. Ms. Azam's evidence is that she receives community physiotherapy at no cost. She testified her current physiotherapy consists of performing daily exercises. Ms. Berry recommends yoga and Pilates, but Ms. Azam has not sought out either form of exercise since the accidents. In my view, some allowance should be made for exercise since all the experts have recommended it. In my view, the appropriate award under this head is $1,500, which allows her to have some training in exercises from a kinesiologist and a portion of a gym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Ms. Azam is claiming the costs of various medications. At present she is taking minimal medication because she is pregnant. Most of the experts recommend that Ms. Azam should avoid narcotic-type pain medications, given their addictive qualities. The defendants submit that the appropriate amount for medications in the future is in the range of $1,464 to $2,928. Dr. Smith agrees Ms. Azam will likely need ongoing anti-depressant medication indefinitely. However, as earlier stated, Ms. Azam's ongoing psychological problems are not caused by the accidents. In my view, an appropriate amount for future medication, including pain killers and analgesics, is $7,500.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Ms. Azam is advancing a claim for orthotics. Dr. Stewart testified Ms. Azam has developed plantar fasciitis secondary to her injuries as a result of her weight gain. However, the evidence is Ms. Azam had flat feet and used orthotics prior to the accident. As a result, I find this item is not reasonably required as a result of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Ms. Azam advances a claim for homemaking in the amount of $150,000. Ms. Azam testified that she and Mr. Jensen share many of the household tasks, and she continues to have difficulty with vacuuming, cleaning the toilet and other household chores that have heavier physical demands. The defendants submit that some recognition must be made for Ms. Azam's actual circumstances which are that she and Mr. Jensen share the household chores. They point to the fact that Ms. Azam has not hired anyone to assist her since the first accident, even during the times she has been working. The defendants submit the amount of $7,500 is appropriate under this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While there is insufficient evidence to justify a homemaking award in the amount claimed, it is my view some award should be made to assist Ms. Azam in the heavier chores. Under this head of damage, I am of the view that an award of $15,000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Ms. Azam also advances a claim for child care in the future. Dr. Stewart has provided an opinion that assistance with child care may be required until a child is two years old. Ms. Berry recommends 20 hours per week or $24,960 for two children. However, as argued by the defendants, the amount being claimed does not take into account any assistance from the father. It is also unclear that Ms. Azam will have two children, as she is just pregnant with her first. In my view, it is likely that Ms. Azam will require some assistance in this regard. An appropriate amount to award under this heading is $7,500.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Having considered all of the evidence, I have concluded that the appropriate award for future care for both one time and annualized expenses is the amount of $43,300.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Special damages have been agreed to in the amount of $4,049.50.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In summary, I have awarded the following amounts payable jointly and severally by Mr. Bilaya and Mr. Jensen as the damages suffered in the two motor vehicle accidents are indivisible, with the exception of the wrist injury and the injury to Ms. Azam's knees: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377"/>
        <w:gridCol w:w="303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2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297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2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income and income earning capacity:</w:t>
            </w:r>
          </w:p>
        </w:tc>
        <w:tc>
          <w:tcPr>
            <w:tcW w:w="297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2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loss of income earning capacity:</w:t>
            </w:r>
          </w:p>
        </w:tc>
        <w:tc>
          <w:tcPr>
            <w:tcW w:w="297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2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cost of care:</w:t>
            </w:r>
          </w:p>
        </w:tc>
        <w:tc>
          <w:tcPr>
            <w:tcW w:w="297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$43,300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2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297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$4,049.50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2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$287,349.50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Ms. Azam is also entitled to $10,000 in non-pecuniary damages for the divisible injuries arising from the second motor vehicle accident against Mr. Jensen, for a total damage award from the two motor vehicle accidents of $296,749.50.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 will leave it to the parties to deal with any tax implications. If they cannot agree, they are liberty to make submissions. Ms. Azam is entitled to pre-judgment interest on both the past loss of income and the special damages. As well, Ms. Azam is entitled to her costs at Scale B in the two actions arising out of the motor vehicle accidents, subject to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Ms. Azam is also entitled to judgment against Mr. Jensen for assault. Ms. Azam takes the position that the appropriate award for general damages is $10,000, for the swollen jaw and bruising that resulted from the assaults. As well, she seeks recovery of $1,811.53 under the </w:t>
      </w:r>
      <w:r>
        <w:rPr>
          <w:rFonts w:ascii="arial" w:eastAsia="arial" w:hAnsi="arial" w:cs="arial"/>
          <w:i/>
          <w:color w:val="000000"/>
          <w:sz w:val="20"/>
          <w:lang w:val="en-US" w:eastAsia="en-US" w:bidi="ar-SA"/>
        </w:rPr>
        <w:t>Health Care Costs Recovery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2008, c. 27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Ms. Azam made no submissions regarding what, if any, amount should be awarded for psychological problems stemming from the assaults. As set out earlier, I accepted Dr. Stewart's opinion that the likely cause of Ms. Azam's ongoing psychological problems is the conflict in her relationship and the assaults, and was not attributable to either motor vehicle accident. Accordingly, I make no award for general damages in regards to Ms. Azam's ongoing psychological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Ms. Azam is entitled to the amount of $10,000 for non-pecuniary damages arising from the divisible injuries, which are the physical injuries of a swollen jaw, and bruising.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As well, she is entitled to the amount of $1,811.53 for her health care costs associated with the assaults. Finally, Ms. Azam is entitled to costs against Mr. Jensen in the action for assault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L.B. GEROW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9" style="position:absolute;z-index:2518855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11"/>
          <w:headerReference w:type="default" r:id="rId612"/>
          <w:footerReference w:type="even" r:id="rId613"/>
          <w:footerReference w:type="default" r:id="rId614"/>
          <w:headerReference w:type="first" r:id="rId615"/>
          <w:footerReference w:type="first" r:id="rId61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17" w:history="1">
        <w:r>
          <w:rPr>
            <w:rFonts w:ascii="arial" w:eastAsia="arial" w:hAnsi="arial" w:cs="arial"/>
            <w:b/>
            <w:bCs/>
            <w:i/>
            <w:color w:val="0077CC"/>
            <w:kern w:val="32"/>
            <w:sz w:val="28"/>
            <w:szCs w:val="32"/>
            <w:u w:val="single"/>
            <w:shd w:val="clear" w:color="auto" w:fill="FFFFFF"/>
            <w:lang w:val="en-US" w:eastAsia="en-US" w:bidi="ar-SA"/>
          </w:rPr>
          <w:t>Bennett v. Bell, [2019] B.C.J. No. 2145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Vernon,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D.A. Betton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4-8, 11-15, 18-22, 25-29,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July 3-6, 20, October 25,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January 22-25, April 9, 26,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12,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S48702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Vernon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2145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1925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Christopher John Bennett, Plaintiff, and Thomas Austin Bell, Defendant,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0"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6" w:name="Keywords_29"/>
      <w:bookmarkEnd w:id="196"/>
      <w:r>
        <w:rPr>
          <w:rFonts w:ascii="arial" w:eastAsia="arial" w:hAnsi="arial" w:cs="arial"/>
          <w:b/>
          <w:color w:val="000000"/>
          <w:sz w:val="20"/>
          <w:lang w:val="en-US" w:eastAsia="en-US" w:bidi="ar-SA"/>
        </w:rPr>
        <w:t>Damages — Physical and psychological injuries — Physical injuries — Body injuries — Neck — Head injuries — Jaw — Concussion — Leg injuries — Foot — Fractures — Fibromyalgia or chronic pain — Psychological injuries — Cognitive impairment — Depression — Third party claims — Persons entitled to claim — Spouse — Recoverable losses — Cost of personal care — Action by 52-year-old plaintiff for damages for personal injuries suffered in motor vehicle accident in 2011 allowed — Liability for head-on collision was admitted — Plaintiff suffered neck injury, foot fracture, jaw injury, mild traumatic brain injury, depression, cognitive impairments, and sleep disturbance — Tinnitus and carpal tunnel syndrome were not caused by accident — Plaintiff had not worked as teacher since 2015 — Plaintiff was awarded non-pecuniary damages of $225,000, reduced by 10 per cent, $383,830 for past loss of income, $765,000 for loss of future earning capacity, $18,000 in-trust for wife, and $75,000 for loss of handyman capacity.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Calculation — Contingencies — Considerations — Pre-existing medical conditions — Cost of future care — Loss of earning capacity — Special damages — Past loss of income — Employment income — Expenses and expenditures — Non-pecuniary loss — Pain and suffering — Action by 52-year-old plaintiff for damages for personal injuries suffered in motor vehicle accident in 2011 allowed — Liability for head-on collision was admitted — Plaintiff suffered neck injury, foot fracture, jaw injury, mild traumatic brain injury, depression, cognitive impairments, and sleep disturbance — Tinnitus and carpal tunnel syndrome were not caused by accident — Plaintiff had not worked as teacher since 2015 — Plaintiff was awarded non-pecuniary damages of $225,000, reduced by 10 per cent, $383,830 for past loss of income, $765,000 for loss of future earning capacity, $18,000 in-trust for wife, and $75,000 for loss of handyman capacity.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7" w:name="Case Summary_27"/>
            <w:bookmarkEnd w:id="19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52-year-old plaintiff for damages for personal injuries suffered in a motor vehicle accident in 2011. Liability for the head-on collision was admitted. At the time of the accident the plaintiff was a teacher and volleyball coach, was completing renovations to his family's home and helped a friend's granite countertop business. The plaintiff suffered a neck injury, a foot fracture, a jaw injury, and a mild traumatic brain injury. He also experienced depression, cognitive impairments and sleep disturbance. He had undergone seven surgeries, including neck fusion surgery, foot surgery, two surgeries for carpal tunnel syndrome and ear surgery, since the accident as well as received physiotherapy, massage therapy, acupuncture, and trigger point injections. He acknowledged asymptomatic neck issues and experiencing hearing loss pre-accident but denied any pre-existing tinnitus. The plaintiff attempted to return to teaching after the accident but had not worked since 2015.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8" w:name="Holdings of Court_24"/>
            <w:bookmarkEnd w:id="198"/>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had not established his tinnitus or carpal tunnel syndrome were caused by the accident. Chronic pain from the injuries attributable to the accident was the primary contributor to the plaintiff's ongoing limitations and the primary source of his mental injuries. The plaintiff's injuries had had a devastating impact on his quality of life. The plaintiff's non-pecuniary damages were assessed at $225,000, reduced by 10 per cent due to the impact of unrelated injuries. There was a real and substantial possibility the plaintiff would have moved into an administrative role. The plaintiff's past loss of teaching income was fixed at $363,830, which included a 25 per cent negative contingency reduction regarding the likelihood of him moving into administration. He was awarded $20,000 for lost income from the granite countertop business. The plaintiff had not established he lost rental income because his injuries had prevented him from renovating his rental properties. The plaintiff was effectively disabled from teaching and generally from any meaningful employment. His loss of future earning capacity was fixed at $765,000, after deducting 10 per cent for negative contingencies. He was awarded $75,000 for his loss of handyman capacity. An in-trust claim for his wife's services was fixed at $18,000. There was no basis for an award for long-term Botox treatment. The plaintiff was not entitled to special damages attributable to his ear condition.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9" w:name="Counsel_28"/>
      <w:bookmarkEnd w:id="19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1"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R.P. Barton, B. Kirkpatrick.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ICBC: J. Hemmerling, M. Prah.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0" w:name="Judgment_29"/>
      <w:bookmarkEnd w:id="200"/>
      <w:r>
        <w:pict>
          <v:line id="_x0000_s1172" style="position:absolute;z-index:2517913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1" w:name="D.A. BETTON J."/>
            <w:bookmarkEnd w:id="201"/>
            <w:r>
              <w:rPr>
                <w:rFonts w:ascii="arial" w:eastAsia="arial" w:hAnsi="arial" w:cs="arial"/>
                <w:b/>
                <w:color w:val="000000"/>
                <w:sz w:val="30"/>
                <w:lang w:val="en-US" w:eastAsia="en-US" w:bidi="ar-SA"/>
              </w:rPr>
              <w:t>D.A. BETTON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an assessment of damages for injuries suffered in a motor vehicle collision that occurred on January 11, 2011 (the "MVC").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defendant has taken no part in the proceedings. ICBC is the third party and has conducted the defence of the plaintiff's claim. The third party acknowledges the MVC was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was born July 2, 1966, placing him at 44 years of age at the time of the MVC.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He had been a teacher since 1999. All of that time was spent in School District No. 22 (the "School District") and primarily at Kalamalka Secondary School ("Kal Secondary") except for two absences to teach overseas. In 2007, after the second absence, he returned to Kal Secondary and remained there until the MVC. His specific teaching assignment at the time was physical education and mathematics.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MVC was a head-on collision. The plaintiff was in a Dodge Durango SUV and the defendant was in a full-sized pickup. The defendant crossed into the plaintiff's lane and the head-on collision was offset such that the passenger sides of each vehicles' front-end were the primary points of impact. At the time, the plaintiff was returning to Kal Secondary from lunch at his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grew up in Vernon on a "hobby farm".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a student, the plaintiff was active in sports including track and field. He excelled, however, in volleyball. He continued to play volleyball after his graduation from high school. He played for his high school and college teams, on provincial teams and competed nationally.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started coaching volleyball soon after high school, which included coaching his now wife Michelle.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While he considered pursuing volleyball after graduation, he decided to work in construction. That led to work in the oil patch for a time where he became a purchasing agent. He did a variety of other jobs including working with the City of Vernon and the Vernon Jubilee Hospital. He worked part-time as a custodian at the hospital until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He married Michelle in 1991. They have two adult children: Amanda, age 24, and Nathan, age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After marrying Michelle they both decided to return to school and pursue careers in education. They went to college together until Michelle became pregnant with Amanda and interrupted her post-secondary education. The plaintiff carried on and obtained his degree in 1999. Thereafter, Michelle set about completing her degree. She currently works as a behavioural specialist with the School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While pursuing his post-secondary education, the plaintiff played college volleyball and also worked.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1994, the Bennetts bought a home in the Mission Hill area of Vernon and the plaintiff used his acquired construction and renovation skills to improve it. Two years later they traded that home for the plaintiff's family hobby farm. They then renovated that home and sold it in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began teaching with the School District as a teacher on call ("TOC") in April 1999, and obtained full-time employment in the fall of 1999 at Kal Secondary. At that time, he was assigned to teach computer science and computer-aided drafting. The plaintiff became the department head of "Applied Skills". He also coached senior boys' volleyball.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Michelle obtained her Bachelor of Education in 2002 and began working with the School District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two took a leave of absence from the School District in 2003 and went to Dubai to teach for two years. There, the plaintiff taught physical education and computer classes. He became active in coaching there. While on a summer return trip from Dubai they purchased a cottage or cabin on Okanagan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Upon their permanent return from Dubai they lived in that cottage and did renovations to it. The plaintiff acquired a teaching position in September 2005 at Vernon Senior Secondary ("VSS") school in the high-performance program. He also resumed coaching volleyball.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and Michelle tried teaching abroad again in 2006 but contract issues resulted in that being an abbreviated absence. On their return to Vernon there were limited teaching positions available. Michelle was able to secure a full-time position and the plaintiff took a TOC position. He supplemented his teaching schedule by working in the construction industry with a local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spring of 2007, the Bennetts acquired a residence on Uplands Drive in Coldstream intending to do renovations. Initially those were done while the family lived in the cabin on Okanagan Lake. They then moved into the residence and continued renovations on both it and the cabin. The home was purchased with the intent of living in it until the renovations were completed and then to sell it in hopes of a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the time of the MVC, the Bennetts remained in the Uplands Drive property and the renovations for the property were not complete. Since the MVC, the Bennetts made the decision to sell the cabin on Okanagan Lake. That was completed in early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did continue working on the renovations after the MVC. Ultimately that home was sold in the summer of 2014 and the Bennetts then purchased a small acreage on McLennan Road in the BX area near Vernon. They have undertaken renovations there as well which, at the time of trial, were ongoing.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addition to the renovations on their own homes, the plaintiff was involved in a small business enterprise with a fellow teacher, Corrado Filice. Mr. Filice had family connections to a granite countertop business in Alberta which gave him access to materials. He engaged the plaintiff to help him with installations in the Vernon area. In some circumstances, the plaintiff took granite counters for use in his personal projects as payment. No records were kept of the plaintiff's work or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also helped friends in their personal construction projects. Sometimes he received assistance in kind and other times he was paid cash. Again no records were kept of that work or earnings from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fall of 2007, the plaintiff obtained a full-time position again at Kal Secondary where he remained until the MVC.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rates of pay for teachers in the School District have changed over the years since the MVC but the basic format or hierarchy has remained static. The pay rates are set out in "grids" and within each grid are 10 "step levels". The primary variables that determine a teacher's placement within the grids are years of teaching experience and education. At the time of the MVC, the plaintiff was at the highest step level (10) and was in grid 5. Being enrolled in a masters program would advance him to grid 5+ and obtaining his masters would take him to grid 6, the highest grid.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plaintiff's principal at Kal Secondary in 2002 was Joe Rogers. Mr. Rogers remained as the principal there until he took a position as the Director of Instruction for the School District in 2009. Joe Rogers is now the Superintendent of the School District. Don Balcom became the principal of Kal Secondary following Mr. Rogers and remained in that position until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During their respective tenures as principal, the plaintiff had discussions with each of Joe Rogers and Don Balcom regarding his interest in and the path to becoming an administrator such as a vice-principal or principal of a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continued coaching volleyball during the time that his daughter Amanda played on the high school team and up to the date of MVC.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Over the years leading up to the motor vehicle accident the plaintiff had suffered some injuries and had some medical conditions. He dislocated his right thumb playing volleyball in college, which made it susceptible to further dislocations. He also injured his knee while instructing a physical education class in 2009. This has been described as a "medial ligament tear to the left knee". That prompted him to acquire a knee brace.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had also noticed a decline in his hearing in his left ear. Dr. Laidlow, an expert called by the third party, summarized the available information in his report of August 25, 2015, as follows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was documented as having reduced conductive hearing in the left ear when tested at Connect Hearing on November 25, 2010. He was reviewed by Dr. Massa on January 4, 2011, where he documented a history of gradual progressive hearing loss in the left ear but no tinnitus was mentioned at that time. It was felt that the most likely had otosclerosis.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had narrowing of the spinal canal in his cervical spine with facet osteoarthritis. These changes were asymptomatic and only discovered after the MVC.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are numerous issues regarding how the plaintiff's health has been affected by the MVC. I will deal with those issues in later segments of this decision in detail. At this stage, I will summarize the documented physical injuries received as a direct consequence of the MVC. Some of these were not immediately identified but discovered in the days and weeks post-MVC.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 suffered a neck injury. Immediately after the MVC he had significant neck and arm pain and dizziness. It was the post-MVC investigations of these complaints that revealed the pre-existing degenerative changes in his neck. His spinal cord was vulnerable as a result of the pre-existing condition. That resulted in the need for surgery to stabilize his neck on February 21, 2011. Dr. McCann, in his report dated January 21, 2015, described the findings and subsequent surgery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The preoperative diagnosis was that of C5-6 and C6-7 cervical disc herniation and cord compression as well as myelopathy. He underwent a 2 level anterior cervical discectomy at C5-6 and C6-7. He had a 2 level partial vertebrectomy at C5-6 and C6-7 followed by Tantalum Strutt Graft x2 followed by anterior cervical plating and fusion from C5 to C7.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was following that surgery that tinnitus was identified as a significant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He also suffered a foot injury, more specifically described by Dr. Ball in her report of December 18, 2014, as follows:</w:t>
      </w:r>
      <w:r>
        <w:rPr>
          <w:rFonts w:ascii="arial" w:eastAsia="arial" w:hAnsi="arial" w:cs="arial"/>
          <w:sz w:val="20"/>
          <w:lang w:val="en-US" w:eastAsia="en-US" w:bidi="ar-SA"/>
        </w:rPr>
        <w:cr/>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Fracture of the tibial sesamoid in the right foot.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Capsular injury to the first metatarsal phalangeal joint of the right foot resulting in a post traumatic hallux valgus.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Articular cartilage damage within the right first &amp; third party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There is a general consensus in the medical reports, including in the report of Dr. Laidlow, that the plaintiff suffered a mild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He suffered an injury to his jaw, described by Dr. Whitney, a specialist in oral medicine and pathology, in his report of June 21, 2017, as follows: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Masticatory muscle myalgia (jaw/chewing muscle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Myalgia is defined as pain of muscle origin affected by jaw movement, function, or parafunction, and replication of this pain occurs with provocation testing of the masticatory muscles.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history is positive for both of the following.</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Pain in the jaw, temple, in the ear, or in front of the 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Left Temporomandibular Joint (TMJ) arthralgia (jaw joint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Arthralgia is defined as pain of joint origin that is affected by jaw movement, function, or parafunction, and replication of this pain occurs with provocation testing of the TMJ.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Intra-articular (inside the joint) Temporomandibular Disorders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Left TMJ Disc displacement with reduction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an intracapsular biomechanical disorder involving the condyle-disc complex. The articular disc is in an anterior position relative to the condylar head when the mouth is closed; the disc reduces (returns to the normal condyle-disc relationship) upon mouth opening. Medial and lateral disc displacement may also be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also received soft tissue injuries including neck strain and general bruising including of the head and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Other conditions and complaints have emerged or been identified since the MVC where the causal link to the MVC is in issue. Some are discrete physical conditions including bilateral carpal tunnel syndrome, right bicep tendon tear, dizziness, hyperacusis and the tinnitus. Others are psychiatric, psychological and/or emotional conditions including chronic pain, sleep disturbance, chronic fatigue, cognitive impairment and depression. For convenience and simplicity I will refer to the latter constellation of issues as the "mental injuries" unless there is a need to reference a particular component of that constellation. It is these issues of causation and the impact of or contribution of each symptom or condition on his overall functioning that are really at the heart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has been assessed and/or treated by numerous doctors and therapists. That has generated extensive reporting by them as follows:</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experts' reports relied 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TREATING EXPERTS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1 Report of Dr. Louis B. Boucher dated April 29, 2016 (PD 2.155) (redacted)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 Report of Dr. Louis B. Boucher dated June 22, 2017 (PD 2.191) (redacted)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2(A) Report of Dr. Louis B. Boucher dated March 5, 2018 (PD 2.226)</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3 Report of Dr. Kate Ball dated December 18, 2014 (PD 2.89)</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4 Report of Dr. Kate Ball dated February 4, 2015 (PD 2.96)</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5 Report of Dr. Russell Mosewich dated July 2, 2013 (PD 2.50)</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6 Report of Dr. Patricia Neilson dated May 24, 2015 (PD 2.106)</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7 Report of Dr. Patricia Neilson dated April 26, 2016 (PD 2.145)</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8 Report of Dr. Patricia Neilson dated May 25, 2017 (PD 2.185)</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8(A) Report of Dr. Patricia Neilson dated March 1, 2018 (PD 2.225)</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9 Report of Garett Johnston dated May 5, 2016 (PD 2.161)</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10 Report of Lisa Crockett, BCsPT, dated May 9, 2016 (PD 2.157)</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10(A) Addendum September 15, 2017 with Technical Terms to the Report of Lisa Crockett, BCsPT, dated May 9, 2016 (PD 2.223)</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10(B) Report of Lisa Crockett, BCsPT dated March 7, 2018 (PD 2.227)</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11 Report of Derek Geldrich dated May 11, 2016 (PD 2.160) [2]</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11(A) Addendum dated September 12, 2017 with Technical Terms to the Report of Derek Geldrich dated May 11, 2016 (PD 2.221)</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12 Report of Lori Moger dated April 17, 2016 (PD 2.158)</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13 Report of Lori Moger dated April 19, 2016 (PD 2.159)</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13(A) Addendum dated September 8, 2017 with Technical Terms to the Reports of Lori Moger dated April 17 and April 19, 2016 (PD 2.220)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INDEPENDENT MEDICAL EXAMINATION EXPERTS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14 Report of Dr. Donald Cameron dated March 22, 2016 (PD 2.136)</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15 Report of Dr. Donald Cameron dated July 20, 2017 (PD 2.200)</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15(A) Addendum May 26, 2018 with Technical Terms to the Reports of Dr. Donald Cameron dated March 22, 2016 and July 20, 2017 (PD 2.245)</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16 Report of Dr. Nelson Collins dated January 29, 2016 (PD 2.138)</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17 Report of Dr. Nelson Collins dated March 27, 2016 (PD 2.139)</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17(A) Addendum October 21, 2017 with Technical Terms to the Report of Dr. Nelson Collins dated January 29, 2016 (PD 2.243)</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18 Report of Dr. Neil Longridge dated August 6, 2014 (PD 2.84)</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19 Report of Dr. Neil Longridge dated October 1, 2014 (PD 2.85)</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20 Report of Dr. Neil Longridge dated April 26, 2016 (PD 2.146)</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20(A) Addendum dated September 19, 2017 with Technical Terms to the Report of Dr. Neil Longridge dated August 6, 2014 (PD 2.239)</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21 Report of Dr. Shawn McCann dated January 21, 2015 (PD 2.102)</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22 Report of Dr. Shawn McCann dated April 20, 2016 (PD 2.153)</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23 Report of Dr. Shawn McCann dated June 25, 2016 (PD 2.169)</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23(A) Addendum dated October 12, 2017 with Technical Terms to the Reports of Dr. Shawn McCann dated January 21, 2015, April 20, 2016 and June 26, 2016 (PD 2.222)</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24 Report of Dr. Harry Miller dated October 1, 2011 (PD 2.10)</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25 Report of Dr. Harry Miller dated May 6, 2016 (PD 2.147)</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26 Report of Dr. David Omahen dated June 18, 2017 (PD 2.192)</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27 Report of Dr. David Omahen dated July 1, 2017 (PD 2.199)</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27(A) Addendum dated September 21, 2017 with Technical Terms to the Report of Dr. David Omahen dated June 18, 2017 (PD 2.238)</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28 Report of Dr. Eli Whitney dated June 21, 2017 (PD 2.190)</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28(A) Addendum dated September 27, 2017 with Technical Terms to the Report of Dr. Eli Whitney dated June 21, 2017 (PD 2.237)[3]</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29 Functional Capacity Evaluation and Cost of Future Care report of Lydia Phillips dated July 2, 2015 (PD 2.108)</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30 Cognitive Communication Assessment Report of Staci Cooper dated July 3, 2015 (PD 2.107)</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31 Report of Lydia Phillips dated May 19, 2016 (PD 2.162)</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32 Updated Cost of Future Care Report of Lydia Phillips dated June 22, 2017 (PD 2.194)</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32(A) Addendum dated March 27, 2018 with Technical Terms to the Reports of Lydia Phillips dated July 2, 2015, May 19, 2016 and June 22, 2017 (PD 2.240)</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33 Functional Capacity Evaluation and Cost of Future Care Report of Sabrina White dated June 23, 2017 (PD 2.193)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VOCATIONAL EXPERT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34 Psychological, Vocational and Residual Employability Assessment Report of Dr. John Pullyblank dated May 20, 2016 (PD 2.164)</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Third party experts' reports relied on:</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Dr. Duncan Laidlow report dated August 25, 2015;</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Dr. Duncan Laidlow report dated April 22, 2016;</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Duncan Laidlow report dated May 25, 2016;</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Dr. Duncan Laidlow Addendum of Medical Terms dated September 13, 2017;</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Desmond Bell report dated March 30, 2016;</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Desmond Bell report June 11, 2016;</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Dr. Desmond Bell Addendum of Medical Terms dated September 14, 2017;</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Julio Padilla report dated June 27, 2016;</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Dr. Julio Padilla Addendum of Medical Terms dated September 15, 2017;</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Samantha Gallagher of Vocational Pacific Ltd. report dated March 17,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at the date of trial, the plaintiff has undergone several surgeries and continues to have numerous ongoing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Since the MVC, the plaintiff has acquired rental properties in Camrose, Alberta. His mother owned seven properties. Prior to the MVC, the plaintiff had travelled to Camrose periodically to do renovation or repair work on those properties for his mother. She passed away on April 12, 2013. The plaintiff inherited one of the properties, his father three others. The plaintiff purchased his father's three properties in or about the fall of 2013. He has performed some maintenance and repairs on his rental units but paid others to do some work as well. Unrepaired damage caused by tenants has prevented some from being rented for a period of time since the MVC.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Since the MVC, the plaintiff has attempted to return to work teaching. As of the date of trial he was not working and had not since June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plaintiff's trials of return to work were in coordination with representatives of the School District and involved several different models. Some portions of the time was categorized as work hardening and did not involve the assumption by the plaintiff of full teaching responsibilities and/or were in the company of another teacher. These efforts were summarized by Jenifer Crawford, the vocational expert for the third party, in these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Following the accident he returned to work on and off with interruptions for various surgeries. He did not return to teaching physical education and only taught math. The maximum number of hours that Mr. Bennett was able to manage postaccident was half-time and he only sustained that schedule for two months from September to November 2014. Mr. Bennett then decreased to quarter time until June 2015. Mr. Bennett has not returned to teaching since June 2015 and at the time of our meeting had no plans to return to employment in any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timelines and parameters of those trials of returning to work were recorded in a chronology prepared by counsel as follows: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73" type="#_x0000_t75" style="width:428.25pt;height:480.75pt">
            <v:imagedata r:id="rId618"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This MVC occurred over eight years ago. That passage of time and the complicated history contributed to a long trial. The trial consumed 32 days between June 4, 2018 and April 26, 2019. A total of 47 expert reports were filed. The plaintiff's written submissions were 158 pages in length (1076 paragraphs). There were also supplemental written submissions. The third party's written submissions were 72 pages (353 paragraphs). The plaintiff's reply was 19 pages (91 paragraphs).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 and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parties agree that the defendant is liable for the MVC.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addition, there is no real dispute as to what medical, psychological or emotional challenges have emerged for the plaintiff since the MVC; that is to say, the parties do agree as to the fact and general nature of the plaintiff's injuries, conditions and symptoms since the MVC. In respect of damages however, the parties urge me to draw very different conclusions from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argues that all injuries and conditions are caused by the MVC. He says the results have been devastating to all aspects of his life including his employability. The third party challenges the plaintiff's positions as to both the cause and effect of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third party's position on causation has two facets. The first relates to the physical injuries that can be said to have been caused by the MVC. The other is the secondary effects of those injuries or, what I have referenced as the mental injuries. The third party stated it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the Plaintiff's hearing loss, tinnitus, hyperacusis, dizziness, bilateral carpal tunnel, right bicep, right thumb, and left knee are unrelated to the Accident and the Third Party is not liable for damages arising from the effects of those injuries or conditions that are Unrelated Injuries. Further, the Third Party submits that there is evidence to suggest that the Plaintiff may have developed neck and neurological symptoms regardless of whether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to effect, the third party argues that the portion of the physical injuries and symptoms not caused by the MVC directly impacts the plaintiff's capacity to work while also contributing to the mental injuries which in turn impact the plaintiff's capacity to work. I will adopt the third party's reference to these as the unrelated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It is these unrelated injuries and their contribution to the mental injuries that the third party says require the 40% negative contingency deductions. The third party says that the deduction should be applied to non-pecuniary damages, past loss of income from teaching, and work with granite countertops and loss of earning capacity as a teacher and granite countertops and some future care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dealing with employment specifically, the plaintiff argues that he would have become an administrator but for the MVC and his loss of earning claims must take into account the enhanced earnings that employment would have generated. The third party says there is no proof of a real and substantial possibility of that occurring.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Also in relation to employment the third party challenges the claimed entitlement to damages arising from a reduced ability to carry out construction work, either in the form of renovations to his own homes, maintenance of the rental properties, or generally. The plaintiff has categorized this as his loss of "handyman capacity". Here, the third party focuses on the impact of the unrelated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There are also disagreements on specific items of the plaintiff's claims for future care and special damages which are more discrete issues but still founded on the role of the unrelated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These categories of dispute obviously translate into divergent views as to the monetary value of the plaintiff's claim. The table below sets out the positions of the parties as to each head of damage claimed by the plaintiff:</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74" type="#_x0000_t75" style="width:432.06pt;height:420.06pt">
            <v:imagedata r:id="rId619"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Since the MVC, the plaintiff's health picture has been complicated.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addition to the medical reports set out above, the plaintiff relies on the report of a vocational expert and three economists' reports. The latter consist of separate reports dealing with loss of earning capacity, costs of care and pre-judgment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defence filed reports from an economist and a vocational rehabilitation consultant in addition to the medical reports listed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heard numerous lay witnesses describe their observations of the plaintiff before and after the MVC. I also have the evidence of the plaintiff himself. Contrary to the third party's arguments, I found the plaintiff to be generally credible, although I do agree that the passage of time and perhaps this litigation may have skewed the plaintiff's objectivity. A notable example of this is the plaintiff's evidence about his time spent at various activities and tasks prior to the MVC. The total hours suggest a superhuman capacity on a sustained basis over years. The propositions advanced make little or no allowance for slowing with aging. I have no difficulty accepting on the evidence that the plaintiff was a driven individual with lots of energy and enthusiasm but every person has limits. Those limits must factor in to 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has undergone extensive investigations and treatments. This has included seven surgeries as follows:</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February 21, 2011: Dr. Splawinski performed fusion of the Plaintiff's cervical spine;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May 12, 2011: first foot surgery performed by Dr. Ball;</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March 5, 2013: foot fusion surgery performed by Dr. Ball;</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September 19, 2013: ear surgery/stapedotomy performed by Dr. Westerberg, Otolaryngologist;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July 29, 2015: fusion of right thumb performed by Dr. Zeznik;</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June 12, 2017: carpal tunnel release surgery performed on the left arm by Dr. Zeznik; and</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August 28, 2017: carpal tunnel release surgery performed on the right arm by Dr. Zeznik.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Non-surgical treatments have included the following (taken from the plaintiff's written submissions):</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 Fall 2014, Ms. Crocket incorporated IMS treatment into the Plaintiff regime;</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2017: commenced trigger point injections with Dr. Bester;</w:t>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Kinesiology: Lauri Moger through the School District for exercise program;</w:t>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Massage therapy;</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initiated treatment for his jaw symptoms with Derek Geldrich. The plaintiff continued this treatment until June 26, 2013. February 20, 2013 appointments with Dr. Kersey, orthodontist, continuing to June 17, 2016;</w:t>
      </w:r>
    </w:p>
    <w:p>
      <w:pPr>
        <w:numPr>
          <w:numId w:val="3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Appliances and aids: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Hearing aids May 2011. April 2014, a series of consultations with Connect Hearing, including fitting with Lyric hearing aid. The plaintiff begins trial of Lyric hearing aid, but goes to back to previous model after a few weeks (until October 2014). October 2014, the plaintiff is fitted with new hearing aid (model he has used up to the trial date);</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Mouth guards;</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Orthotics and rocker bottomed sole.</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Acupuncture;</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July 8, 2014, the plaintiff attended four active rehabilitation sessions with Garett Johnstone;</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Medications:</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Cortisone injections to the foot;</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Naproxen;</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Butrans patches;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Botox injections;</w:t>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T3;</w:t>
      </w:r>
    </w:p>
    <w:p>
      <w:pPr>
        <w:numPr>
          <w:numId w:val="4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Tramadol;</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Antidepressant(s) Nortriptyline, Cymbalta;</w:t>
      </w:r>
    </w:p>
    <w:p>
      <w:pPr>
        <w:numPr>
          <w:numId w:val="4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Celebrex;</w:t>
      </w:r>
    </w:p>
    <w:p>
      <w:pPr>
        <w:numPr>
          <w:numId w:val="4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Lidocaine injections;</w:t>
      </w:r>
    </w:p>
    <w:p>
      <w:pPr>
        <w:numPr>
          <w:numId w:val="4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Gabapentin.</w:t>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Counselling;</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August 2015: attended sleep clinic; and</w:t>
      </w:r>
    </w:p>
    <w:p>
      <w:pPr>
        <w:numPr>
          <w:numId w:val="5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19, 2017: the plaintiff attended Dr. Whitney, dentist and specialist in oral medicine, for the purposes of an independent medical examination. Following this assessment, the plaintiff attended for Botox injection(s) with Dr. Whitney (it is contested how many Botox injections the plaintiff attended).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At the time of trial the plaintiff was continuing to take medications as follows:</w:t>
      </w:r>
      <w:r>
        <w:rPr>
          <w:rFonts w:ascii="arial" w:eastAsia="arial" w:hAnsi="arial" w:cs="arial"/>
          <w:sz w:val="20"/>
          <w:lang w:val="en-US" w:eastAsia="en-US" w:bidi="ar-SA"/>
        </w:rPr>
        <w:cr/>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Butrans patch - once a week.</w:t>
      </w:r>
    </w:p>
    <w:p>
      <w:pPr>
        <w:numPr>
          <w:numId w:val="5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Naproxen to supplement the Butrans patch, 10-15 days a month x 2 pills each time.</w:t>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Methocarbamol (muscle relaxant), 2-4 per day. A bottle of 100 pills a month.</w:t>
      </w:r>
    </w:p>
    <w:p>
      <w:pPr>
        <w:numPr>
          <w:numId w:val="5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Tylenol - 2 per day at bed time.</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Tecta for stomach issues, 1 tablet per day.</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Metamucil - 2 per day at 10:00 p.m.</w:t>
      </w:r>
    </w:p>
    <w:p>
      <w:pPr>
        <w:numPr>
          <w:numId w:val="5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Trigger point injections administered by Dr. McCann and Dr. Bester (MSP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continues to receive physiotherapy approximately every three to four weeks. About one of every three appointments is for IMS. He also attends massage therapy at the mid-point between physiotherapy sessions, every second or third week. He manages his own exercise program including walking and use of home exercise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addition, the plaintiff continues to see his psychologist, Pat Neilson, for counselling once a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 the whole, the evidence of the lay witnesses is generally consistent with what is described in the expert reports. There was, in my view, a compelling impression left by the whole of the evidence. This included not only the expert reports and testimony and the testimony of the lay witnesses but also the evidence of the plaintiff. He testified over several days. It is difficult to both compress that into a manageable summary and articulate the development of that impression from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Since the expert reports provide more precise descriptions, I will reference some of those for their summaries of the injuries and effects on the plaintiff which I find to be accurate. The physical injuries and conditions are set out in the Background section of this decision. Here, I will reference some of the evidence of the secondary effects of those injuries from some of the medical reports with my emphasis added:</w:t>
      </w:r>
      <w:r>
        <w:rPr>
          <w:rFonts w:ascii="arial" w:eastAsia="arial" w:hAnsi="arial" w:cs="arial"/>
          <w:sz w:val="20"/>
          <w:lang w:val="en-US" w:eastAsia="en-US" w:bidi="ar-SA"/>
        </w:rPr>
        <w:cr/>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Laidlow:</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Minor left C7 radiculopathy and mild central cord syndrome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Minor possible C5 fracture and musculoligamentous strain of the cervical spine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Fractured medial sesamoid bone and a chondral injury of the right foot third party joint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Mild traumatic brain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Left temporomandibular joint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Disturbed sleep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Symptoms of anxiety and depression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Left ear reduced hearing, tinnitus and dizziness</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Collins: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has been experiencing persisting physical symptoms since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include:</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Neck pain. This is continuous and is the most problematic symptom.</w:t>
      </w:r>
    </w:p>
    <w:p>
      <w:pPr>
        <w:numPr>
          <w:numId w:val="6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and numbness in shoulders and upper back.</w:t>
      </w:r>
    </w:p>
    <w:p>
      <w:pPr>
        <w:numPr>
          <w:numId w:val="6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sensation and power in the left arm.</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Tinnitus.</w:t>
      </w:r>
    </w:p>
    <w:p>
      <w:pPr>
        <w:numPr>
          <w:numId w:val="6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Impaired balance.</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Abnormal sleep pattern.</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hearing and vertigo.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Assessment of whiplash injury and/or musculoskeletal injury falls outside the scope of this psychiatric assessment. As outlined in the reports of other medical practitioners, Mr. Bennett most probably suffered from a musculoskeletal strain type injury to the soft tissue structures of his neck (Type III Whiplash Associated Disorder). This injury has been associated with persisting physical symptoms of pain and stiffness primarily affecting his neck and back. There is significant limitation of his physical functioning associated with this pain complaint.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Bennett has also been experiencing significant mood and cognitive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has variable symptoms of low mood and irritable mood. He has anxiety about the future because of the impairment of occupational and recreational functioning. The depressive symptoms have at times been moderately severe. He has had thoughts of suicide.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His mood symptoms are most probably primarily caused by chronic pain, dizziness/impaired balance, impaired functioning, reduced quality of life, and poor sleep</w:t>
      </w:r>
      <w:r>
        <w:rPr>
          <w:rFonts w:ascii="arial" w:eastAsia="arial" w:hAnsi="arial" w:cs="arial"/>
          <w:color w:val="000000"/>
          <w:sz w:val="20"/>
          <w:lang w:val="en-US" w:eastAsia="en-US" w:bidi="ar-SA"/>
        </w:rPr>
        <w:t>. He is self-conscious about his limitations and impairments. His self-esteem and identity are negatively impacted by the impaired functioning. His mood is severely affected by his reduced ability to participate in recreation and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short-term memory and cognitive processing are impaired. His energy level is reduced from normal. These problems have a significant impact on his occupational functioning. He has not been able to return to his work as a high school teacher on a fulltime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developed mild driving anxiety after the accident. This has improved substantially. He remains unusually apprehensive about some driving situations.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fright, or psychological trauma, of the accident itself most probably caused the driving anxiety.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psychiatric diagnosis according to criteria set out in the Diagnostic and Statistical Manual-5 (the diagnostic manual published by the American Psychiatric Association) is: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Adjustment Disorder with Mixed Anxiety and Depressed Mood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symptoms of low mood and anxious mood have been of sufficient severity to warrant a psychiatric diagnosis. Given that the symptoms are directly attributable to identifiable psychosocial and physical stressors, as discussed above, a psychiatric diagnosis of Adjustment Disorder applies: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may be modest psychological improvement if he participates actively in treatment. However, </w:t>
      </w:r>
      <w:r>
        <w:rPr>
          <w:rFonts w:ascii="arial" w:eastAsia="arial" w:hAnsi="arial" w:cs="arial"/>
          <w:b/>
          <w:i/>
          <w:color w:val="000000"/>
          <w:sz w:val="20"/>
          <w:lang w:val="en-US" w:eastAsia="en-US" w:bidi="ar-SA"/>
        </w:rPr>
        <w:t>the prognosis for eventual full psychological recovery is poor as long as he continues to experience chronic physical symptoms (particularly pain), chronic cognitive symptoms, and impairment of functioning</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will be a correlation between severity of pain, impairment of functioning and psychological distress in the future. </w:t>
      </w:r>
      <w:r>
        <w:rPr>
          <w:rFonts w:ascii="arial" w:eastAsia="arial" w:hAnsi="arial" w:cs="arial"/>
          <w:b/>
          <w:i/>
          <w:color w:val="000000"/>
          <w:sz w:val="20"/>
          <w:lang w:val="en-US" w:eastAsia="en-US" w:bidi="ar-SA"/>
        </w:rPr>
        <w:t>He will most likely continue to experience variable symptoms of Adjustment Disorder as long as he experiences pain and impairment of functioning</w:t>
      </w:r>
      <w:r>
        <w:rPr>
          <w:rFonts w:ascii="arial" w:eastAsia="arial" w:hAnsi="arial" w:cs="arial"/>
          <w:color w:val="000000"/>
          <w:sz w:val="20"/>
          <w:lang w:val="en-US" w:eastAsia="en-US" w:bidi="ar-SA"/>
        </w:rPr>
        <w:t>. I defer prognosis regarding pain symptoms to experts in physical medicine.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Improved sleep would most likely be associated with improved memory and cognitive function..</w:t>
      </w:r>
    </w:p>
    <w:p>
      <w:pPr>
        <w:numPr>
          <w:numId w:val="6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Pat Nielson: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However, in therapy sessions, </w:t>
      </w:r>
      <w:r>
        <w:rPr>
          <w:rFonts w:ascii="arial" w:eastAsia="arial" w:hAnsi="arial" w:cs="arial"/>
          <w:b/>
          <w:i/>
          <w:color w:val="000000"/>
          <w:sz w:val="20"/>
          <w:lang w:val="en-US" w:eastAsia="en-US" w:bidi="ar-SA"/>
        </w:rPr>
        <w:t>Mr. Bennett has reported persistent pain, primarily in his foot and neck, along with fatigue, tinnitus, hearing difficulties, noise sensitivities, reduced stamina, disturbed sleep and headaches. As a result of his physical injuries and pain, he is significantly limited in his ability to participate in previously enjoyed activities</w:t>
      </w:r>
      <w:r>
        <w:rPr>
          <w:rFonts w:ascii="arial" w:eastAsia="arial" w:hAnsi="arial" w:cs="arial"/>
          <w:color w:val="000000"/>
          <w:sz w:val="20"/>
          <w:lang w:val="en-US" w:eastAsia="en-US" w:bidi="ar-SA"/>
        </w:rPr>
        <w:t xml:space="preserve">. He is unable to maintain a full-time teaching assignment, due to low stamina, pain and limited mental focus. He is also unable to participate in and enjoy his previously high level of involvement in physical and recreational activities. Mr. Bennett has reported experiencing cognitive difficulties, including poor mental focus, short-term memory problems and poor concentration. He has recently become aware that he has made some uncharacteristic errors while teaching, such as marking errors. Mr. Bennett has also reported making errors while instructing, which have been brought to his attention by students. Mr. Bennett highly values his career and his ability to educate students, and is concerned by what he perceives as diminished quality of teaching. </w:t>
      </w:r>
      <w:r>
        <w:rPr>
          <w:rFonts w:ascii="arial" w:eastAsia="arial" w:hAnsi="arial" w:cs="arial"/>
          <w:b/>
          <w:i/>
          <w:color w:val="000000"/>
          <w:sz w:val="20"/>
          <w:lang w:val="en-US" w:eastAsia="en-US" w:bidi="ar-SA"/>
        </w:rPr>
        <w:t>Over the past several years, Mr. Bennett has consistently presented with emotional difficulties, including frustration, low mood, irritability, and loss of sense of value and pleasure in his life. He has experienced significant difficulties coping with the impact of pain and accepting what he perceives as a very minimal level of functioning and life satisfaction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w:t>
      </w:r>
      <w:r>
        <w:rPr>
          <w:rFonts w:ascii="arial" w:eastAsia="arial" w:hAnsi="arial" w:cs="arial"/>
          <w:color w:val="000000"/>
          <w:sz w:val="20"/>
          <w:lang w:val="en-US" w:eastAsia="en-US" w:bidi="ar-SA"/>
        </w:rPr>
        <w:t>iven his previously high level of activity, he finds it difficult to accept his limitations and maintain reasonable pacing. Mr. Bennett has also experienced significant frustration and stress as a result of issues and barriers which have impacted his return to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Bennett continues to experience depressive symptoms, with low mood, low levels of energy and motivation, social withdrawal, feelings of worthlessness, irritability, loss of pleasure and interest in his life, and increased crying. While Mr. Bennett has been able to be more accepting of the need to be completely off work, he is finding it difficult to adjust to a lack of sense of daily purpose and productivity. He has had difficulty initiating productive activity, and has admitted to neglecting tasks at home, due to low mood and energy. Mr. Bennett prides himself on his role as a teacher and coach, and he continues to struggle with loss of sense of identity. Mr. Bennett is also worried about his future, given his persistent symptoms and occupational uncertainty.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Bennett has reported continued cognitive difficulties, including episodes in which he is not aware of seemingly simple information, such as which drawer he keeps his socks in or what his prescribed medication is for. He reports a number of frustrating incidents in which he loses mental focus and concentration. He also reports problems with word finding and communication, which he experiences as very disturbing, given his previous role as a coach and teacher in which good communication was essential. Mr. Bennett continues to experience a number of physical health difficulties. When last seen, on May 24, 2017, Mr. Bennett was wearing a tensor on his right arm, and reported that he was suffering from tennis elbow. He reported feeling quite discouraged and frustrated with the number and complexity of his physical injuries, and his limited ability to maintain adequate physical strength and conditioning to prevent further injury. Mr. Bennett reported experiencing persistent headaches and frequent episodes of what he describes as "zingers", which he attributes to visual and auditory stimulation. He describes having to close his eyes to reduce the risk for retriggering, and he typically spends the day in bed to recover. He makes good effort to avoid excessive focus on pain and limitations; however, Mr. Bennett also worries about how he would cope with any further demands, including work, given the unpredictability and intensity of these experiences. </w:t>
      </w:r>
      <w:r>
        <w:rPr>
          <w:rFonts w:ascii="arial" w:eastAsia="arial" w:hAnsi="arial" w:cs="arial"/>
          <w:b/>
          <w:i/>
          <w:color w:val="000000"/>
          <w:sz w:val="20"/>
          <w:lang w:val="en-US" w:eastAsia="en-US" w:bidi="ar-SA"/>
        </w:rPr>
        <w:t>Mr. Bennett continues to experience mood disturbance, with persistent frustration and depressive symptoms. He reports low mood, low levels of energy and motivation, loss of feelings of pleasure and interest in normal activities, disturbed sleep, irritability, and feelings of worthlessness</w:t>
      </w:r>
      <w:r>
        <w:rPr>
          <w:rFonts w:ascii="arial" w:eastAsia="arial" w:hAnsi="arial" w:cs="arial"/>
          <w:color w:val="000000"/>
          <w:sz w:val="20"/>
          <w:lang w:val="en-US" w:eastAsia="en-US" w:bidi="ar-SA"/>
        </w:rPr>
        <w:t>. Mr. Bennett admits to social withdrawal, and lack of interest in many previously valued relationships. Mr. Bennett is frequently tearful in therapy sessions, particularly as we discuss the impact of his accident and injuries on his mood, level of productive functioning, and his family. He continues to have difficulty with acceptance, 'and he admits to minimizing his problems and putting on a brave face.</w:t>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Pullyblank: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Psychologically, Mr. Bennett was in my opinion highly driven pre ... accident and seemed like he had to have to always be doing something with his hands. Therefore, while he trained and worked as a Teacher. he was also continuously involved in various construction-related projects or recreational activities and seemed to need to be always on the go. Pre ... accident reviews of his work performance as a young Teacher stressed his enthusiasm and willingness to do extra things, like refurbishing the school's computer system.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Notably. he had difficulty with the reduction in tasks when he worked as a Teacher in Dubai. It is against this background that Mr. Bennett had the January 11, 2011 accident, the associated injuries and functional limitations, and now the requirement to pace his activity. Characteristic of his pre accident personality, he has been observed to repeatedly over-estimate his residual physical capacity and it would appear, in my opinion, that this has contributed to some over-reaching in his post-accident return to work efforts.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Bennett has been receiving psychotherapy now for some years and it is clear from interview of him and his wife, and the documentation reviewed that </w:t>
      </w:r>
      <w:r>
        <w:rPr>
          <w:rFonts w:ascii="arial" w:eastAsia="arial" w:hAnsi="arial" w:cs="arial"/>
          <w:b/>
          <w:i/>
          <w:color w:val="000000"/>
          <w:sz w:val="20"/>
          <w:lang w:val="en-US" w:eastAsia="en-US" w:bidi="ar-SA"/>
        </w:rPr>
        <w:t>he continues to struggle emotionally to this day with his post-accident physical limitations and their implications for the future he had planned, resulting in symptoms of anxiety and depression. Correspondingly, his most recent diagnoses (under the most recent DSM-5 diagnostic system) have included Persistent Depressive Disorder (Drs. Miller, Neilson) and Adjustment Disorder with Mixed Anxiety and Depressed Mood (Dr. Collins)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Mr. Bennett's post-accident emotional distress is ongoing and has been described as having a poor prognosis for improvement (e.g., Drs. Neilson, Collins)</w:t>
      </w:r>
      <w:r>
        <w:rPr>
          <w:rFonts w:ascii="arial" w:eastAsia="arial" w:hAnsi="arial" w:cs="arial"/>
          <w:color w:val="000000"/>
          <w:sz w:val="20"/>
          <w:lang w:val="en-US" w:eastAsia="en-US" w:bidi="ar-SA"/>
        </w:rPr>
        <w:t>.</w:t>
      </w:r>
    </w:p>
    <w:p>
      <w:pPr>
        <w:numPr>
          <w:numId w:val="7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Cameron: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Mr. Bennett suffered a mild traumatic brain injury at the time of the motor vehicle accident of January 11, 2011.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46 Mr. Bennett does report suffering with decrease in memory and decreased concentration as well as irritability and mood swings onset following this accident. It is my opinion that these symptoms at least initially were diagnostic in part of Mr. Bennett developing a post traumatic brain injury syndrome following the accident of January 11, 2011. Mr. Bennett subsequently underwent neuropsychological testing under the care of Dr. Harry Miller in October of 2011, approximately nine months following the accident. At that time Dr. Miller documented normal cognitive function, however Mr. Bennett has reported ongoing decrease in concentration, decreased memory, difficulty with numbers and problems with attention still present as of the date of my neurological assessment of Mr. Bennett.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It is possible that these ongoing cognitive complaints are in part still due to residual effects of the mild traumatic brain injury that he sustained at the time of the accident, however </w:t>
      </w:r>
      <w:r>
        <w:rPr>
          <w:rFonts w:ascii="arial" w:eastAsia="arial" w:hAnsi="arial" w:cs="arial"/>
          <w:b/>
          <w:i/>
          <w:color w:val="000000"/>
          <w:sz w:val="20"/>
          <w:lang w:val="en-US" w:eastAsia="en-US" w:bidi="ar-SA"/>
        </w:rPr>
        <w:t>Mr. Bennett has suffered multiple soft tissue and musculoskeletal injuries and orthopaedic injuries which have resulted in chronic significant physical disability and chronic pain and discomfort. These two conditions have also been significant contributing factors and probably the predominant chronic contributing factors to any cognitive complaints in the case of Mr. Bennett present following the accident beyond the first year following this accident</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Mr. Bennett suffered significant facial injuries associated with the traumatic brain injury. He also has suffered blunt trauma to his cervical area in the form of a whiplash injury. In my opinion this has resulted in traumatic herniation of the C6-7 disc on the left side and, to a lesser extent, the CS-6 disc on the right side. He had chronic degenerative disc disease changes in the cervical spine, and he had chronic probably congenital spinal stenosis. Prior to the accident he was asymptomatic with respect to any symptoms due to any of the above-described degenerative disc disease problems in the cervical area. </w:t>
      </w:r>
      <w:r>
        <w:rPr>
          <w:rFonts w:ascii="arial" w:eastAsia="arial" w:hAnsi="arial" w:cs="arial"/>
          <w:b/>
          <w:i/>
          <w:color w:val="000000"/>
          <w:sz w:val="20"/>
          <w:lang w:val="en-US" w:eastAsia="en-US" w:bidi="ar-SA"/>
        </w:rPr>
        <w:t>All of the symptoms described in the medical records that I reviewed and based on the history that Mr. Bennett has provided to me are resultant from the injuries in the cervical area that he sustained at the time of the motor vehicle accident of January 11, 2011</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It is my opinion that the combined residual effects of all of these injuries sustained at the time of this accident and including the psychological problems that have developed following this accident, as documented by the psychological counselor, Dr. Patricia Neilson, and the occupational therapy assessment reports, Mr. Bennett has been rendered completely disabled as of the date of my neurological assessment of Mr. Bennett in November of 2015, almost five years following this accident. </w:t>
      </w:r>
      <w:r>
        <w:rPr>
          <w:rFonts w:ascii="arial" w:eastAsia="arial" w:hAnsi="arial" w:cs="arial"/>
          <w:b/>
          <w:i/>
          <w:color w:val="000000"/>
          <w:sz w:val="20"/>
          <w:lang w:val="en-US" w:eastAsia="en-US" w:bidi="ar-SA"/>
        </w:rPr>
        <w:t>Mr. Bennett has significant ongoing residual neurological deficits due to the spinal cord injury and the nerve root injuries in the cervical area that he sustained at the time of this accident. He has significant physical limitations as well due to the soft tissue, musculoskeletal and orthopaedic injuries that he sustained at the time of this accident involving his neck, shoulders, upper extremities and the right foot</w:t>
      </w:r>
      <w:r>
        <w:rPr>
          <w:rFonts w:ascii="arial" w:eastAsia="arial" w:hAnsi="arial" w:cs="arial"/>
          <w:color w:val="000000"/>
          <w:sz w:val="20"/>
          <w:lang w:val="en-US" w:eastAsia="en-US" w:bidi="ar-SA"/>
        </w:rPr>
        <w:t>.</w:t>
      </w:r>
    </w:p>
    <w:p>
      <w:pPr>
        <w:numPr>
          <w:numId w:val="7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Sabrina White, occupational therapist: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Bennett's fatigue was found to increase with testing. This was not surprising given that he described sleeping for less than 3 hours the night prior to testing and the physical nature of the testing.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pain, Mr. Bennet reported less pain in several areas (upper back, neck, right shoulder, left hand) after 1 hour of testing; he attributed this to things "loosening up" since he had arrived. He had arrived for testing following 1.5 hours of driving in the car and felt that the activity during the first hour of testing had helped to reduce stiffness. However, by the end of the testing most of his areas of pain had increased beyond his initial rating, supporting his report that his pain is brought on with activity.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He reported pain at a functionally limiting level in the following areas: upper back, neck, right foot, right shoulder, left arm, left hand, and lower back. He was generally observed to have an accurate perception of his pain</w:t>
      </w:r>
      <w:r>
        <w:rPr>
          <w:rFonts w:ascii="arial" w:eastAsia="arial" w:hAnsi="arial" w:cs="arial"/>
          <w:color w:val="000000"/>
          <w:sz w:val="20"/>
          <w:lang w:val="en-US" w:eastAsia="en-US" w:bidi="ar-SA"/>
        </w:rPr>
        <w:t>. For example, he rated his neck at a 5.5, indicating very disabling pain that would cause difficulty moving or applying strength through the painful area. During the nuts and bolts task, Mr. Bennett was observed to limit sustained neck postures by briefly glancing at the task to locate a piece, then returning his neck to neutral while he worked. With respect to his right foot pain, he was observed to limit weight-bearing through the right lower extremity whenever possible, suggesting pain at or around a "5"; his rating of a 4 was likely a slight under-estimation. He rated his left arm/hand at the level of a "3", indicating his performance would be affected by this pain causing a decrease in speed or movement. The results of his dexterity tests indicated performance below average, ranging between the first and tenth percentile.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Overall, it was felt that Mr. Bennett accurately reported his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will proceed to deal with the issues set out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Very recently, Madam Justice Marzari set out a succinct summary of the legal tests for causation in </w:t>
      </w:r>
      <w:r>
        <w:rPr>
          <w:rFonts w:ascii="arial" w:eastAsia="arial" w:hAnsi="arial" w:cs="arial"/>
          <w:i/>
          <w:color w:val="000000"/>
          <w:sz w:val="20"/>
          <w:lang w:val="en-US" w:eastAsia="en-US" w:bidi="ar-SA"/>
        </w:rPr>
        <w:t>Verjee v. Dunbrak</w:t>
      </w:r>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2019 BCSC 1696</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The plaintiff must establish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her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Causation need not be determined by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 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The primary test for causation asks: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The "but for" test recognizes that compensation for negligent conduct should only be made where a substantial connection between the injury and the defendants' conduct is present: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Causation must be established on a balance of probabilities before damages are assessed. As Chief Justice McLachlin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The plaintiff must be placed in the position that she would have been in if not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 better or worse. Tortfeasors must take their victims as they find them, even if the plaintiff's injuries are more severe than they would be for the average person. However, the defendants need not compensate the plaintiff for any debilitating effects of a pre-existing condition which she would have experienced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32-35.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As described above, the third party challenges numerous but not all of the injuries the plaintiff attributes to the MVC. For clarity, the injuries which are acknowledged to have been caused by the MVC are described in paras. 33-38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Here I will deal with the injuries where causation issues are raised by the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most contentious conditions are the plaintiff's hearing issues of tinnitus and hyperacusis.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plaintiff's theory is that the tinnitus was a result of his neck surgery by Dr. Splawinski. That led to the stapedotomy performed by Dr. Westerberg, otolaryngologist, which in turn caused the hyperacusis.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acknowledges some hearing loss as identified by Dr. Massa shortly before the MVC but denies any tinnitus. He says immediately after the surgery he was aware of significant tinnitus. The plaintiff relies on the opinions of Dr. Longridge, an otolaryngologist, to explain the mechanism by which the surgery may have caused the problem. His report of April 26, 2016, responds to questions posed by plaintiff's counsel and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Page 1, Paragraph 1 - "Could you please explain how in your opinion the neck fusion surgery likely caused the insult to the inner 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reply is that the procedure for neck fusion by an anterior approach consists of dissection between the larynx-trachea area and the carotid sheath containing the internal carotid artery and the jugular vein. While doing this, there is manipulation of the carotid artery. From this there are two possible ways tinnitus could develop by impinging on the cochlea. One is that a small amount of debris from the wall of the carotid (atheroma) could have been detached and float up into the cochlear artery, causing damage. The other is that there was a brief period of reduced perfusion to the cochlea, which is an end artery, due to compression of the carotid briefly while it was retracted during part of the fusion procedure.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not a neurosurgeon but, based on the presence of symptoms immediately post surgery and their absence prior to that, it seems probable that one of these two types of events has resulted in the tinnitus.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cross-examination of Dr. Longridge confirms that his opinion is really the product of working backwards from accepting that the surgery caused the tinnitus. In part, this is based on his experience that tinnitus can be associated to otosclerosis but that it rarely is to the point of intrusiveness. He also relies on the accuracy of the plaintiff's description of his experience of noting significant tinnitus immediately post-operatively that was not present to any similar degree pre-operatively. Accepting that as fact, he seeks to explain what may have happened during the surgery to produce the result. In offering his opinion, he agreed the result was not a normally expected risk and used language to describe his theoretical explanation as a "freak side effect" and "weird". The following excerpt from his testimony best illustrates his reasoning: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So I'm not in any way suggesting Dr. Splawinski had anything to do with this, apart from the fact he's -- if you want to -- - the unfortunate surgeon who's had this freak side effect.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 freak side effect?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It is. Well, he wrote himself it's never been described before, and it's quite right, and I wouldn't write it up if I had this, because I haven't got any science.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But you agree it would be a freak side effect in the -- as opposed to a common finding of otosclerosis?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It's not otosclerosis at all. It's -- it wasn't there before the operation. It's there after the operation. The operation has had something to do with it. Somewhere between leaving the ward and getting back to the postanesthetic room an event happened. That's where I'm coming 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response, the third party obtained the opinions of Drs. Padilla, a neurosurgeon, and Bell, an otolaryngologist. Dr. Bell states in his March 30, 2016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there is no anatomical connection between the cervical spine and the inner ear I do not understand what "insult to the inner ear" could have been caused by the cervical surgery Dr. Noah Massa also notes that the hearing test from before the accident is the same as the one after cervical surgery also implying that there was no trauma to the ear as a result of the cervical surgery I do not agree with Dr. Longridge that the neck surgery "insulted" and/or damaged the inner 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He notes in his report of June 11, 2016: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Both of these scenarios are, in my opinion, most unlikely. Mr. Bennett was only 45 years old at the time of the neck surgery and therefore had "relatively young" blood vessels thus reducing the risk of atherosclerosis. Surgeons working around the carotid artery in the neck are acutely aware of it, focus on it and go great lengths to treat it carefully and gently. If debris from the wall had been dislodged one would expect some measurable evidence of that upon waking i.e. signs of sensory or moto deficit (mini stroke). In the unlikely event that debris selectively entered the tiny cochlea end artery it would have produced a measureable hearing loss. There was no change to the before and after hearing test.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suggestion that there was a brief period of reduced perfusion to the cochlea while the carotid artery was "retracted" is even more unlikely. This is the main high pressure arterial conduit providing blood to the brain and all the structures within the skull. It would take a lot of retraction to "stop the flow of blood" and one cannot conceive of a surgeon being that careless. In either event if this "reduced perfusion" were significant one would, once again, expect some evidence of this in terms of neurological damage or a demonstrable drop in hearing on the audiogram. Neither of these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third party fairly summarizes the evidence of Dr. Padilla as follows:</w:t>
      </w:r>
      <w:r>
        <w:rPr>
          <w:rFonts w:ascii="arial" w:eastAsia="arial" w:hAnsi="arial" w:cs="arial"/>
          <w:sz w:val="20"/>
          <w:lang w:val="en-US" w:eastAsia="en-US" w:bidi="ar-SA"/>
        </w:rPr>
        <w:cr/>
      </w:r>
    </w:p>
    <w:p>
      <w:pPr>
        <w:numPr>
          <w:numId w:val="7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Padilla, who is a neurosurgeon with specific expertise in the structures of the brain, agrees with the opinion of Dr. Bell and opines that:</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There was no insult or injury to the inner ear as caused either directly or indirectly, as a result of the motor vehicle accident, or the cervical fusion performed by Dr. J. Splawinski</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[Exhibit 3, Page 2]</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should also be noted that, like Dr. Bell, Dr. Padilla's opinion was not changed after reviewing pages 46-51 of Dr. Longridge's evidence, which largely pertains to the Circle of Willis.</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with respect to Dr. Longridge's opinion that the tinnitus may have been caused by compression of the carotid artery, Dr. Padilla also indicates that:</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There was no change in Mr. Bennett's blood pressure during the surgical procedure as noted on the anesthesia record</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[Exhibit 3, Page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cross-examination, Dr. Padilla acknowledged that he did not conduct an examination of the plaintiff and had not seen Dr. Massa's records when preparing his opinions and specifically Dr. Massa's record that indicated an absence of tinnitus pre-MVC.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third party's position is based on the generally accepted proposition that hearing loss is associated with otosclerosis. The cross-examination of Dr. Longridge on the subject went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So the information that you had at the time was that there was a gradual worsening of his hearing over time from the patient himself?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the gradual worsening of hearing over time, that is -- as an ENT, if I may, that is consistent with the clinical course of otosclerosis over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It can be,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Otosclerosis can happen it can stiffen quickly or slowly, depending on the patient?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Neither the reports nor testimony of Drs. Bell or Padilla specifically addressed whether tinnitus associated to otosclerosis may be sudden and significant or if it is a gradual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result for me as the trier of fact is a sense of lack of full understanding of the mechanism and process of hearing loss associated to otosclerosis. Certainly the evidence of Dr. Longridge indicates sudden declines in hearing are not typical but the evidence as to how the process occurs is far from being comprehensive or compelling. I am left with the proposition that the plaintiff has experienced some event, the specifics of which are not known, that caused a highly unusual consequence either during the surgery or possibly in the movements immediately after the neck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plaintiff's evidence does not fully address the uncertainties created by the expert evidence and I am unable to conclude from this that the plaintiff has met the burden of proof regarding causation in respect of the tinnitus.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There is no dispute that complications during the plaintiff's stapedectomy resulted in the condition of hyperacusis. The causation issue raised in argument was whether the surgery can be said to have been undertaken because of the tinnitus which was argued to have been caused by the neck surgery, which was in turn required by the MVC neck injury. In light of my findings regarding the tinnitus, however, there is no basis to connect the need for the stapedectomy surgery to the MVC and thus no basis to connect the hyperacusis to the MVC.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turn next to the complaints of dizziness. It is clear on the evidence that the plaintiff experienced dizziness and/or imbalance at different stages in time since the MVC. This would appear to have been most severe soon after the MVC and then again after the stapedotomy. Dr. Laidow noted the following in his August 25, 2015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August 3, 2012, Dr. Westerberg noted that Christopher had experienced a gradual hearing loss prior to the motor vehicle accident of January 2011. It was noted that he had been dizzy after the motor vehicle accident but that this had resolved over four months. He suggested that he consider a stapedectomy.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ear surgery seemed to worsen his hearing and caused some degree of noise sensitivity and significant dizziness.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is aware of a constant ringing that seems to be in the left ear and experiences intermittent dizziness, which seems to be as though he is about to faint, although on rare occasions he has had vertigo.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 provides a good summary of the evidence of Dr. Longridge on the subject as follows:</w:t>
      </w:r>
      <w:r>
        <w:rPr>
          <w:rFonts w:ascii="arial" w:eastAsia="arial" w:hAnsi="arial" w:cs="arial"/>
          <w:sz w:val="20"/>
          <w:lang w:val="en-US" w:eastAsia="en-US" w:bidi="ar-SA"/>
        </w:rPr>
        <w:cr/>
      </w:r>
    </w:p>
    <w:p>
      <w:pPr>
        <w:numPr>
          <w:numId w:val="7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Longridge, otolaryngologist, in his report of August 6, 2014 [</w:t>
      </w:r>
      <w:r>
        <w:rPr>
          <w:rFonts w:ascii="arial" w:eastAsia="arial" w:hAnsi="arial" w:cs="arial"/>
          <w:b/>
          <w:color w:val="000000"/>
          <w:sz w:val="20"/>
          <w:lang w:val="en-US" w:eastAsia="en-US" w:bidi="ar-SA"/>
        </w:rPr>
        <w:t>Exhibit 7A, Tab</w:t>
      </w:r>
      <w:r>
        <w:rPr>
          <w:rFonts w:ascii="arial" w:eastAsia="arial" w:hAnsi="arial" w:cs="arial"/>
          <w:color w:val="000000"/>
          <w:sz w:val="20"/>
          <w:lang w:val="en-US" w:eastAsia="en-US" w:bidi="ar-SA"/>
        </w:rPr>
        <w:t xml:space="preserve"> 18] at page 10 states: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opinion, I think the accident was associated with an insult to the balance system of the inner ear giving him an acute labyrinthine concussion, which frequently occurs, which settled spontaneously."</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at page 11: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"Unfortunately, following surgical intervention on the left ear there was exacerbation of dizzy symptoms. Since surgery he has an ongoing tendency to have dizziness induced by visually stimulating circumstances. This represents a form of disturbance of the balance system, not infrequently seen following MVA trauma. Surgical intervention gave him acute dizzy symptoms, and its relevance to these ongoing symptoms is uncertain but as his dizzy symptoms had settled pre-operative the ongoing symptoms probably represent the effects of surgery on an already damaged balance system which was therefore more vulnerable to dizzy complaints following surgery than had the MVA not occurred."</w:t>
      </w:r>
    </w:p>
    <w:p>
      <w:pPr>
        <w:numPr>
          <w:numId w:val="7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his report of April 26, 2016 [</w:t>
      </w:r>
      <w:r>
        <w:rPr>
          <w:rFonts w:ascii="arial" w:eastAsia="arial" w:hAnsi="arial" w:cs="arial"/>
          <w:b/>
          <w:color w:val="000000"/>
          <w:sz w:val="20"/>
          <w:lang w:val="en-US" w:eastAsia="en-US" w:bidi="ar-SA"/>
        </w:rPr>
        <w:t>Exhibit 7B, Tab 20</w:t>
      </w:r>
      <w:r>
        <w:rPr>
          <w:rFonts w:ascii="arial" w:eastAsia="arial" w:hAnsi="arial" w:cs="arial"/>
          <w:color w:val="000000"/>
          <w:sz w:val="20"/>
          <w:lang w:val="en-US" w:eastAsia="en-US" w:bidi="ar-SA"/>
        </w:rPr>
        <w:t>], at page 2, Dr. Longridge elaborated on how the Accident likely caused the insult to the balance system of the inner ear and the acute labyrinthine concussion: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"[L]abyrinthine concussion is caused by rapid deceleration of the skull of which the temporal bone (in which the inner ear is located) is part. The contents of the delicate membranes of the balance system of the inner ear are shaken and this results in balance symptom difficulties concussion."</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cross-examination at trial, Dr. Longridge explained that having once suffered a labyrinthine concussion a person becomes more vulnerable.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accept this explanation. I have found that surgery was not required by MVC-related injuries but this is an example of the MVC rendering the plaintiff vulnerable to such a result and thus contributing to the severity of the present problem. On my findings, then, the plaintiff had a result from the surgery that he would not have had but for the injury he received in the MVC and therefore causation is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At the time of trial, the plaintiff has only episodes of imbalance or dizziness typically when rising from a bent or sitting position. This is consistent with a functional capacity evaluation completed in July 2015. It is a relatively minor issue at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There is no doubt that the plaintiff received a neck injury in the MVC or that he had an underlying neck condition making him susceptible to injury. The third party summarizes the medical opinions in setting out its position in the following excerpt from its written argument:</w:t>
      </w:r>
      <w:r>
        <w:rPr>
          <w:rFonts w:ascii="arial" w:eastAsia="arial" w:hAnsi="arial" w:cs="arial"/>
          <w:sz w:val="20"/>
          <w:lang w:val="en-US" w:eastAsia="en-US" w:bidi="ar-SA"/>
        </w:rPr>
        <w:cr/>
      </w:r>
    </w:p>
    <w:p>
      <w:pPr>
        <w:numPr>
          <w:numId w:val="8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 . Dr. Padilla is of the opinion that he would have had neck pain and symptoms within 5 years even had the Accident not occurred due to the degree of degenerative disc disease present prior to the Accident. Dr. Omahen is less certain. He acknowledges the possibility but is unable to conclude that problems would have presented themselves. Dr. Cameron was of the view that these complaints wouldn't have been expected in patients until they reach their 60s or 70s. While the Third Party accepts that it was by no means certain that the Plaintiff would have suffered neck pain within 5 years of the Accident, it is clear that there is a substantial possibility that the neck pain would have arisen in the future even had the Accident not occurred and that a negative contingency should be considered by the Court for this future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would add that under cross-examination, Dr. Padilla acknowledged the plaintiff may have remained asymptomatic and that statistics cannot predict individual experiences. Dr. Laidlow's opinion was that the MVC caused the neck injury. In his report dated August 26, 2015 he says, "I think this occurred as a result of the accident with a pinching of the left C7 nerve root as it left the spine due to the sudden force being applied", but later in his report added ". . . he would have been more prone to develop problems with degeneration or a disc herniation than someone in the general population, as there would be less of a safety margin."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Cameron said in his March 22, 2016,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 to the accident he was asymptomatic with respect to any symptoms due to any of the above-described degenerative disc disease problems in the cervical area. All of the symptoms described in the medical records that I reviewed and based on the history that Mr. Bennett has provided to me are resultant from the injuries in the cervical area that he sustained at the time of the motor vehicle accident of January 11,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cross-examination, he described the congenital condition as making the plaintiff susceptible to injury. He also said absent the MVC there may have been ongoing degeneration, but if he was to become symptomatic it would not have been until later in life (60s or 70s).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third party references the SCC decision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for its description of thin skull and crumbling skull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On the whole of the evidence, it is my conclusion that the plaintiff was at risk of greater symptomatic consequence from trauma because of his underlying conditions in his neck. Had the MVC not occurred, he may have become symptomatic to some degree in his 60s or 70s. Taken as a whole, however, I do not accept that but for the MVC injury to his neck, the underlying conditions would have impacted his earnings over his working life or had a meaningful impact on his quality of life for many years, if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plaintiff's argument regarding causation in respect of his carpel tunnel syndrome, bicep tendon tear and thumb injury are similar in nature. In each case he says that his other limitations resulting from the MVC injuries required a change in how he did or reacted to certain physical tasks or events leading to these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plaintiff's argument regarding his carpel tunnel syndrome is founded on the opinion of Dr. Cameron. Dr. Cameron says in his July 20, 2017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It is my opinion that the carpal tunnel syndrome is probably not directly related or resultant from the injuries that he sustained at time of the accident of January 11, 2011. However, patients who have suffered previous injury to a peripheral nerve or nerve root in a proximal involvement of peripheral nerve or nerve root are more susceptible to develop further problems in the future if they suffer further damage or injury to the nerve anywhere along its root. In other words it does not take as much activity or repetitive action, or injury to result in more significant symptoms in a patient who suffered previous specific nerve injury and then suffers injury or irritation, or compression of the same nerve anywhere along the root at a later date.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This is the case with Mr. Bennett in my opinion specifically involving the left upper extremity. As I have indicated above the bilaterally carpal tunnel syndrome is probably related to more recent activities and has developed over time, however he required carpal tunnel release surgery on the left side but not the right side because the left side is more symptomatic. The left median nerve at the wrist, where the carpal tunnel is, is more significantly compressed as compared to the right side resulting in the necessity for surgery.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It is probable that the left side is more significantly effected because Mr. Bennett has suffered previous injury to the proximal brachial plexus of nerves and cervical exciting nerve roots into the brachial plexus on the left side in the base of left neck present as a result of the injuries that he sustained at the time of the accident of January 11,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Without contradicting opinion or facts, this reasoning is compelling. The difficulty with this is that soon after the plaintiff did indeed require a surgical release of the right carpel tunnel. This would seem to suggest the theory of Dr. Cameron may be flawed at least in so far as it applies to this plaintiff. When confronted with this in cross-examination, Dr. Cameron's explanation was that the right-sided carpel tunnel may be the result of excess use of the right arm as a result of the left-sided injury and weakness arising from the MVC.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onus is on the plaintiff to prove causation. While these explanations are certainly plausible and defensible they do not rise to proof to the requisite standard of proof. I am unable to conclude on the evidence that the carpel tunnel syndrome is caused by the MVC applying the "but for"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will next address the plaintiff's thumb injury. As noted, he had dislocated his thumb many years ago playing volleyball. The lasting effects were relatively easily managed and the plaintiff's pre-MVC activities demonstrate that it had limited impact upon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Late in the summer of 2013, he dislocated the thumb again when he reached across his body with his right arm to turn a tap in the shower. He says he used his right hand because of the weakness in his left arm when ordinarily he would have used his left hand. This, he argues, establishes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am unable to accept the proposition. Clearly his thumb was vulnerable to re-injury. The motion that caused it was very pedestrian. The plaintiff could clearly have used two hands even if one had less strength. It was an incident that was fortuitous as many injuries tend to be and hindsight offers an explanation that does not meet the threshold of proving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plaintiff tore his right bicep tendon in August 2016 while placing a piece of plywood in a trailer. The plywood shifted and the plaintiff tried to catch the plywood before it fell. He says that he tried to catch it one-handed because of the weakness in his left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plaintiff had no prior right bicep injury or condition but as with my conclusion regarding his thumb, I am not satisfied causation has been established. This was clearly a reflex motion. How that reflex was influenced by his left-arm weakness and whether the injury would or would not have occurred but for the MVC-related injuries is speculative. Again, I view the plaintiff's argument as an effort in hindsight to find a link to the MVC rather than proof of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summary, I agree with the third party that the bilateral carpal tunnel, right bicep, and right thumb injuries are unrelated to the accident. In addition, the tinnitus and resulting stapedectomy surgery and hyperacusis were not caused by the MVC.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This leads then to the second facet of causation issues referenced above, the secondary effects the MVC-related injuries and the unrelated injuries or, what I have referenced as the mental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There is no doubt that the symptoms, treatments/surgery and associated recovery from the unrelated injuries would have made the post-MVC pre-trial period more difficult for the plaintiff. Logically, all of that would have some impact on his mental health. The challenge is to address that overlap in a manner that awards the plaintiff only for those losses that are properly connected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This requires trying to understand the plaintiff's physical and mental health prior to those periods and the long-term contribution of the unrelated injuries to the plaintiff's mental injuries and overall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addition to the references to the medical reports set out above at para. 67, I add the following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Collins, report dated January 29, 2016: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physical symptoms of neck pain and sensory symptoms of tinnitus, impaired balance, and impaired tolerance of some movement have a very significant negative impact on Mr. Bennett's psychological health and quality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indication that Mr. Bennett would have developed an Adjustment Disorder if he had not been involved in this accident. As discussed above, the accident and its consequences most probably caused the Adjustment Disorder.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Similarly, there is no reason to believe that he would have developed memory and cognitive symptoms absent the accident. The accident in question is the most probable cause of the cognitive symptoms, due to mechanisms discussed above.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 strong correlation between chronic pain and psychiatric disorders, including clinical depressive disorder and anxiety disorder. The chronic pain, impairment of function, the loss of enjoyment, and change in identity (perception of self) all constitute significant psychosocial stressors. Accordingly, if Mr. Bennett continues to experience chronic pain, then he will be at higher than average risk of developing additional or more severe psychiatric illness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It is my conclusion that chronic pain is a primary contributor to the ongoing limitations experienced by the plaintiff and the primary source of the mental injuries. Understanding the source of that chronic pain is therefore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carpel tunnel syndrome emerged in early 2017. He first saw Dr. Zeznik in May 2017, and the surgeries were completed relatively soon afterward on June 12 and August 28, 2017. In that way, it logically would have contributed to his emotional challenges, but I find no basis to conclude that the plaintiff's functional status as at the date of trial or the prognosis beyond that date is impacted by the development of bilateral carpel tunnel syndrome. The plaintiff's mental injuries were entrenched by that time. The carpal tunnel surgeries were effective so that the period of time they contributed to the plaintiff's problems was relatively brief. The resolution of the carpel tunnel syndrome has done little to alter the seriousness of the mental injuries and certainly not altered his capacity to teach. It has removed one element of physical barrier to construction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plaintiff tore his right bicep tendon in August 2016. There is limited medical evidence that references this injury specifically. There is nothing to suggest it is or was a significant contributor to his mental injuries. Even allowing for some temporary impacts in that regard, there is nothing to support any conclusion of any lasting contribution.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It is my conclusion that the sources then of the chronic pain that have driven the mental injuries are the MVC-related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third party argument says "The most significant problem in terms of his ability to work was his pre-existing degenerative conductive hearing loss in his left ear that caused tinnitus and ultimately required stapes surgery that created further complications." I do not agree. It is striking that in a review of the medical opinions for both the third party and the plaintiff there is limited reference to hyperacusis as a significant contributor to his current functioning. Examples include Dr. Laidlow for the third party and Dr. Boucher and Lydia Philips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Dr. Laidlow opines in his August 26, 2015 report, that there is nothing in the plaintiff's past history "...that would make [him] more prone to right foot pain, anxiety, depression, TMJ problems or a sleep disturbance." He goes on to say that the plaintiff's cognitive issues are primarily a product of pain, sleep disturbance anxiety and depression with some possible contribution from the residual effects of a mild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complaints leading up to the date of trial and recorded in the medical evidence most recently are pain-associated issues. Dr. Boucher's summary of visits from June 21, 2017 to March 2, 2018, contain no references to tinnitus or hyperacusis. A review of all of the reports of Dr. Boucher reveals that the last time the plaintiff complained of a hearing-related issue was in June 2017, where the reference is, "Tinnitus of his left ear which is usually present all the time will be more pronounced in the quiet of night making it hard to fall asleep again, especially combined with his ongoing neck pain." In Dr. Boucher's first report dated April 29, 2016 there are several references to tinnitus with the summary of present symptoms including, "Tinnitus: Ongoing mild symptoms and not as intrusive as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Lydia Philips makes a statement in her May 19, 2016 report with which I agree: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Regarding Mr. Bennett's function; I found that his tinnitus was one of many contributing factors to his functional impairments but I did not feel that it was the main contributing factor to any particular dysfunction. Most importantly, his tinnitus was not a significant factor in his work-related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his January 29, 2016 report, Dr. Collins does not reference the hyperacusis but does give the tinnitus greater significance than Ms. Phillips: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cognitive symptoms are best explained as resulting from of a combination of factors including persisting pain, sleep disturbance, depressed mood, anxious mood, and psychosocial stressors related to impaired functioning.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impairment of cognitive functioning, including short-term memory and processing, has been associated with significant impairment of occupational functioning. These symptoms and impairments have constituted a severe psychological stressor for Mr. Bennett. He feels like a burden to others.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physical symptoms of neck pain and sensory symptoms of tinnitus, impaired balance, and impaired tolerance of some movement have a very significant negative impact on Mr. Bennett's psychological health and quality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symptoms of low mood and anxious mood have been of sufficient severity to warrant a psychiatric diagnosis. Given that the symptoms are directly attributable to identifiable psychosocial and physical stressors, as discussed above, a psychiatric diagnosis of Adjustment Disorder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His prognosis for full psychological recovery is ". . . poor as long as he continues to experience chronic physical symptoms (particularly pain), chronic cognitive symptoms, and impaired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Collins proceeded on the basis that the tinnitus was caused by the MVC. His opinion and prognosis as set out above, however, stresses that the chronic pain is the major factor influencing the plaintiff's prognosis. That is consistent with the plaintiff's evidence and my overall impression from the testimony of the lay and expert witnesses and the expert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efforts to return to work require some specific comment. When budget constraints within the School District forced his move to an elementary school, his tinnitus and/or hyperacusis was a more prominent issue, but again it was not the only issue. The move was a wholesale change of environment for a teacher who was significantly compromised on multiple fronts. It was destined to fail with or without the hearing-related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plaintiff's last effort to return to work was at VSS for the 2014/2015 school year. This was a product of a highly emotional and determined effort by the plaintiff to resist being posted to Coldstream Elementary and to obtain the posting at VSS. He engaged directly with Mr. Rogers who was at that time the Superintendent of the School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That summer his treatments included physiotherapy, massage and acupuncture that focussed on his neck and back. He continued seeing Dr. Nielson to deal with his psychological/emotional issues. He continued with Dr. Kersey and adjustments to his mouth guard to try to manage his jaw pain. He saw Dr. McCann for lidocaine trigger point injections to his back. He was engaged with his kinesiologist with an exercise program. This demonstrates just how badly the plaintiff has wanted to return to teaching and how significant the loss of that has been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effort to return to work failed and the plaintiff has not worked since. He began working .5 FTE. It was early in that year that he received his most recent and effective hearing aid. That followed an event with a fire alarm which he found difficult with the hyperacusis. His detailed testimony regarding that year otherwise described pain-driven issues, including the emotional consequences of his struggling to succeed in the position he had fought to obtain. By October 2014, he reduced to .25 FTE but struggled to manage throughout the balance of that year. It is my observation and conclusion that the tinnitus and hyperacusis were not the cause of this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It is my conclusion that the tinnitus is, at least by the date of trial, a condition that, as described by Dr. Bell for the third party, is a nuisance. The hyperacusis is managed with the hearing aids and is not a significant contributor to his mental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addition, I have the evidence of the plaintiff that the hyperacusis is not a significant concern to him as of the trial date and that he has found at least reasonable management of the tinnitus with the evolution of use of various hearing aids.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It is impossible to compartmentalize and quantify the relative contributions of each condition or injury to the plaintiff's psychological status. It is clear however that without the undisputed MVC-related injuries and conditions, the plaintiff would not be where he presently is. The mental injuries are, in my view, non-divisible injuries. The primary ongoing cause is the chronic pain derived from the MVC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It is evident from the expert reports and from the testimony of the witnesses, and particularly the plaintiff and Michelle Bennett, that the mental injuries are the primary impediment to his future employability and have the greatest impact on the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factors in respect of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third party correctly argues that it is not liable for damages arising from the effects of those injuries or conditions that are unrelated injuries. The approach, it says, is to reduce the relevant awards by 40%. In my view, the third party's approach is too simplistic in the circumstances of this case. There cannot be a uniform reduction of 40% to the various heads of damage, including past and prospective losses. I will address this more specifically in my assessments of the individual heads of damage that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Heads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most significant physical injuries received by the plaintiff in the MVC were to his neck, upper back, shoulders and foot. These injuries account for three of the surgeries. The immediate consequence of these injuries was severe pain and restrictions on every aspect of his life. While his situation has stabilized and the surgery to repair his neck was successful in its objectives, the long-term consequences of those injuries are chronic pain which has and will continue to impact the plaintiff's overall health and particularly his mental health. In particular, this is the major contributor to the ongoing issues affecting his mental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award of non-pecuniary damages must deal with past and future impacts of the MVC-related injuries. I disagree with the suggestion that the unrelated injuries account for 40% of the plaintiff's past and ongoing difficulties. The impact from the MVC to the trial date has been greater than it will be in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There are components of his physical health problems that were not caused by the MVC. As set out above, those include the carpel tunnel syndrome and related surgeries, the thumb symptoms and resulting surgical recovery and his stapedotomy. These problems emerged relatively late in the sequence of post-MVC events however. While obviously not helpful to his situation, the psychological damage was essentially done. The capacity to cope with what otherwise would likely have been fairly routine medical issues had evaporated. In large measure, the physical symptoms associated with these were effectively addressed and any psychological impact was of limited duration.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It is his capacity to cope with his physical conditions and the consequential mental injuries that are the most detrimental to the plaintiff. The medical opinions are clear in this regard. It is my conclusion that, but for the MVC injuries these conditions would not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Specifically in relation to the tinnitus, I accept Dr. Bell's opinion that tinnitus is not at all uncommon (15% of the population) and generally is only a nuisance. To the extent it is more than a nuisance to the plaintiff, it is my conclusion that is so because he is emotionally drained and compromised by the effects of the MVC-related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global result for the plaintiff has been devastating to his quality of life and there is no indication that it will improve. He is unable to pursue most of that which gave him purpose and pleasure, reducing his self esteem and image. He has shown some residual ability to carry out home repairs but a loss of any essential capacity to work for the plaintiff is a major personal consequence separate from the loss of earnings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Both parties have referred to authorities to support the positions advanced as set out in the Issues section of this decision. I will not summarize the facts or conclusions of each of those decisions. Obviously every case has unique features.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The third party refers to </w:t>
      </w:r>
      <w:r>
        <w:rPr>
          <w:rFonts w:ascii="arial" w:eastAsia="arial" w:hAnsi="arial" w:cs="arial"/>
          <w:i/>
          <w:color w:val="000000"/>
          <w:sz w:val="20"/>
          <w:lang w:val="en-US" w:eastAsia="en-US" w:bidi="ar-SA"/>
        </w:rPr>
        <w:t>Cebula v. Smith</w:t>
      </w:r>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2013 BCSC 1939</w:t>
        </w:r>
      </w:hyperlink>
      <w:r>
        <w:rPr>
          <w:rFonts w:ascii="arial" w:eastAsia="arial" w:hAnsi="arial" w:cs="arial"/>
          <w:color w:val="000000"/>
          <w:sz w:val="20"/>
          <w:lang w:val="en-US" w:eastAsia="en-US" w:bidi="ar-SA"/>
        </w:rPr>
        <w:t xml:space="preserve">. That involved a plaintiff with, in my view, less serious overall consequences who was awarded $150,000. The same can be said of </w:t>
      </w:r>
      <w:r>
        <w:rPr>
          <w:rFonts w:ascii="arial" w:eastAsia="arial" w:hAnsi="arial" w:cs="arial"/>
          <w:i/>
          <w:color w:val="000000"/>
          <w:sz w:val="20"/>
          <w:lang w:val="en-US" w:eastAsia="en-US" w:bidi="ar-SA"/>
        </w:rPr>
        <w:t>Kijowski v. Scott</w:t>
      </w:r>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2015 BCSC 2335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Gulati v. Chan</w:t>
      </w:r>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2015 BCSC 431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Clark v. Bullock</w:t>
      </w:r>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2013 BCSC 944</w:t>
        </w:r>
      </w:hyperlink>
      <w:r>
        <w:rPr>
          <w:rFonts w:ascii="arial" w:eastAsia="arial" w:hAnsi="arial" w:cs="arial"/>
          <w:color w:val="000000"/>
          <w:sz w:val="20"/>
          <w:lang w:val="en-US" w:eastAsia="en-US" w:bidi="ar-SA"/>
        </w:rPr>
        <w:t>, where awards of $140,000, $125,000 and $120,000 were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The plaintiff references cases with awards which he has "adjusted for inflation", including </w:t>
      </w:r>
      <w:r>
        <w:rPr>
          <w:rFonts w:ascii="arial" w:eastAsia="arial" w:hAnsi="arial" w:cs="arial"/>
          <w:i/>
          <w:color w:val="000000"/>
          <w:sz w:val="20"/>
          <w:lang w:val="en-US" w:eastAsia="en-US" w:bidi="ar-SA"/>
        </w:rPr>
        <w:t>Beardwood v. Sheppard</w:t>
      </w:r>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2016 BCSC 100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Tompkins v. Bruce</w:t>
      </w:r>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2012 BCSC 266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Felix</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Hearne</w:t>
      </w:r>
      <w:r>
        <w:rPr>
          <w:rFonts w:ascii="arial" w:eastAsia="arial" w:hAnsi="arial" w:cs="arial"/>
          <w:color w:val="000000"/>
          <w:sz w:val="20"/>
          <w:lang w:val="en-US" w:eastAsia="en-US" w:bidi="ar-SA"/>
        </w:rPr>
        <w:t xml:space="preserve">, </w:t>
      </w:r>
      <w:hyperlink r:id="rId627" w:history="1">
        <w:r>
          <w:rPr>
            <w:rFonts w:ascii="arial" w:eastAsia="arial" w:hAnsi="arial" w:cs="arial"/>
            <w:i/>
            <w:color w:val="0077CC"/>
            <w:sz w:val="20"/>
            <w:u w:val="single"/>
            <w:shd w:val="clear" w:color="auto" w:fill="FFFFFF"/>
            <w:lang w:val="en-US" w:eastAsia="en-US" w:bidi="ar-SA"/>
          </w:rPr>
          <w:t>2011 BCSC 1236</w:t>
        </w:r>
      </w:hyperlink>
      <w:r>
        <w:rPr>
          <w:rFonts w:ascii="arial" w:eastAsia="arial" w:hAnsi="arial" w:cs="arial"/>
          <w:color w:val="000000"/>
          <w:sz w:val="20"/>
          <w:lang w:val="en-US" w:eastAsia="en-US" w:bidi="ar-SA"/>
        </w:rPr>
        <w:t>, where awards between $200,000 and $230,000 were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Having considered those cases and the evidence before me, I conclude that an appropriate award is $225,000, which I reduce by 10% in consideration of the impact of the unrelated injuries. I have limited this to 10% because those problems have been a minor to moderate contributor to the plaintiff's situation to the trial date. Going forward in time they play an even lesser role.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This component of the claim is more significantly influenced by unrelated injuries than future loss of capacity. As described above, not all of the surgeries were MVC-related. At least some of the time away from work was specifically as a result of the surgeries and treatment for unrelated injuries or conditions. The MVC-related symptoms have however remained throughout those periods of time, so any clear lines as to the contribution of symptoms themselves is more difficult to identify.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third party's position is that there must be specific reductions to reflect absences for non-MVC-related surgeries (thumb, carpel tunnel and ear) and a 40% additional reduction. I agree that the plaintiff's claimed losses must be adjusted for absences that are not the product of MVC-related injuries. To give effect to both of these propositions however would be to effectively duplicate reductions.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Both parties asked during submissions that matters of deduction for income actually earned and EI or other payments received should be left until I render my decision. I agreed, so this decision will simply set out my awards and leave to counsel to assist afterward as to what, if any, adjustments are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This assessment is also complicated by the plaintiff's assertion that he would have completed his masters and obtained an administrative position with the School District prior to trial. This proposition requires that I address the prospects of the plaintiff first acquiring his master's degree and then a position in administration as a principal or vice-principal. My findings will be relevant as well in the assessment of the plaintiff's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third party acknowledges a prospect of the former but says there is no real and substantial possibility that the plaintiff would have obtained a vice-principal position because of his lack of elementary school experience. The third party's argument is stated as follows:</w:t>
      </w:r>
      <w:r>
        <w:rPr>
          <w:rFonts w:ascii="arial" w:eastAsia="arial" w:hAnsi="arial" w:cs="arial"/>
          <w:sz w:val="20"/>
          <w:lang w:val="en-US" w:eastAsia="en-US" w:bidi="ar-SA"/>
        </w:rPr>
        <w:cr/>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 . The reason is that the Plaintiff had no elementary school experience and the evidence was clear that there are only 41 administrative positions at School District 22, of which 30 are for positions in elementary schools. Mr. Rogers was clear that he would hire only the best applicant for the position and that only applicants who had worked in elementary schools would be considered for administrative positions at the elementary level. Mr. Rogers was also clear that they consider applicants from outside the province as well. He was also clear that to become and administrator, you must first be a successful vice-principal for five years. That leaves a total of 10 possible administrative positions of which 5 are for vice-principals. Therefore, the Plaintiff is only qualified for 5 positions in the entire School District 22, which typically they will receive 30-40 applications for when an opening arises.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agree with both parties that there was a real and substantial possibility the plaintiff would have obtained his master's degree. He certainly had the skills and the entry requirements were liberal enough that he could have successfully applied. In his report dated May 20, 2016, Dr. Pullyblank (vocational consultant) writes at page 5: "In my opinion, Mr. Bennett's history and test results indicate that he could easily have completed such a degree had he chosen to do so." The precise timing of successful enrollment irrespective of his hopes and plans introduces another layer of uncertainty as to when this may have generated any pay increase.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As to the prospects of successfully obtaining an administrative position, I do not accept the conclusion urged by the third party. The points raised above and the question of whether the plaintiff would actually have pursued such a position are fairly raised as factors influencing the award for the lost prospect. The evidence however supports a conclusion that there was a real and substantial possibility the plaintiff would have had success as a vice-principal and perhaps a principal.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Joe Rogers is in the unique position of having been the plaintiff's principal and now being the Superintendent of the School District. His evidence included that he would have been prepared to be a reference for the plaintiff to obtain an administration position and that he felt the plaintiff was better qualified than some successful applicants within the School District. He did not say that the absence of elementary teaching experience would preclude success, but rather it narrowed the opportunity to secondary schools. In addition, the plaintiff would have needed to become a vice-principal for at least five years before he would have an opportunity to be a principal. There are five high schools in the School District, meaning five prospective vice-principal positions. Little information about other districts was introduced.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Given this evidence, the prospects for the plaintiff were positive, although the wait for an opportunity and selection may have been relatively 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plaintiff argues that he could have succeeded by January 2015 and his assertions regarding past income loss are built on that proposition. In my view, this is overly optimistic. It assumes almost immediate success in getting a vice-principal position. In addition, the salary information used to calculate the loss of opportunity is a blended vice-principal/principal statistic which inappropriately skews the calculation. It is possible the plaintiff would never have obtained a principal's position or, if he did, that it would take longer than the five-year minimum as a vice-principal referenced by Mr. Rogers.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It is my conclusion that with the uncertainty of when the plaintiff may have completed his masters and the limited availability of positions, nothing can be added to the past income loss claim for increased income from administration. Some acknowledgment of increase to level 5+ or 6 in the School District's salary grid is, however,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plaintiff's claim as set out in para. 56 above is based on the report of the economist Mr. Wickson. He did calculations of what the plaintiff's teaching earnings would have been if he remained at scale 5 ($503,800) on the grid and if he moved to scale 6 by September 2013 ($531,800). The third party says there are two flaws. One is the third party's position that, similar to non-pecuniary damages, a 40% negative contingency needs to be applied against any amounts awarded for past income loss. The second is that the calculations fail to take into account the following:</w:t>
      </w:r>
      <w:r>
        <w:rPr>
          <w:rFonts w:ascii="arial" w:eastAsia="arial" w:hAnsi="arial" w:cs="arial"/>
          <w:sz w:val="20"/>
          <w:lang w:val="en-US" w:eastAsia="en-US" w:bidi="ar-SA"/>
        </w:rPr>
        <w:cr/>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Time missed from work due to the left ear surgery from September 2013 to February 2014;</w:t>
      </w:r>
    </w:p>
    <w:p>
      <w:pPr>
        <w:numPr>
          <w:numId w:val="8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teacher's lock out/job action of June to mid-September 2014; and</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Time that would have been missed from work for the thumb fusion surgery, as well as the left and right carpal tunnel surgeries.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agree with the third party on a conceptual level but not as to the extent of the deductions. While the latter are more arithmetic in nature, they cannot be precisely calculated because the plaintiff continued to suffer with the effects of the MVC-related injuries and did attempt to return to work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A global percentage adjustment is the method that I will use to address these concerns. Indeed that is what the third party's argument ultimately proposed. The third party's suggested award for past wage loss from the School District of $280,626.84 is explained as follows in its argument: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figure takes into consideration the amounts for past wage loss as a Category 5 Teacher found at Table 6 of Ms. Szekely's report, plus a 10% chance that the Plaintiff would have earned a Master's in 2013, less 40% for negative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It is my conclusion that it is almost certain that the plaintiff would have obtained his masters by the time of trial. The prospects of that happening as soon as September 2013 is more in doubt. I also do not agree that 40% of the lost earnings at whatever scale is appropriate can be assigned to unrelated injuries. As noted, the time post-MVC to the trial date is more heavily impacted by the unrelated injuries than in the future, but given the timing of their impact and the severity of the MVC-related symptoms 25% is more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Applying the third party's methods and allowing for a 75% likelihood the plaintiff would have his masters by September 2013 and making a 25% negative contingency reduction, the past loss of teaching income is $363,830.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A corollary effect of the plaintiff pursuing his masters and ultimately succeeding in obtaining an administration position is less time for other activities that the plaintiff says must be compensated for, such as renovation work and installing granite countertops. The evidence of the level of activity of the plaintiff pre-MVC shows not only a significant drive to be active but also no capacity to add time commitments without something else giving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If the plaintiff was to pursue his masters, time had to be made for that. If successful in obtaining an administration position he would have likely poured his energy into learning the position and proving himself. The evidence is that administration positions require a greater time commitment than regular teaching positions. Administrators typically work at least portions of the summer breaks. In addition, their work load is not driven by classroom hours. All of this means that these non-teaching pursuits would have been constrained including remunerative activities. They would logically be the first to give way before commitments to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There is no doubt that in the period post-MVC to trial, unrelated conditions and treatments impacted the plaintiff's capacity for renovation and other heavier tasks but the MVC-related conditions and symptoms remained active as well. Except for the periods of acute impact (such as post-surgery) it is very difficult to say that it was the unrelated injuries and symptoms that prevented the plaintiff from pursuing the heavier work. This is one challenge in valuing this portion of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Another challenge is attaching any specific value to the plaintiff's non-teaching work. Despite the plaintiff's efforts to attach precision to his claim and do mathematical calculations using hourly rates, the simple reality is that there are no records for any payments he might have received and the majority of the time there were no payments at all. He traded work with friends and, not surprisingly, this was done very casually and without any sort of reconciliation. He did his own renovations, which presumably added value to the Bennetts' properties but there is no evidence as to what that might have been. I have only descriptions of the nature of that work. To translate this to an award based on an hourly rate for specified hours runs contrary to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Still further and specifically in respect of the claim for loss of income from the granite countertop business is the evidence that Mr. Filice slowly wound down the business because of increasing competition in the time post-MVC to trial. The opportunity for income from this endeavour was therefore limited by other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The assessment of past lost of income and past loss of opportunity is described in </w:t>
      </w:r>
      <w:r>
        <w:rPr>
          <w:rFonts w:ascii="arial" w:eastAsia="arial" w:hAnsi="arial" w:cs="arial"/>
          <w:i/>
          <w:color w:val="000000"/>
          <w:sz w:val="20"/>
          <w:lang w:val="en-US" w:eastAsia="en-US" w:bidi="ar-SA"/>
        </w:rPr>
        <w:t>Sandu v. Bates</w:t>
      </w:r>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2018 BCSC 2116</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 Compensation for past loss of earning capacity is to be based on what the Plaintiff would have, not could have, earned but for the injury that was sustained: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xml:space="preserve"> at para. 49.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 Pursuant to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a Plaintiff is entitled to recover damages for only his or her past net income loss. This means that, in the ordinary course, the court must deduct the amount of income tax payable from lost gross earnings: </w:t>
      </w:r>
      <w:r>
        <w:rPr>
          <w:rFonts w:ascii="arial" w:eastAsia="arial" w:hAnsi="arial" w:cs="arial"/>
          <w:i/>
          <w:color w:val="000000"/>
          <w:sz w:val="20"/>
          <w:lang w:val="en-US" w:eastAsia="en-US" w:bidi="ar-SA"/>
        </w:rPr>
        <w:t>Hudniuk v. Warkentin</w:t>
      </w: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2003 BCSC 62</w:t>
        </w:r>
      </w:hyperlink>
      <w:r>
        <w:rPr>
          <w:rFonts w:ascii="arial" w:eastAsia="arial" w:hAnsi="arial" w:cs="arial"/>
          <w:color w:val="000000"/>
          <w:sz w:val="20"/>
          <w:lang w:val="en-US" w:eastAsia="en-US" w:bidi="ar-SA"/>
        </w:rPr>
        <w:t xml:space="preserve"> at para. 42.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 The trial judge has a discretion to determine what period or periods of time are appropriate for the determination of net income loss: </w:t>
      </w:r>
      <w:r>
        <w:rPr>
          <w:rFonts w:ascii="arial" w:eastAsia="arial" w:hAnsi="arial" w:cs="arial"/>
          <w:i/>
          <w:color w:val="000000"/>
          <w:sz w:val="20"/>
          <w:lang w:val="en-US" w:eastAsia="en-US" w:bidi="ar-SA"/>
        </w:rPr>
        <w:t>Lines v. W.D. Logging Co. Ltd.</w:t>
      </w:r>
      <w:r>
        <w:rPr>
          <w:rFonts w:ascii="arial" w:eastAsia="arial" w:hAnsi="arial" w:cs="arial"/>
          <w:color w:val="000000"/>
          <w:sz w:val="20"/>
          <w:lang w:val="en-US" w:eastAsia="en-US" w:bidi="ar-SA"/>
        </w:rPr>
        <w:t xml:space="preserve">, </w:t>
      </w:r>
      <w:hyperlink r:id="rId601"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paras. 181-186 [</w:t>
      </w:r>
      <w:r>
        <w:rPr>
          <w:rFonts w:ascii="arial" w:eastAsia="arial" w:hAnsi="arial" w:cs="arial"/>
          <w:i/>
          <w:color w:val="000000"/>
          <w:sz w:val="20"/>
          <w:lang w:val="en-US" w:eastAsia="en-US" w:bidi="ar-SA"/>
        </w:rPr>
        <w:t>W.D Logging Co</w:t>
      </w:r>
      <w:r>
        <w:rPr>
          <w:rFonts w:ascii="arial" w:eastAsia="arial" w:hAnsi="arial" w:cs="arial"/>
          <w:color w:val="000000"/>
          <w:sz w:val="20"/>
          <w:lang w:val="en-US" w:eastAsia="en-US" w:bidi="ar-SA"/>
        </w:rPr>
        <w:t>.]. In exercising this discretion, the trial judge should keep in mind that the Plaintiff is to be put back in the position he or she would have been in had the accident not occurred (</w:t>
      </w:r>
      <w:r>
        <w:rPr>
          <w:rFonts w:ascii="arial" w:eastAsia="arial" w:hAnsi="arial" w:cs="arial"/>
          <w:i/>
          <w:color w:val="000000"/>
          <w:sz w:val="20"/>
          <w:lang w:val="en-US" w:eastAsia="en-US" w:bidi="ar-SA"/>
        </w:rPr>
        <w:t>W.D Logging Co.</w:t>
      </w:r>
      <w:r>
        <w:rPr>
          <w:rFonts w:ascii="arial" w:eastAsia="arial" w:hAnsi="arial" w:cs="arial"/>
          <w:color w:val="000000"/>
          <w:sz w:val="20"/>
          <w:lang w:val="en-US" w:eastAsia="en-US" w:bidi="ar-SA"/>
        </w:rPr>
        <w:t>, at paras. 185-186).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The burden of proof of actual past events is a balance of probabilities. An assessment of loss of both past and future earning capacity involves consideration of hypothetical events. The Plaintiff is not required to prove these hypothetical events on a balance of probabilities. The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591"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plaintiff says an award of $64,800 is appropriate and the third party says $10,000. In my view, an award of $20,000 is proper.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plaintiff also claims for loss of rental income from the Camrose rental properties. His argument is:</w:t>
      </w:r>
      <w:r>
        <w:rPr>
          <w:rFonts w:ascii="arial" w:eastAsia="arial" w:hAnsi="arial" w:cs="arial"/>
          <w:sz w:val="20"/>
          <w:lang w:val="en-US" w:eastAsia="en-US" w:bidi="ar-SA"/>
        </w:rPr>
        <w:cr/>
      </w:r>
    </w:p>
    <w:p>
      <w:pPr>
        <w:numPr>
          <w:numId w:val="8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rental income from 3 of his rental properties in Alberta because he has not been able to renovate them himself, when he would have done all the work himself if he had not been injured in the Accident. As a result of not being able to do the work, three of the units are now vacant.</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inherited one of his rental properties and purchased the three others (7 rental units in total), after his mother died in 2013. It was reasonable for him to purchase the rental properties, because at that point he was still expecting to recover from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third party says there should be no award for losses on the following logic:</w:t>
      </w:r>
      <w:r>
        <w:rPr>
          <w:rFonts w:ascii="arial" w:eastAsia="arial" w:hAnsi="arial" w:cs="arial"/>
          <w:sz w:val="20"/>
          <w:lang w:val="en-US" w:eastAsia="en-US" w:bidi="ar-SA"/>
        </w:rPr>
        <w:cr/>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Third Party submits that there is no lost income from the rental properties that the Plaintiff inherited and purchased and attempted to unsuccessfully sell. Two of the units were "trashed" by presumably unhappy occupants and the Plaintiff said that it is not economically viable to make the extensive repairs required when they only rent out at $600 to $650 per month. The rental market appears to be weak in the area given the downturn in the oil industry. The Plaintiff gave evidence that one of the properties remains vacant despite being in proper condition to rent. The Plaintiff testified that unit is also difficult to rent because of a neighbor's barking/aggressive dog.</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appears to have bought them as they were beside each other in an area where apartments are being built. Unfortunately, the downturn in the Alberta economy appears to have prevented him from realizing his desire to sell to a developer at this time, which he already attempted to do in 2016. His efforts to sell them have been unsuccessful. None of this is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An issue not addressed by the plaintiff is that the plaintiff had the option of paying a contractor or otherwise to carry out the repairs to make the units rentable. The excess costs of hiring that work out may have provided some measure of a loss. I have no evidence of that amount. Further, I am unable on the evidence to assess what work may have been necessary to make the units rentable so as to be able to mitigate the loss of rental income even if not fully renovated to an optimal standard. There is also the fact that not all of the plaintiff's limitations to being able to carry out the repairs were, on my conclusions, attributable to the MVC.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It is also worthy of at least noting that the Bennetts sold the Okanagan Lake cabin in early 2013 at least in part because of the plaintiff's struggles to do the maintenance. Later that same year he decided to acquire multiple rental properties in Alberta and now seeks to recover lost revenue because of his inability to do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As noted by the third party, even if they had been made rentable, there is no evidence that allows me to assess the likely occupancy rates of the units. The plaintiff suggests a reduction of 50% to reflect market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On the plaintiff's argument, had the MVC not occurred he would have done the work without compensation and with at least costs for the materials required. That would have permitted him to obtain rental income. His net recovery would be less than what he is asking this court to award him even if I ignore market occupancy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With all of the information lacking to properly assess any potential loss here, I am not satisfied that this aspect (loss of rental income) of the plaintiff's claim has been proved.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plaintiff obtained a report from Ms. Phillips costing the various recommendations for future care. That was then used by Mr. Wickson in his economist's report for the plaintiff to calculate present values. Those ranged between $145,700 and $456,000 depending on variables used, principally frequency and duration of care items. The plaintiff conceded certain of the items could be removed or modified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1057 . . . If the Botox injections are omitted, this amount comes down at the high end by $291,155. Also, the Plaintiff agrees that it would be appropriate to substitute $2,400 *2.897 = $6,952.80 for counselling instead of $53,752. Also, assuming Mr. Bennett will not return to work, he is likely not going to need $3,500 for Occupational Therapy and Speech Language.</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other hand, the amounts for cost of care should be adjusted for passive therapy to $1,500 per year (continuous). With a multiplier of 22.397, the amount should come to $35,835, instead of the amounts indicated of $11,646 for massage therapy and $3,136 for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plaintiff's argument was later modified from an initial global claim for future care of $133,666 to $402,096. The largest portion of that change was a result of adding back $291,155 for Botox injections.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plaintiff had undertaken Botox injections for his back pain with Dr. McCann. In his report of April 20, 2016, the results and recommendations regarding potential future use in the neck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also had some worsening following an injection of Botulinum Toxin A into the muscles of the neck, which I performed on February 17,2015. This is a rare but documented complication, which can occur from Botulinum Toxin A injections in the neck muscles and scapular areas. The amount of dose, that I used in these areas was quite small and I did not expect this type of side affect. However, he reported a clear history of worsening for 2 months after the injection into the muscles, which fits with the complications that can occur with Botulinum Toxin A injections into the neck, that are reported in the literature. Therefore, he is not a candidate for Botulinum Toxin A injections in the neck in the future. He is not a candidate for injections into the deeper structures of the neck, such as the medial branches, as he has had major surgery and fusion of the neck, and I would not want to risk any potential of infection with such treatment. Even if we performed these types of injections, it would likely only provide him with partial and temporary relief of his pain, and therefore would not be worth the potential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Botox was also used by Dr. Whitney to treat the jaw symptoms. He recommends several treatment modalities but states in his June 21, 2017 report:</w:t>
      </w:r>
      <w:r>
        <w:rPr>
          <w:rFonts w:ascii="arial" w:eastAsia="arial" w:hAnsi="arial" w:cs="arial"/>
          <w:sz w:val="20"/>
          <w:lang w:val="en-US" w:eastAsia="en-US" w:bidi="ar-SA"/>
        </w:rPr>
        <w:cr/>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Botox or other needle treatments for tender points or tightness in jaw muscles not responding to the treatments described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He notes however that this would be of limited duration,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Bennett will require treatment and monitoring with regard to his temporomandibular disorder for 12 to 24 months. The treatment described in this report may be effective in reducing the severity of Mr. Bennett's jaw condition. Reassessment following the completion of this treatment should provide information of value to better predict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plaintiff undertook two treatments with Dr. Whitney well before the trial and has not returned for continuation of that treatment. While it is suggested that he may return for further treatment, I do not accept that will in fact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Further, there is no basis on the evidence for an award for long-term Botox treatment based on the report of Dr. McCann.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third party challenges the need for ongoing psychological counselling and references the report of Dr. Laidlow for support. He questions what the plaintiff has gained by the counselling. Both Drs. Collins and Miller, however, support the treatment. Having also heard the evidence of Dr. Nielson, who is providing the counselling, and the plaintiff as to its place in helping him manage what I have described as the most serious consequence of this MVC, I am satisfied this is an appropriate form of care. In particular, I agree with the opinion of Dr. Collins that "This treatment would most likely help to reduce emotional distress and reduce the risk of additional psychiatric problems developing in the future. I recommend that he continue to see Dr. Neilson for this treatment." I do not agree with the third party that there should be a reduction for the contribution of unrelated injuries as, from the date of trial, any contribution is negligible.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same rationale applies to the ongoing use of passive therapies. While Dr. Laidlow questions the benefit, I prefer the reasoning of Drs. McCann and Boucher that these treatments serve to allow the plaintiff to cope with his ongoing chronic pain and avoid psychological deterioration.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That rationale does not apply to the suggested ongoing speech and language therapy and I do not make any award for this component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claim for the ElliptiGO bike is in my view not proved. The plaintiff still engages in various forms of physical exercise and I am not satisfied that there is a particular need for this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plaintiff also claims for handyman services. This is in addition to the future income loss claim for loss of handyman capacity dealt with below. There is a need to avoid compensating the plaintiff twice for the same loss. Here, the claim is based on home repairs and maintenance the plaintiff can no longer carry out and is set out in the report of the occupational therapist. The loss of capacity claim includes an estimation of the amount of time the plaintiff used his skills to do work around his own home. Some of that is for renovation and improvement as opposed to maintenance but the two components are not separated. I will deal with these claims together in the loss of capacity claim discussion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Applying these findings and adapting the report of Mr. Wickson, the future care award includes the following:</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75" type="#_x0000_t75" style="width:421.5pt;height:319.5pt">
            <v:imagedata r:id="rId631" o:title=""/>
          </v:shape>
        </w:pict>
      </w:r>
      <w:r>
        <w:rPr>
          <w:rFonts w:ascii="arial" w:eastAsia="arial" w:hAnsi="arial" w:cs="arial"/>
          <w:sz w:val="20"/>
          <w:lang w:val="en-US" w:eastAsia="en-US" w:bidi="ar-SA"/>
        </w:rPr>
        <w:t xml:space="preserve">  </w:t>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third party itemized a list of special damage claims that it says ought not to be awarded. I agree with many of them for the reasons suggested by the third party. Rather than restate them, I am simply including those items here to be deducted from the amount the plaintiff put forward as his claim. Those are as follows:</w:t>
      </w:r>
      <w:r>
        <w:rPr>
          <w:rFonts w:ascii="arial" w:eastAsia="arial" w:hAnsi="arial" w:cs="arial"/>
          <w:sz w:val="20"/>
          <w:lang w:val="en-US" w:eastAsia="en-US" w:bidi="ar-SA"/>
        </w:rPr>
        <w:cr/>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Page 2 - September 19, 2013 - "Tylenol &amp; Ciprofloxacin" - As indicated on the list of special damages these medications were to the ear surgery which the Third Party submits was unrelated to the Accident;</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Page 2 - November 22, 2013 - "Mint-Zopiclone" - It is the Third Party's position that this medication was also related to the plaintiff's ear surgery that is unrelated to the Accident;</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Page 2 - March 12, 2014 - "Teva-Gabapentin" - It is the Third Party's position that this medication was also related to the Plaintiff's ear surgery that is unrelated to the Accident;</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Page 2 - March 19, 2014 - "Teva Gabapentin" - It is the Third Party's position that this medication was also related to the Plaintiff's ear surgery that is unrelated to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Page 4 - May 23, 2017 - "Tommy Copper Elbow Sleeve" - The Third Party submits that the Plaintiff's tennis elbow condition is unrelated to the Accident and is not entitled to compensation for expense arising from it. There is no medical evidence to establish this injury is related to the Accident, and in fact, the Plaintiff's physiotherapist, Lisa Crockett, indicates in her March 7, 2018 report that it was unrelated to the Accident [Exhibit 7a, Tab 10B, Page 15];</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Page 4 - April 3, 2018 - "Knee Brace "Amazon" - The Third Party submits that the Plaintiff's knee injury following the Accident is unrelated to the Accident and is not entitled to compensation for expense arising from it. There is no medical evidence to establish this injury is related to the Accident, and in fact, the Plaintiff stated in his own submission that the knee injury was unrelated. Further, physiotherapist, Lisa Crockett, indicates in her March 7, 2018 report that the knee injury was unrelated to the Accident [Exhibit 7a, Tab 10B, Page 15];</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Page 9 - August 11, 2017 to August 18, 2017 - "Massage Therapy (4 visits @ $70" - The Plaintiff indicates in their list of special damages that this treatment was related to the Plaintiff's tennis elbow. As above, the Third Party submits the tennis elbow is unrelated to the Accident;</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Page 10 - June 21, 2011 - "Connect Hearing - Hearing Aid" - As above, the Third Party submits that the Plaintiff's hearing loss, tinnitus, and hyperacusis is unrelated to the Accident and he is not entitled to compensation for expenses arising from those conditions;</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Page 10 - November 9, 2011 - "Assistive Equipment/ Furniture - Recliner" - The Third Party submits that this expense was not reasonable and there is no medical recommendation or evidence with respect to it. Further, Mrs. Bennett also testified in her direct that the Plaintiff used it "sometimes";</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Page 11 - August 16, 2013 - "Treo Bridge Toll" - This expense was incurred for an appointment with Dr. Westerberg. Keeping with the above, the Third Party says that the Plaintiffs hearing condition are unrelated to the Accident;</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Page 12 - September 18 &amp; 19, 2013 - "Dr. Westerberg surgery meal expenses, airfare, accommodations, mileage, and parking" - These expenses were related to the stapedotomy that the Third Party says was unrelated to the Accident. As such, the Third Party says that Plaintiff is not entitled to compensation for these expenses;</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Page 12 - October 19, 2013 - "Earmuffs" - The Third Party says that this expense is non-compensable as it was incurred for as a result of the Plaintiff's unrelated hyperacusis condition;</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Page 12 - November 7, 2013 - "Nayman's Drain Services" - As discussed earlier in these submissions, the Third Party says that the Plaintiff would have paid for this work regardless of the Accident as it was not worth his time to travel to Camrose to unplug a drain and he was struggling with his unrelated right thumb condition during this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Page 12 - February 2014 - "Cassie Crick - Installation of Sheet Rock on Walls" - As discussed earlier in these submissions, the Third Party says that the Plaintiff would have paid for this work regardless of the Accident as it was not worth his time to travel to Camrose to do this work on its own, he was struggling with his right arm and thumb at the time, and the amount charged ($15/hr) was a good rate that the Plaintiff would have taken advantage of in any event;</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Page 13 - February 14, 2014 - "Parking St. Pauls, Vancouver" - This expense is in relation to Dr. Westerberg and the Plaintiff's ear condition which are unrelated to the Accident;</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Page 13 - February 16, 2014 - "Treo Bridge Toll - Vancouver" - This expense is in relation to Dr. Westerberg and the Plaintiff's ear condition which are unrelated to the Accident;</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Page 13 - March 26, 2014 - "Cassie Crick (Work on Camrose Rental Homes)" - As discussed earlier in these submissions, the Third Party says that the Plaintiff would have paid for this work regardless of the Accident as it was not worth his time to travel to Camrose to do this work on its own, he was struggling with his right arm and thumb at the time, and the amount charged ($15/hr) was a good rate that the Plaintiff would have taken advantage of in any event;</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Page 13 - March 27, 2014 - "Drew Lyster (Work on Camrose Rental Homes)" - discussed earlier in these submissions, the Third Party submits that this expense is non-compensable as the Plaintiff would have paid his nephew to do some work regardless or the Accident and he would not have travelled to Camrose for an $80 expense;</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Page 13 - March 31, 2014 - "Gerald Bennett (Work on Camrose Rental Homes)" - As discussed earlier in these submissions, the Plaintiff stated that this was a loan to his father and that this expense should be struck;</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Page 13 - March 16, 2014 - "Treo Toll Bridge - Vancouver" - The Third Party submits that his expense is related to the Plaintiff's hearing conditions and is unrelated to the Accident;</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Page 13 - May 1, 2014 - "Connect Hearing New Hearing Aid" - The Third Party submits that his expense is related to the Plaintiff's hearing conditions and is unrelated to the Accident;</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Page 13 - August 1, 2014 - "Moving Expenses" - The Third Party submits that this expense has not been sufficiently proven as there is no receipt. Further, the Plaintiff did not call the individuals who were paid as witnesses to confirm that these amounts were in fact paid. Mrs. Bennett was also unsure as to what this expense included. She thinks they were paid $15/hr, but there may have also been some a lunch in there as well;</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Page 13 - October 15, 2014 - "Connect Hearing - Hearing Aid" - The Third Party submits that his expense is related to the Plaintiff's hearing conditions and is unrelated to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Page 14 - May 31, 2015 - "Michael Hails (Handyman)" - The Third Party submits that his is work the Plaintiff needed to pay for because of his right thumb injury and is Unrelated to the Accident;</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Page 14 - July 5, 2015 - "Michael Hails (Handyman)" - The Third Party submits that his is work the Plaintiff needed to pay for because of his right thumb injury and is unrelated to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Page 15 - August 27, 2015 - "Interior Health Hand Based Spica" - The Third party submits that this expense is related to the Plaintiff's right thumb injury which is unrelated to the Accident;</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Page 15 - October 27, 2017 - "Devon Crick" - The Third Party says that this expense was incurred as a result of the Plaintiff Unrelated Injuries</w:t>
      </w:r>
      <w:r>
        <w:rPr>
          <w:rFonts w:ascii="arial" w:eastAsia="arial" w:hAnsi="arial" w:cs="arial"/>
          <w:color w:val="000000"/>
          <w:sz w:val="20"/>
          <w:lang w:val="en-US" w:eastAsia="en-US" w:bidi="ar-SA"/>
        </w:rPr>
        <w:t>.</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Page 15 - August 2014 - "Jack Stubbs" - The Third Party says that this expense is non-compensable as the Plaintiff required the work as a result of his unrelated right thumb injury. Further, there is no receipt to confirm the amount actually paid to Mr. Stubbs for labour, or whether such amounts were in fact paid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There are some claims disputed by the third party that are in my view properly recoverable. What follows is the third party's argument again drawn from the written submissions, with my reasons for allowing the particular item:</w:t>
      </w:r>
      <w:r>
        <w:rPr>
          <w:rFonts w:ascii="arial" w:eastAsia="arial" w:hAnsi="arial" w:cs="arial"/>
          <w:sz w:val="20"/>
          <w:lang w:val="en-US" w:eastAsia="en-US" w:bidi="ar-SA"/>
        </w:rPr>
        <w:cr/>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Pages 3-4 - August 27, 2015 to November 15, 2017 - "Venlafaxine" - As previously submitted, the Third Party says that the Plaintiff's depression is multi-factorial and also derives from a number of issues independent of the Accident. Therefore, the Third Party submits that it should apply a 40% negative contingency against all costs related to the anti-depressant Venlafaxine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discussed, it is my conclusion that the primary cause of the plaintiff's ongoing depression is the MVC-related injuries. The impact of the unrelated injuries during this time period I assess at 25% and that is the appropriate deduction.</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Page 12 - December 5, 2013 - "Winter Boots Xwide toe box" - The Third Party submits that the Plaintiff should only be entitled to the cost of modifying his current boots, or the difference in cost between a normal boot and a extra wide toe boot;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Page 14 - February 25, 2015 - "Shoes Wide Toe Box"- The Third Party submits that the Plaintiff should only be entitled to the cost of modifying his current shoes, or the difference in cost between a normal shoe and an extra wide toe shoe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Page 14 - May 6, 2016 - "Red Top Shoe Store Trailblazer Shoes" - The Third Party submits that the Plaintiff should only be entitled to the cost of modifying his current shoes, or the difference in cost between a normal shoe and an extra wide toe shoe;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has struggled with finding comfortable footwear and this is in my view a reasonable and recoverable cost. I do not know that his present shoes are capable of modification. While it is fair to say that increased cost might be the best measure, it is also fair to say that the expense of new footwear may not have been incurred at all or for a considerable period of time.</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Page 13 - December 1, 2014 - "BCAA Membership" - The Third Party submits that his expense is related to the Plaintiff's hearing conditions and is unrelated to the Accident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agree that this is so closely connected with the hearing conditions and conclude it is recoverable less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plaintiff also claims mileage for attendances at various treatments and appointments totalling 20,961.4 kilometres for $10,375.89. The third party says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Plaintiff has made a past wage loss claim and has not deducted the expenses associated with travelling to/ from work on a daily basis. He is therefore receiving a greater amount for past wage loss [than] he would have actually incurred after mileage expense. Therefore, this amount should be offset. See </w:t>
      </w:r>
      <w:r>
        <w:rPr>
          <w:rFonts w:ascii="arial" w:eastAsia="arial" w:hAnsi="arial" w:cs="arial"/>
          <w:i/>
          <w:color w:val="000000"/>
          <w:sz w:val="20"/>
          <w:lang w:val="en-US" w:eastAsia="en-US" w:bidi="ar-SA"/>
        </w:rPr>
        <w:t>Bricker v. Danyk</w:t>
      </w:r>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2015 BCSC 2404</w:t>
        </w:r>
      </w:hyperlink>
      <w:r>
        <w:rPr>
          <w:rFonts w:ascii="arial" w:eastAsia="arial" w:hAnsi="arial" w:cs="arial"/>
          <w:color w:val="000000"/>
          <w:sz w:val="20"/>
          <w:lang w:val="en-US" w:eastAsia="en-US" w:bidi="ar-SA"/>
        </w:rPr>
        <w:t>, at paras. 182 to 185.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agree in part. Here the plaintiff's residence is near Kal Secondary. Some offset is reasonable and I fix that at 25% and allow $7,782.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 require counsels' assistance with the arithmetic that flows from these conclusions. If counsel can agree on the final calculation they can include that in the final order. If they cannot, I will hear from them to resolve the issues of calculation that emerge.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Much of what I have said regarding the evidence in dealing with the claim for past loss of income is relevant to the valuation of this portion of the claim and I will not repeat that. I reference para 141 - 148 specifically.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plaintiff was a dedicated and energetic teacher. I accept that he had aspirations to become an administrator. I agree with the third party that his background and experience limited his opportunity to secondary schools. This means the number of positions available was more restricted so that any award based on this consideration must be tempered by these limits. Overall, it is my view that his prospects for fulfilling those aspirations were reasonably good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As to his residual employability or earning capacity, the vocational expert reports are clear and the evidence as a whole clearly supports the conclusion that the plaintiff cannot return to any regular teaching position. Some other reports do not rule out the potential for some return to work but on the whole of the evidence that prospect is negligible by the date of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following excerpts from the expert reports are compelling:</w:t>
      </w:r>
      <w:r>
        <w:rPr>
          <w:rFonts w:ascii="arial" w:eastAsia="arial" w:hAnsi="arial" w:cs="arial"/>
          <w:sz w:val="20"/>
          <w:lang w:val="en-US" w:eastAsia="en-US" w:bidi="ar-SA"/>
        </w:rPr>
        <w:cr/>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Cameron, March 22,2 016:</w:t>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the combined residual effects of all of these injuries sustained at the time of this accident and including the psychological problems that have developed following this accident, as documented by the psychological counselor, Dr. Patricia Neilson, and the occupational therapy assessment reports, Mr. Bennett has been rendered completely disabled as of the date of my neurological assessment of Mr. Bennett in November of 2015, almost five years following this accident. Mr. Bennett has significant ongoing residual neurological deficits due to the spinal cord injury and the nerve root injuries in the cervical area that he sustained at the time of this accident. He has significant physical limitations as well due to the soft tissue, musculoskeletal and orthopaedic injuries that he sustained at the time of this accident involving his neck, shoulders, upper extremities and the right foot.</w:t>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Pullyblank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Mr. Bennett is minimally employable at his present level of functioning and has a low probability of sustained employment of even a very part-time nature. While I am not prepared to say that Mr. Bennett is entirely unemployable, he is in my opinion very close. In my opinion, he made the right decision to leave teaching.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coming to this opinion, I note that although there are some unique demands to teaching, it is not profoundly different from other employment, particularly in sedentary service roles where "marking," for example, is replaced by other duties that are very similar. If Mr. Bennett had failed in a return to installing granite countertops, one would not consider that as indicating that he is generally unemployable. However. not being capable of sustaining a very part-time teaching position with accommodations and support. and despite Mr. Bennett's high level of commitment, does not suggest a high level of employability in the workforce in general.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Therefore, it is my opinion based on the information currently at hand, and based on his current level of functioning, that Mr. Bennett cannot feasibly return to work as a part-time Teacher given his barriers to employment, even if he is awarded positions that seem to suit him and his barriers to employment comparatively better. There is simply not enough raw material in Mr. Bennett's residual employability to work with for him to have a high probability of sustaining such a return and also maintain a reasonable quality of life. In my opinion, the students Mr. Bennett might deal with in a formal educational setting (Elementary, Secondary, Adults) does not make a sufficient difference relative to his barriers to employment to make any educational setting a source of sustainable part-time employment for Mr. Bennett. I do not see him, for example, as suited to readily working in Adult Education given his limited work capacity. He simply cannot keep up with even minimal demands.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As to alternative forms of teaching such as TOC, open door learning environments or tutoring, I agree with the plaintiff that these are not really viable.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third party propositions, relying on Dr. Laidlow's and Ms. Gallagher's reports for such work, really are founded on the idea that the plaintiff would control the amount and timing of the work but that is not the reality of the work. Such positions may facilitate less working hours but students' needs in tutoring and open door environments drive the scheduling. The teacher offering tutoring who can only sporadically meet those needs surely would struggle to have students. An open door environment requires a broad flexibility as to subjects and knowledge. On the evidence before me, the proposition that such positions are somehow easy or flexible for the instructor is inaccurate. It is the instruction that is designed to be flexible not the availability of the instructor.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As to TOC positions, the plaintiff could say no to calls as required but lack of availability leads to lack of calls and the ability to stay on the TOC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Other completely unrelated employment that Ms. Gallagher references includes various entry-level types of work. Given his physical limitations, it is difficult to see the plaintiff as being seen as a desirable employee and I do not see these as viable options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He is effectively disabled from teaching in any regular teaching position and generally from any meaningful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Both parties have provided economists' reports setting out their respective assessments of the earnings the plaintiff may have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most significant difference between the parties is that the third party says there should be a 40% reduction for negative contingencies. The third party summarizes its position as follows:</w:t>
      </w:r>
      <w:r>
        <w:rPr>
          <w:rFonts w:ascii="arial" w:eastAsia="arial" w:hAnsi="arial" w:cs="arial"/>
          <w:sz w:val="20"/>
          <w:lang w:val="en-US" w:eastAsia="en-US" w:bidi="ar-SA"/>
        </w:rPr>
        <w:cr/>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income lost from School District 22 to age 61 is the value of his lost income as a teacher plus the 10% likelihood that he would have obtained his Master's Degree. It is submitted that there then needs to be a 40% negative contingency applied to any award under this head of damages in order to account for the Plaintiff's Unrelated Injuries and his residual income earning capacity. The Third Party submits that there was no prospect of him becoming a vice-principle/principal given the evidence highlighted above and the reasons previously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Here, in particular, any deduction for negative contingencies should be modest. The proposed 40% is excessive. The plaintiff's unrelated injuries would not, in my view, have kept him from teaching or from pursuing his masters or an administration position. A 10% negative contingency remains reasonable however.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As noted earlier, it is my view that there was a virtual certainty that the plaintiff would have obtained his masters and reasonably probability (perhaps a 60% likelihood) he would have obtained an administration position as at least a vice-principal at some point. If he succeeded in the latter it is likely that he could have moved on to a principal's position although his retirement could have become a practical impediment to this achievement or at least limited his time in the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plaintiff's calculation assumes full time employment to age 61 and work as a TOC to age 69. I accept that proposition on the evidence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Mr. Szekely for the third party prepared a calculation (table 7) assuming the completion of a masters (September 2013) and becoming a vice-principal (July 2018) which places the loss at $860,042.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Mr. Wickson for the plaintiff calculated the present value of the plaintiff's future earnings in the absence of the accident, as a full-time vice-principal or principal, based on the assumptions outlined above to be $1,032,500. This calculation uses a blended salary statistic for principals and vice-principals which skews the number unrealistically 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 prefer the methodology employed by Mr. Szekely as being more likely to follow the actual pattern but note two things. It does not allow for the prospect of a further increase as a principal. Arguably it is too optimistic in the assumed timing of successful movement to administration.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For reference, their calculations of future loss assuming that the plaintiff remained teaching at the category 6 pay scale to age 61 are $727,510 (Szekely) and $750,600 (Wickson).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 appropriate valuation is $850,000 less 10% or $765,000.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Future earnings as a teacher on call are also addressed by the expert economists. The third party says this of the plaintiff's position:</w:t>
      </w:r>
      <w:r>
        <w:rPr>
          <w:rFonts w:ascii="arial" w:eastAsia="arial" w:hAnsi="arial" w:cs="arial"/>
          <w:sz w:val="20"/>
          <w:lang w:val="en-US" w:eastAsia="en-US" w:bidi="ar-SA"/>
        </w:rPr>
        <w:cr/>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says that he would have worked as a TTOC "tapering off" his hours as he reached age 69. He claims that he would have worked 100 days of the 189 teaching days available. He says he would have done this despite him also saying that working as a TTOC is actually harder than having your own classroom despite his plans to work at and around his home.</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submitted that this is an unrealistic assessment of the hours that would be available for him to work and that he would have taken given his professed busy lifestyle. His calculation does not "tapper" off as he ages towards age 69 as one would logically expect. It does not take into account his significant Unrelated Injuries that continue to have a significant impact on his lifestyle and which will continue to do so as he 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These are fair comments. The plaintiff suggests an award of $232,500 but, adjusting for the concerns noted, a reasonable award is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The corollary effect referenced in my discussion of past loss must be accounted for when addressing the plaintiff's claim for loss of handyman capacity. If indeed he had succeeded in his teaching and administrator career it would have had impacts on other aspects of the claims advanced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nature of administration work would have limited the plaintiff's available time for "outside work" including renovations of their own homes or work for others. Particularly in the early years and given the plaintiff's inclinations to want to succeed and prove himself, I believe he would have dedicated his time and energy to such a new position This would drain his reserves of energy and time for other remunerative work. The effect is to significantly moderate the value of this part of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In addition, the physical nature of his handyman work and natural aging imposed limitations would logically have resulted in a declining capacity and inclination to do such work. This would of course have been accelerated by the limitations of the unrelated injuries. Here the reduction for the impact of those unrelated injuries must be higher.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It is impossible to define these developments as to degree or timing with any precision.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plaintiff's claim for $662,561 is based on the following analysis. The plaintiff modified its original calculation during submissions so I have inserted the modified numbers:</w:t>
      </w:r>
      <w:r>
        <w:rPr>
          <w:rFonts w:ascii="arial" w:eastAsia="arial" w:hAnsi="arial" w:cs="arial"/>
          <w:sz w:val="20"/>
          <w:lang w:val="en-US" w:eastAsia="en-US" w:bidi="ar-SA"/>
        </w:rPr>
        <w:cr/>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we use the low end of the Plaintiff's estimate, and assume that he spent 10 hours per week on handyman activities between September and December, it would equate to about 120 hours. During the months of January to June, again using the low end of the estimate of 20 hours per week, multiplied by 26 weeks, that comes to 520 hours. If we add another 60 hours per week for the 9 weeks of summer, that would be another 540 hours. In total Mr. Bennett would spend at least </w:t>
      </w:r>
      <w:r>
        <w:rPr>
          <w:rFonts w:ascii="arial" w:eastAsia="arial" w:hAnsi="arial" w:cs="arial"/>
          <w:b/>
          <w:color w:val="000000"/>
          <w:sz w:val="20"/>
          <w:lang w:val="en-US" w:eastAsia="en-US" w:bidi="ar-SA"/>
        </w:rPr>
        <w:t>1180 hours per year</w:t>
      </w:r>
      <w:r>
        <w:rPr>
          <w:rFonts w:ascii="arial" w:eastAsia="arial" w:hAnsi="arial" w:cs="arial"/>
          <w:color w:val="000000"/>
          <w:sz w:val="20"/>
          <w:lang w:val="en-US" w:eastAsia="en-US" w:bidi="ar-SA"/>
        </w:rPr>
        <w:t xml:space="preserve"> (120 hours, plus 520 hours, plus 540 hours) on handyman activities before the Accident, </w:t>
      </w:r>
      <w:r>
        <w:rPr>
          <w:rFonts w:ascii="arial" w:eastAsia="arial" w:hAnsi="arial" w:cs="arial"/>
          <w:b/>
          <w:color w:val="000000"/>
          <w:sz w:val="20"/>
          <w:lang w:val="en-US" w:eastAsia="en-US" w:bidi="ar-SA"/>
        </w:rPr>
        <w:t>or 22.7 hours per week</w:t>
      </w:r>
      <w:r>
        <w:rPr>
          <w:rFonts w:ascii="arial" w:eastAsia="arial" w:hAnsi="arial" w:cs="arial"/>
          <w:color w:val="000000"/>
          <w:sz w:val="20"/>
          <w:lang w:val="en-US" w:eastAsia="en-US" w:bidi="ar-SA"/>
        </w:rPr>
        <w:t xml:space="preserve"> (rounded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 have previously referred to my skepticism about the accuracy of these time estimates. When the impact of his transition to administration is added, it becomes clear that the plaintiff's position as to the hours he would spend is significantly inflated.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There are other issues affecting the valuation of the loss of ability to do this type of work. Much of the time spent historically (and likely to be spent in the future) was doing renovations on personal residences for ultimate resale. The evidence does not allow for any assessment of the profitability of this. Profitability was limited by market conditions at time of sale. There are obviously multiple factors affecting the sale price of real estate. Market conditions and the product are critical factors. There is no question that the plaintiff's skills and efforts added value to the product being offered. Market conditions may have taken value away but it took value away from an enhanced product. I simply have nothing upon which to measure that. There was no evidence presented to compare values based on original versus improved conditions of any of the properties. The result is that only very general propositions can be made and no calculations are possible. All that can be said is that the plaintiff's efforts logically added value in whatever market the product was introduced for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Further, on the evidence before me, there is the uncertainty about the amount of earnings from work done other than on his own properties. Much of the work was for friends (e.g. Mr. Wise and Mr. Filice) with a general understanding that there would be some reciprocation. In the case of Mr. Filice, some of the reciprocation came in the form of granite counters for the plaintiff's personal projects. Even where there was pay for his assistance it was not recorded and the best either could say in their testimony was vague and imprecise. Valuing this is very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The plaintiff's claim is based on an hourly rate equivalent but that bears no resemblance to the reality of his use of his skills historically or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Second, there is a question of what physical limits the plaintiff would have faced independent of the MVC. Age-related limitations superimposed on the unrelated injuries would have impacted the capacity to do this type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In a summary way, it is my conclusion that the plaintiff would have significantly curtailed such outside work if he had succeeded in becoming an administrator. Even if he did not, the scope and pace of such work would have declined over time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The plaintiff also argues for a separate award of $70,744 for future loss of earnings from the granite countertop business. I have already made observations on the state of that business as at the trial date. Add to this the heavy physical demands of the work and the unrelenting effects of aging, and the contribution of the unrelated injuries and my comments about available time and it becomes clear the claim is excessive.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The proper approach is to include this within the loss of handyman capacity. Given all of the considerations I have outlined, a reasonable award for this loss is $75,000.00.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In-Trust Claim for Michelle Bennett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xml:space="preserve">  Both parties reference the decision in </w:t>
      </w:r>
      <w:r>
        <w:rPr>
          <w:rFonts w:ascii="arial" w:eastAsia="arial" w:hAnsi="arial" w:cs="arial"/>
          <w:i/>
          <w:color w:val="000000"/>
          <w:sz w:val="20"/>
          <w:lang w:val="en-US" w:eastAsia="en-US" w:bidi="ar-SA"/>
        </w:rPr>
        <w:t>Bystedt (Guardian ad litem of) v. Hay</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2001 BCSC 1735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 plaintiff has no records for the time spent and relies on estimations by Ms. Bennett as to the time spent after the accident (340-350 hours) and each of the neck (200 hours), foot (140-150 hours for each) and ear (200 hours) surgeries. He argues that an award based on $28 per hour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The third party argues as follows:</w:t>
      </w:r>
      <w:r>
        <w:rPr>
          <w:rFonts w:ascii="arial" w:eastAsia="arial" w:hAnsi="arial" w:cs="arial"/>
          <w:sz w:val="20"/>
          <w:lang w:val="en-US" w:eastAsia="en-US" w:bidi="ar-SA"/>
        </w:rPr>
        <w:cr/>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Third Party submits that the Plaintiff is not entitled to an in-trust award for the benefit of his wife Michelle as the services that she provided do not meet the requisite level of care set out in </w:t>
      </w:r>
      <w:r>
        <w:rPr>
          <w:rFonts w:ascii="arial" w:eastAsia="arial" w:hAnsi="arial" w:cs="arial"/>
          <w:i/>
          <w:color w:val="000000"/>
          <w:sz w:val="20"/>
          <w:lang w:val="en-US" w:eastAsia="en-US" w:bidi="ar-SA"/>
        </w:rPr>
        <w:t>Bystedt (Guardian ad litem of) v. Hay</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2001 BCSC 1735</w:t>
        </w:r>
      </w:hyperlink>
      <w:r>
        <w:rPr>
          <w:rFonts w:ascii="arial" w:eastAsia="arial" w:hAnsi="arial" w:cs="arial"/>
          <w:color w:val="000000"/>
          <w:sz w:val="20"/>
          <w:lang w:val="en-US" w:eastAsia="en-US" w:bidi="ar-SA"/>
        </w:rPr>
        <w:t xml:space="preserve">. Further, Mrs. Bennett continued to be paid at various times during her leaves and did not suffer economic loss throughout. The Third Party also points to the case of </w:t>
      </w:r>
      <w:r>
        <w:rPr>
          <w:rFonts w:ascii="arial" w:eastAsia="arial" w:hAnsi="arial" w:cs="arial"/>
          <w:i/>
          <w:color w:val="000000"/>
          <w:sz w:val="20"/>
          <w:lang w:val="en-US" w:eastAsia="en-US" w:bidi="ar-SA"/>
        </w:rPr>
        <w:t>Gill v. Probert</w:t>
      </w:r>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[1999] B.C.J. No. 2436</w:t>
        </w:r>
      </w:hyperlink>
      <w:r>
        <w:rPr>
          <w:rFonts w:ascii="arial" w:eastAsia="arial" w:hAnsi="arial" w:cs="arial"/>
          <w:color w:val="000000"/>
          <w:sz w:val="20"/>
          <w:lang w:val="en-US" w:eastAsia="en-US" w:bidi="ar-SA"/>
        </w:rPr>
        <w:t>, where a cautious and restrained approach to these types of awards is recommended by the Court at paragraph 164.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The plaintiff's needs were high immediately after the MVC and the neck and foot surgeries, and, in my view, meet the requirements to justify an in-trust claim. Measuring the opportunity cost to Ms. Bennett without discounting or undervaluing her services is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Ms. Bennett did provide similar assistance after the ear surgery but on my findings that surgery was not required by the MVC.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There is no ability to value this claim with any precision. I fix the award at $18,000.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 table below sets out the awards for each head of damage with four exceptions. The first is the past loss of income that requires adjustment for actual income earned. As noted in para. 140 above, counsel asked that adjustments be left until after this decision was delivered. Second, the final calculation of special damages requires counsels' input (see para. 183 above). Third, I have not dealt with any prejudgment interest entitlement. Finally, there is the matter of costs. In the ordinary costs the plaintiff would be entitled to his costs unless there are considerations that counsel wish to address me about.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In addition, if there are arithmetic or other calculation errors that counsel identify they are at liberty to bring those to my attention.</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76" type="#_x0000_t75" style="width:432.06pt;height:574.58pt">
            <v:imagedata r:id="rId635"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 BETTON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7" style="position:absolute;z-index:2518415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36"/>
          <w:headerReference w:type="default" r:id="rId637"/>
          <w:footerReference w:type="even" r:id="rId638"/>
          <w:footerReference w:type="default" r:id="rId639"/>
          <w:headerReference w:type="first" r:id="rId640"/>
          <w:footerReference w:type="first" r:id="rId64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42" w:history="1">
        <w:r>
          <w:rPr>
            <w:rFonts w:ascii="arial" w:eastAsia="arial" w:hAnsi="arial" w:cs="arial"/>
            <w:b/>
            <w:bCs/>
            <w:i/>
            <w:color w:val="0077CC"/>
            <w:kern w:val="32"/>
            <w:sz w:val="28"/>
            <w:szCs w:val="32"/>
            <w:u w:val="single"/>
            <w:shd w:val="clear" w:color="auto" w:fill="FFFFFF"/>
            <w:lang w:val="en-US" w:eastAsia="en-US" w:bidi="ar-SA"/>
          </w:rPr>
          <w:t>Hajikolai v. Lewis, [2015] B.C.J. No. 1196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G.J. Fitch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5-9, 12-14, and February 24,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9,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M126676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1196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980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Ramezan Ali Salehi Hajikolai, Plaintiff, And Daniel Lewis and Chanel Ann Lewis,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8"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2" w:name="Keywords_30"/>
      <w:bookmarkEnd w:id="202"/>
      <w:r>
        <w:rPr>
          <w:rFonts w:ascii="arial" w:eastAsia="arial" w:hAnsi="arial" w:cs="arial"/>
          <w:b/>
          <w:color w:val="000000"/>
          <w:sz w:val="20"/>
          <w:lang w:val="en-US" w:eastAsia="en-US" w:bidi="ar-SA"/>
        </w:rPr>
        <w:t>Damages — Physical and psychological injuries — Physical injuries — Body injuries — Back and spine — Neck — Soft tissue — Considerations impacting on award — Degree of impairment — Permanent total or partial disability — Pre-existing injury — Action by 55-year-old plaintiff for damages for personal injuries suffered in rear-end collision in 2011 allowed — Plaintiff suffered permanent neck injuries in 2007 accident — Suffered permanent injuries to neck and back in subject accident — Had pre-existing degenerative disc disease — Non-pecuniary damages reduced by 10 per cent to account for 2007 injuries, resulting in award of $67,500 — Past wage loss assessed at $40,000, loss of future income earning capacity fixed at $30,000, past loss of housekeeping capacity fixed at $5,000 — Cost of future care assessed at $70,000, including $30,000 for future loss of housekeeping capacity.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Aggravation of pre-existing injury — Employment status — Pre-existing medical conditions — Cost of future care — Loss of earning capacity — Loss of housekeeping ability — Special damages — Past loss of income — Employment income — Non-pecuniary loss — Action by 55-year-old plaintiff for damages for personal injuries suffered in rear-end collision in 2011 allowed — Plaintiff suffered permanent neck injuries in 2007 accident — Suffered permanent injuries to neck and back in subject accident — Had pre-existing degenerative disc disease — Non-pecuniary damages reduced by 10 per cent to account for 2007 injuries, resulting in award of $67,500 — Past wage loss assessed at $40,000, loss of future income earning capacity fixed at $30,000, past loss of housekeeping capacity fixed at $5,000 — Cost of future care assessed at $70,000, including $30,000 for future loss of housekeeping capacity.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Assessment of damages — Limiting factors — Intervening cause — Pre-existing conditions — Thin or crumbling skull rule — Action by 55-year-old plaintiff for damages for personal injuries suffered in rear-end collision in 2011 allowed — Plaintiff suffered permanent neck injuries in 2007 accident — Suffered permanent injuries to neck and back in subject accident — Had pre-existing degenerative disc disease — Not established plaintiff's disc herniation was caused by his fall in 2012 or that his disc disease would have become symptomatic had accident not occurred — Non-pecuniary damages reduced by 10 per cent to account for 2007 injuries, resulting in award of $67,500.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3" w:name="Case Summary_28"/>
            <w:bookmarkEnd w:id="20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55-year-old plaintiff for damages for personal injuries suffered in a rear-end collision in 2011. The plaintiff, from Iran, had obtained refugee status in 1989. The plaintiff had been in a previous accident in 2007 in which he suffered permanent soft tissue neck injuries. He had pre-existing degenerative disc disease. After the subject accident, the plaintiff experienced increased pain in his neck as well as pain in his shoulders and low back. In 2012, the plaintiff had a dizzy spell and fell down stairs. An MRI in 2012 revealed a disc herniation. The plaintiff attended a rehabilitation program and received injections for his back pain. At trial, he testified his recovery had plateaued and he still experienced flare-ups, his sleep was still affected and he continued to have headaches. His doctor concluded he suffered from chronic pain syndrome and was unlikely to return to work. At the time of the subject accident, the plaintiff was working on his Master's thesis. After graduating, the plaintiff was unable to find work related to his field of study. He declined to return to his former bakery position as he did not consider himself physically capable of doing it.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4" w:name="Holdings of Court_25"/>
            <w:bookmarkEnd w:id="204"/>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But for the 2011 accident, the plaintiff would not have suffered a significant aggravation of his neck injuries or low back pain. It was not established the plaintiff's disc herniation was caused by his fall or that his disc disease would have become symptomatic had the accident not occurred. The plaintiff's current systems were likely permanent. He was capable of work that required light to sedentary strength and activity. He had lost his ability to access employment opportunities requiring strength above light level duties. Although the symptoms from the plaintiff's 2007 accident were permanent, they were manageable. A 10 per cent reduction in non-pecuniary damages was warranted to account for the permanent nature of his 2007 accident injuries, resulting in an award of $67,500. Using a capital asset approach, the plaintiff's past wage loss was assessed at $40,000 and his loss of future income earning capacity was fixed at $30,000. Past loss of housekeeping capacity was fixed at $5,000. Cost of future care was assessed at $70,000, including $30,000 for future loss of housekeeping capacity.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5" w:name="Counsel_29"/>
      <w:bookmarkEnd w:id="20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9"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Plaintiff:Robert Marcoux, Shane Hopkins-Utter.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Kenneth Armstrong.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6" w:name="Judgment_30"/>
      <w:bookmarkEnd w:id="206"/>
      <w:r>
        <w:pict>
          <v:line id="_x0000_s1180" style="position:absolute;z-index:2517923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7" w:name="G.J. FITCH J."/>
            <w:bookmarkEnd w:id="207"/>
            <w:r>
              <w:rPr>
                <w:rFonts w:ascii="arial" w:eastAsia="arial" w:hAnsi="arial" w:cs="arial"/>
                <w:b/>
                <w:color w:val="000000"/>
                <w:sz w:val="30"/>
                <w:lang w:val="en-US" w:eastAsia="en-US" w:bidi="ar-SA"/>
              </w:rPr>
              <w:t>G.J. FITCH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A.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arises out of a motor vehicle accident that occurred February 8, 2011 (the "2011 accident"). The plaintiff, Ramezan Ali Salehi Hajikolai, was rear-ended by a vehicle driven by the defendant Daniel Lewis with the permission of the vehicle's owner, the defendant Chanel Ann Lewis.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was 51 years of age at the time of the accident and 55 years of age at the time of the trial. He was born in Iran. He immigrated to Canada in 1989 with his wife and two young sons, Mazdak and Siamak. The couple celebrated the birth of their third child, a daughter named Nazak, in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have not formally admitted liability for the accident. The plaintiff seeks a judicial determination that the defendants are wholly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also seeks damages under the following heads: non-pecuniary damages; past wage loss; future loss of earning capacity; past loss of housekeeping capacity; cost of future care;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called nine witnesses at trial: Dr. Thomas Jacobs (the plaintiff's general practitioner); Dr. Ravesh Sahjpaul (a neurosurgeon); Derek Nordin (an expert in vocational rehabilitation); Curtis Peever (an economist); Haley Tencha (an occupational therapist); Syamak Jahan-Bakhsh (packaging coordinator with Uprising Breads, for whom the plaintiff worked for a time prior to the accident) Mahrokh Ghadimi (the plaintiff's wife); Siamak Salehi (the plaintiff's son); and Nazak Salehi (the plaintiff's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called three witnesses: Dr. Gabriel Hirsch (a physiatrist); Daniel Lewis; and Chantelle Ryerson (graduate program assistant and advisor to the Departments of Sociology and Anthropology at Simon Fraser University (SFU)).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By agreement, two further expert reports were filed at trial: an Ergonomic Assessment Report prepared in relation to the plaintiff in April 2009 by Paul Pakulak, an occupational therapist; and a pharmacological report dated February 15, 2015 and prepared by Dr. Thomas Perry, a medical doctor with a sub-specialty in clinical pharmacology. Neither Mr. Pakulak nor Dr. Perry was cross-examined on the content of their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Among the more contentious issues that arise for determination in this case are:</w:t>
      </w:r>
      <w:r>
        <w:rPr>
          <w:rFonts w:ascii="arial" w:eastAsia="arial" w:hAnsi="arial" w:cs="arial"/>
          <w:sz w:val="20"/>
          <w:lang w:val="en-US" w:eastAsia="en-US" w:bidi="ar-SA"/>
        </w:rPr>
        <w:cr/>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plaintiff's capacity to compete for work, particularly work involving manual labour that demands something more than sedentary or light level strength and activity levels, and perform household chores, has been compromised by the 2011 accident, as distinct from the effects of a 2007 motor vehicle accident the plaintiff was involved in (the "2007 accident");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residual earning capacity, his entitlement to an award for past and future loss of income earning capacity and, if entitlement is established, how the loss should be valued;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plaintiff's soft tissue neck injuries suffered in the 2007 accident would have eventually resolved had the subsequent 2011 accident not occurred (as testified to by Dr. Sahjpaul);</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plaintiff's neck pain complaints and associated numbness/tingling in his arms (attributable to cervical degeneration) were aggravated or made more symptomatic by the 2011 accident (as testified to by Dr. Sahjpaul), or whether these complaints reflect the natural progression of a cervical degenerative process that was uninfluenced by the soft tissue injuries the plaintiff sustained in the 2011 accident (as testified to by Dr. Hirsch);</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plaintiff's L4-5 disc herniation is traumatic due to the 2011 accident, or pre-existing and rendered symptomatic by that accident (as testified to by Dr. Sahjpaul) or, on the other hand, either not causally related to the motor vehicle accident, or causally related to the accident only to the extent that the natural progression of the plaintiff's pre-existing lumbar (and cervical) disc degeneration was accelerated by several years as a result of the accident (as testified to by Dr. Hirsch);</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in the alternative, the plaintiff's L4-5 disc herniation is not attributable to the 2011 accident, but to a fall down some stairs the plaintiff experienced in June 2012;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fall in June 2012 was caused by dizziness associated with an increase in the dosage of Gabapentin (a pain relief medication the plaintiff was taking to assist him with the symptoms he was experiencing after the 2011 accident) prescribed for the plaintiff a short time before the fall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Chronology of Events Leading up to the 2011 Accident</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Plaintiff's Life in Iran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undeveloped work history is explained in large measure by his unusual life experiences.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He was a student participant in the Iranian revolution of 1978/79. His involvement in the youth movement resulted in him being "kicked out" of school before attaining his grade 12 equivalent.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After the revolution, he tried to go back to school but was told by an official of the Iranian Education Department that he did not deserve an education. The plaintiff was then about 19 years of age. He was determined to obtain an education. In the interim, the plaintiff worked on his family's farm, and as a welder.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He was married in 1981. Mazdak was born in 1983. Siamak was born in 1986.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the promise of the Iranian revolution faded, the plaintiff and his wife became activists for enhanced democratic rights and gender equality. In 1986, the plaintiff became a person of interest to the Iranian authorities. He narrowly escaped being captured, but the authorities took his wife and infant son, Siamak, into custody. Mazdak was permitted to stay with the plaintiff's in-laws. The plaintiff became a fugitive.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wife and infant son were eventually permitted to visit her parents. She used the opportunity to flee Iran with her two sons and relocated to Istanbul, Turkey.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managed to obtain documents to get out of Iran in 1989 and joined his wife and two sons in Turkey. They were able to obtain refugee status and were approved for immigration to Canada.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Plaintiff's Early Years in Canada: 1989-1999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his wife and two sons arrived in Winnipeg in December 1989. Both enrolled in ESL courses. The plaintiff's wife attended the University of Manitoba for two years in a general science program before being admitted to the nursing program in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completed his high school education in Manitoba.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Nazak was born in Winnipeg in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it was not feasible for the plaintiff and his wife to attend university at the same time, the plaintiff worked in a variety of different jobs in Manitoba while his wife (who was more advanced in the English language) completed her nursing degree. The plaintiff worked in a restaurant and did cleaning at night. On weekends, he delivered pizza. Later, the plaintiff worked 12-hour shifts (from 5:00 a.m. to 5:00 p.m.) driving a taxi. He looked after the children in the daytime.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Relocation, Schooling and Work in Vancouver: 1999-2007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plaintiff's wife graduated with a degree in nursing in 1999. After she secured work as a nurse in the Vancouver area, the family moved to the Lower Mainland. They lived in Port Moody between 1999 and 2001, before purchasing and moving into their current home in Port Coquitlam.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After relocating to Vancouver, the plaintiff continued to take ESL courses as well as courses in computers, environmental studies, sociology and anthropology at Douglas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early 2000, the plaintiff obtained, through some Iranian friends, a job working for an Iranian newspaper. He worked 30-32 hours per week at $12 an hour. Throughout this period, he continued to attend Douglas College. In 2004, the newspaper business was taken over by the proprietor's children and the plaintiff was let 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2004, the plaintiff began taking courses at SFU.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Through contacts in the Iranian community, the plaintiff also managed to obtain part-time work in 2004 at Uprising Breads, a bakery in Vancouver. The plaintiff initially worked nights (7:30 p.m. to 7:30 a.m.) packaging bread. The job involved pushing large, heavy metal racks of baked bread to slicing machines, packaging the sliced bread, putting the loaves in bingos and loading the bingos onto trucks for delivery in the morning. The plaintiff described the tasks associated with this work as "heavy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Towards the end of 2007 or in early 2008, the plaintiff began working day shifts in the bakery, three days a week for eight hours per day, as a baker's helper. He described this position as a heavy job involving making dough, putting it on heavy racks and pushing the racks to the ovens. He said he was occasionally required to lift over 50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physical demands of both baking and bread packaging work were confirmed by Mr. Jahan-Bakhsh, who is the co-ordinator of bread packaging for Uprising Breads. He worked with the plaintiff on the bread packaging night shift which he said was from 8:00 p.m. to 4:00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Jahan-Bakhsh testified that bakers lift metal pans weighing between 6 and 7.5 kgs when loaded with loaves of bread. He said bakers hit the pans to free the loaves of bread from the pan and that the job of a baker involves frequent twisting, turning, leaning over and carrying away from the body as the pans of baked bread are loaded onto racks.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racks, which are on wheels, are moved by the packaging shift and, when fully loaded, can weigh about 250 kgs. When the plaintiff worked a packaging shift, he would package between 1,500 and 2,000 loaves of bread, sort them into bingos and load the bingos onto trucks for delivery. The plaintiff would push stacks of bingos loaded with bread to the delivery trucks. The total weight of each stack would be between 7.5 and 12 kgs. When the trucks were being filled with orders for delivery in the morning, the packaging shift workers, who would either be on the loading bay or in the trucks, switched places every 15 minutes because loading was heavy work. Mr. Jahan-Bakhsh said packaging work also involved repetitive lifting, bending and twisting. He testified that every Thursday and Friday, the packaging shift used hand carts to load 22 kg bags of granola boxes destined for retail outlets onto the trucks.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Jahan-Bakhsh was very satisfied with the plaintiff's work performance. He described the plaintiff's mood as being good while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graduated from SFU with a Bachelor of Arts degree in the late spring of 2007.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The Plaintiff's First Motor Vehicle Accident: February 14,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February 14, 2007 a vehicle the plaintiff was driving was sandwiched when the plaintiff rear-ended a car that stopped in front of him and was, in turn, rear-ended.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cross-examination, the plaintiff testified that the 2007 accident was the more significant of the two. I understand the plaintiff's evidence on this point to relate to the mechanics of the accident (two impacts as opposed to one), not to the comparative severity of the injuries he suffered in the two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suffered soft tissue injuries to his low back and neck in the 2007 accident. It is common ground that the plaintiff's low back injuries quickly resolved; the neck injuries did not. After this accident, the plaintiff could not look up or down. The plaintiff's wife testified that the 2007 accident impaired the plaintiff's ability to do things that caused him to extend (lift and lower) his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March and April 2007, the plaintiff reported to Dr. Jacobs that he was experiencing numbness and tingling radiating into his right middle finger. The plaintiff testified he has no recollection of making these reports. Dr. Jacobs attributed these symptoms to the plaintiff's neck injuries sustained in the 2007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July 25, 2007, an X-ray of the plaintiff's cervical spine revealed he was suffering from moderate to severe cervical spondylosis (degenerative changes that can include disc bulges, bone spurs and foraminal stenosis, or loss of disc height resulting in a narrowing of the nerve tunnel). Dr. Sahjpaul testified that moderate foraminal stenosis is the point at which one begins to see nerve compression.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advised Dr. Jacobs in 2007 that he was having difficulty studying due to his ongoing symptoms. In December 2007, the plaintiff sought to have a disappointing mark he obtained on an undergraduate course withdrawn on grounds that ongoing neck pain was impairing his ability to study.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April 2009, an Ergonomic Assessment Report was prepared by Paul Pakulak, an occupational therapist. The purpose of the report was to assess the plaintiff's current and future need for assistive/ergonomic devices to compensate for his physical deficiencies arising from the 2007 accident. The plaintiff advised Mr. Pakulak that his neck symptoms had improved but that he was still experiencing daily intermittent neck pain with bouts of sharp, pinching pain. Mr. Pakulak made specific recommendations for ergonomic improvements to the plaintiff's home office. The plaintiff testified he did not purchase some of the items recommended because he had no money to buy them. With respect to other recommendations, the plaintiff made makeshift, no-cost adjustments to his workstation.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June and August 2009, the plaintiff complained to Dr. Jacobs of pain on the left side of his neck radiating into his left hand. He reported experiencing tingling in the first three fingers of his left hand. The plaintiff testified he has no current recollection of experiencing these symptoms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October 2009, the plaintiff told Dr. Jacobs he was having problems doing household chores involving over-the-head activity or heavy lifting. The plaintiff testified he was limited in terms of doing housework after the 2007 accident because he could not look up or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reported to Dr. Jacobs having problems doing heavy work at the bakery. He plaintiff testified that whatever neck pain he experienced following the 2007 accident, it never prevented him from doing his job at the bakery.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a medical/legal report dated November 6, 2009 Dr. Jacobs offered this prognosis with respect to the neck injuries the plaintiff sustained in the 2007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these soft tissue injury symptoms from his neck have been persistent for the past two years and have not really changed much, these are most likely permanent. He will have to modify his ergonomic workstations such that he does not spend a lot of time in either flexion or extension with reading or other activities. Hopefully, these symptoms can be somewhat controlled with home exercises and Tylenol for intermittent headaches at night which prevent him from sleeping.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Jacobs agreed that the neck injuries the plaintiff sustained in the 2007 accident affected his ability to do manual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By the time of the accident that is the subject of this litigation, the plaintiff agreed that, in terms of his neck symptoms, he felt 60% to 70% recovered.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The Plaintiff's Work History: January 2008-February 8,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plaintiff's employment with Uprising Breads came to an end in May 2008. He earned $6,641 working for Uprising Breads in 2008. The plaintiff reported earning $138.46 from Uprising Breads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June 2008, the plaintiff was assisted by friends in securing a job in a group home for developmentally delayed adolescents. He was paid $15.25 per hour. The adolescents with whom the plaintiff worked were low functioning and behaviourally challenged. Some were aggressive and, on occasion, had to be restrained until they calmed down. The plaintiff testified that his ongoing neck complaints did not affect his ability to work in the group home. The plaintiff earned $8,441.07 working for the group home in 2008. His total income in 2008 from the bakery and group home was $15,082.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January 2009, the plaintiff started working towards a Master's degree in Latin American studies at SFU. He was 50 years of age. The plaintiff testified that he was driven to achieve the education denied to him in Iran. His Master's thesis is entitled "</w:t>
      </w:r>
      <w:r>
        <w:rPr>
          <w:rFonts w:ascii="arial" w:eastAsia="arial" w:hAnsi="arial" w:cs="arial"/>
          <w:i/>
          <w:color w:val="000000"/>
          <w:sz w:val="20"/>
          <w:lang w:val="en-US" w:eastAsia="en-US" w:bidi="ar-SA"/>
        </w:rPr>
        <w:t>Forced Government Change: A Comparative Study of the Historical and Social Forces Involved in the 1953 Iranian and 2002 Venezuelan Coups D'état</w:t>
      </w:r>
      <w:r>
        <w:rPr>
          <w:rFonts w:ascii="arial" w:eastAsia="arial" w:hAnsi="arial" w:cs="arial"/>
          <w:color w:val="000000"/>
          <w:sz w:val="20"/>
          <w:lang w:val="en-US" w:eastAsia="en-US" w:bidi="ar-SA"/>
        </w:rPr>
        <w:t>". When asked what his plans were following completion of his Master's degree, the plaintiff testified he wanted to find a job in his area of study but, realistically, his hopes were not high this would happen. He said he had only done menial jobs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plaintiff's wife similarly testified that while his educational pursuits were not a direct route to finding a job, she supported him in pursuing his educational goals. She said he had worked for a newspaper, bakery and group home and that, if necessary, he could still go back to these jobs after completing his Master's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worked in the group home until May 2009. He left because it was too difficult having a job while studying in a Master's program. The plaintiff earned $1,708.31 working in the group home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By the time of the 2011 accident, the plaintiff had completed the coursework towards his Master's degree and was in the process of revising his thesis.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testified that he and his wife enjoyed an active social life before the 2011 accident. They were active in the Iranian community and took ballroom dancing lessons. The plaintiff was also involved in Nazak's recreational endeavours and played sports, particularly basketball,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testified that before the 2011 accident, his health was good except that he continued to have difficulty moving his neck up and down. His sleep was good. He continued to get headaches which he treated with Tylenol.</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Motor Vehicle Accident of February 8,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February 8, 2011 the plaintiff was driving a Mitsubishi Outlander, a sports utility vehicle. He picked up his wife from Royal Columbian Hospital in New Westminster. He was stopped at a red light. When the light turned green the plaintiff started moving forward. He was travelling about 5 km/h when he was rear-ended. He was shocked by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plaintiff's wife was more descriptive of the accident itself. She testified that the impact caused a huge sound, and that the force of it suddenly pushed them back and forth. She braced herself against the dashboard during the forward thrust.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said the driver of the other vehicle (Daniel Lewis) got out, apologized and asked if they were okay. The plaintiff's wife gave similar evidence. The plaintiff testified that the other driver explained he was daydreaming.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Lewis testified he was driving a 1992 Toyota Paseo. He said he was probably not paying as much attention as he should have been. When he saw the plaintiff's vehicle he applied the brakes, but too late to avoid a collision. He described the force of the impact as mild to light. He said that his body moved forward on impact, but did not hit the interior of the vehicle. He testified that his front bumper went under the rear bumper of the plaintiff's vehicle, and that the front hood of his vehicle crumpled in the collision. Mr. Lewis's vehicle was not repaired after the accident. He sold it for between $200 and $300.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Photographs of the plaintiff's vehicle taken following the accident depict scuff marks along the rear left bumper but no significant dents or other damage. Photographs of the vehicle being driven by the defendant taken following the accident depict significant damage to the front bumper and hood of the Paseo. The hood of the Paseo is folded back on itself from the front bumper to the windshield. The damage to the two vehicles is likely explained by the fact that the front end of the Paseo went under the rear bumper of the Outlander driven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After exchanging information with Mr. Lewis at the scene, the plaintiff and his wife went home. Both were experiencing headaches, neck and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testified that one hour after the accident he had a headache and was feeling pain in his neck. In addition, he was experiencing lower back pain, which was new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When Nazak got home later that evening she described her parents as looking broken, drained, exhausted and in physical pain. As the plaintiff's symptoms were progressively getting worse, he attended a walk-in clinic with Nazak that evening but it was closed. The plaintiff decided to wait to see Dr. Jacobs the next day.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 The Course of the Plaintiff's Symptoms: From the 2011 Accident to June 17,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next day, the plaintiff could not move his neck left or right and was experiencing pain in his shoulders and low back. He was prescribed an anti-inflammatory and painkiller by Dr. Jacobs. He testified that the first few weeks after the accident were very hard. He experienced burning headaches all the time for which he took Tylenol 3. His neck pain was constant and he experienced shoulder pain from the neck to the shoulder joints. He described his low back pain as pounding and burning and testified he could not move or bend. He was unable to sleep more than three hours at a time and could not think clearly or work on his thesis. Nazak helped them around the house. Friends took Nazak to her basketball games. Siamak, who had been teaching in Korea, returned home a few weeks after the accident and helped his parents shop and cook.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At the end of February 2011, the plaintiff requested from his university department an extension of time to complete his thesis. He did not want to take a leave from the program as he wanted to continue working towards his Master's degree. He knew that if he took a leave, he would not be able to use the graduate student facilities or continue working with his thesis supervisor. He testified he was told he could obtain an extension, but had to pay tuition for the summer and fall of 2011. He paid SFU $1,068.55 for tuition in the summer and $1,498.23 for tuition in the fall of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Chantelle Ryerson testified that graduate students at SFU can apply for leave in extenuating circumstances, including for reasons relating to an injury, and that in this type of situation tuition is usually waived. Having said this, Ms. Ryerson confirmed that a student on leave who is not paying tuition is expected to stop working on their thesis. They are prohibited from accessing SFU facilities, using its libraries for research, and meeting with their faculty advisor. Students who apply for leave have to submit a written request to the university confirming that they will not do work on their thesis or make use of SFU facilities while on leave. She confirmed that a graduate student who continues to work on their thesis despite intermittent limitations would have to remain enrolled.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started taking physiotherapy treatments in May 2011. The treatments ended in late July 2011. He did not find the treatments particularly helpful. He continued to suffer from pain in his neck, shoulders and low back. He had difficulty walking normally due to his low back pain. Around this time, the plaintiff resumed working on his Master's thesis but found it difficult to sit for extended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By mid-July 2011 the plaintiff's low back pain was radiating into his hips, buttocks and down the back of his legs to his knees. He reported these symptoms to Dr. Jacobs on more than one occasion and as early as February 24,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the spring of 2011 the plaintiff also started getting pain, numbness and electric shock sensations in his hands that worsened by working on the computer. He reported these symptoms to Dr. Jacobs repeatedly and as early as February 24, 2011. Dr. Jacobs testified that while there can be multiple reasons for a person experiencing numbness in their fingers, he presumed that the plaintiff's symptoms were radiating from his neck and were attributable to compression or irritation of the nerve.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Despite the gradual worsening of his symptoms, the plaintiff forced himself to continue studying. He successfully defended his Master's thesis in December 2011. Obtaining a Master's degree was the realization of one of his life goals.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plaintiff's symptoms continued to deteriorate in the first half of 2012. He described his low back pain as being constant, and was experiencing pain and electric shocks in his hips and buttocks.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described his mood as not being good. He was unable to reach above eye level and could not bend. He was relying on Siamak and Nazak to clean the house, do yard work and shop for groceries.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Jacobs testified that a CT scan of the plaintiff's lumbar spine was undertaken in March 2012. It showed multi-level degenerative disc disease with moderately severe disease at L5-S1 and neuroforaminal stenosis of moderate severity. The plaintiff was also noted to have moderately severe spinal stenosis in his cervical spine at C5-6 and C6-7.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 The Plaintiff's Post-Graduation Efforts to Find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Following graduation, the plaintiff applied for teaching positions in colleges located in British Columbia and Alberta. He also applied to NGOs to do humanitarian work. Siamak assisted the plaintiff with many of his employment applications. The plaintiff was unable to find work related to his field of study. The plaintiff expanded his job search but said he was told by doctors he could not do physically demanding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terms of his job search methodology, the plaintiff described looking at postings online that involved light work duties and submitting resumes with a covering letter describing the kind of job he was looking for, or capable of, and asking a prospective employer if they had something to offer in that area. He testified that since graduating he has sent in over 100 job applications, including for a position as a bank teller. He has not applied to work in the group home because he says the job application they use has two questions about an applicant's physical ability. The plaintiff testified that he would have to be truthful about his current limitations. Clearly, the plaintiff has concluded his limitations would disqualify him from any type of work in the group home setting. The plaintiff testified he has not applied for administrative positions because he does not feel qualified for them. Despite sending in 100 job applications, the plaintiff has not been offered a single interview.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 testified he currently looks online for employment opportunities once or twice a day. He described his search for job opportunities as random.</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Plaintiff's Fall: June 17,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testified that by June 2012, he was experiencing constant low back pain. His condition was deteriorating. Siamak testified that by the end of May 2012, his father seemed to be in more pain. He was doing physiotherapy exercises at home and constantly rubbing his arms and legs. Nazak similarly testified that in 2012 she observed her father exhibiting behaviours she interpreted as being pain-related. She saw him grab his legs and take a short breath. She also said he had tears in his eyes.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saw Dr. Jacobs on June 14, 2012 and was told to increase his dosage of Gabapentin from 800 mg per day to 2,100 mg per day and continue increasing the dosage by 300 mg every five days until reaching a maximum daily dosage of 3,600 mg. One side effect of Gabapentin is dizziness.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On June 17, 2012, the plaintiff had a dizzy spell at home and fell down a flight of stairs. The plaintiff testified he landed on his left shoulder and left buttock. He was examined at Eagle Ridge Hospital in Port Moody after the fall but was not admitted. He said his condition worsened for a few weeks before going back to the way he was before the fall. Siamak testified that one or two weeks after the fall, the plaintiff was back to where he was in May 2012. Siamak said the fall did not seem to make the plaintiff's condition any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defendants tendered a report authored by Dr. Thomas Perry, a medical doctor with a specialty in clinical pharmacology, addressing whether a change in the plaintiff's Gabapentin dosage from 1,800 to 2,100 milligrams per day was likely the cause of the plaintiff's dizziness prior to the fall. The plaintiff did not seek to cross-examine Dr. Perry on the content of his report. For a variety of cogent reasons, Dr. Perry concluded it is very unlikely the increased Gabapentin dosage caused the plaintiff to fall. I accept that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Hirsch testified that a CT scan of the plaintiff's lumbar spine on March 10, 2012 (pre-fall) showed moderately severe disc space narrowing at L5-S1 in conjunction with a bone spur formation and a very small circumferential disc bulge. It is common ground that an MRI scan of the plaintiff's lumbar spine on July 5, 2012 (post-fall) showed a slightly left-sided disc protrusion or herniation at L4-5.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 The Plaintiff's Symptoms: June 17, 2012 to the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October 2012, Dr. Jacobs took the plaintiff off Gabapentin and put him on another pain relief medication called Lyrica. Lyrica is more expensive than Gabapentin.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 reported feeling "much better" while on Lyrica. In 2013, the plaintiff learned his health insurance plan would no longer cover the additional cost of Lyrica. As the plaintiff could not afford to pay for Lyrica, he reported this to Dr. Jacobs who put him back on Gabapentin in July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November 2012, the plaintiff received the first of three lumbar epidural steroid injections. While the plaintiff experienced some short-term improvement after the first injection, the second and third injections only gave him temporary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Between March and June or July of 2014, the plaintiff attended what I understand to be a rehabilitation program at Back in Motion in Burnaby. He experienced some reduction in pain through participation in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While the plaintiff continues to regularly exercise in the pool and do home-based stretching exercises for his neck, shoulder and low back, he testified his symptoms have essentially plateaued over the last two years. He still experiences flare-ups and has to lie down until the pain subsides.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mid-2014, Mr. Jahan-Bakhsh called the plaintiff and offered him two bread packaging shifts per week. He told the plaintiff that the baking shift could offer him one day a week and suggested that the position would become a permanent one (five days per week) after six months if he worked out. The plaintiff's salary would be $14-$15 per hour plus a $1.75 hourly shift premium for work performed after 10:00 p.m. The plaintiff declined this work as he did not consider himself to be physically capable of doing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 testified that he continues to search for work online, but advises prospective employers that he is not able to do physical 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(k) The Plaintiff's Life Before and After the February 8, 2011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 testified his sleep is still affected by his symptoms, and that he continues to experience headaches. He is restricted in playing with and picking up his two grandchildren. He has been unable to find employment he considers himself to be physically capable of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plaintiff's wife gave a more descriptive account of the changes in her husband since the accident. Before the accident, they took ballroom dancing classes together and were socially active, particularly within the Iranian community. They no longer dance together. She said the accident "aged" the plaintiff. He is more easily irritated and not nearly as active, energetic or joyful. He no longer follows the news. He is more withdrawn. The plaintiff's wife described them as becoming isolated after the accident. As she put it: "Who wants to see you when you talk about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Siamak testified that when he came home after completing his teaching contract in Korea it was a "different world". His father needed assistance with household tasks. His father was constantly grimacing and rubbing his arms and legs. Siamak testified that his father is frustrated and down on himself. His father played soccer and basketball with the children when they were growing up. Now, he goes up the stairs one step at a time, pausing at each step and using the hand railings. He said it is as if his father has prematurely aged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Nazak testified that it is like the plaintiff "lost a bit of himself" in the accident. He is more closed-off and less communicative.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Medical Opinions</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Jacobs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his medical/legal report of August 2, 2013 Dr. Jacobs provided this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was involved in a motor vehicle accident on February, 2011 sustaining mechanical soft tissue injuries to his neck and low back. He had residual neck pain from a previous motor vehicle accident in 2009 [sic] prior to his latest accident. He has tried both formal physiotherapy and home exercises but these have not helped in his symptomatology. He has been assessed by neurosurgeons...Both feel that surgery would not benefit his neck or low back symptoms... He is quite markedly restricted in what he can do. He is unable to walk or sit for a prolonged period of time. His symptoms have been going on now for two years and most likely will be permanent. This will prevent him from seeking employment requiring manual [labour] or repetitive flexion/extension maneuvers of both his lumbar and cervical spine. He will also be limited on his domestic duties that require the use of his 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a follow-up medical/legal report dated October 24, 2014 Dr. Jacobs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diagnosis at this time remains chronic neck and low back pain with associated degenerative disc disease and some neuroforaminal and spinal stenosis in the neck and low back, which has been evaluated by two neurosurgeons who feel that surgery may not be the best treatment at the present time. His pain is reasonably well controlled with Gabapentin... along with Tylenol No. 3 at night to prevent headaches. With respect to his low back pain, he has tried physiotherapy and an active rehab program with no benefit...His injuries are most likely mechanical in nature and he has now developed a chronic pain syndrome. It is very unlikely that he will ever be able to work. Hopefully the second opinions may shed some light on further treatment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Jacobs confirmed that he switched the plaintiff from Gabapentin to Lyrica because some patients benefit more from Lyrica. If cost had not been an issue, Dr. Jacobs would probably have left the plaintiff on Lyrica to see if it gave him better pain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Jacobs agreed in cross-examination that given the persistent neck pain the plaintiff experienced after the 2007 accident, it was hard to imagine him being able to get back to work full time following that accident in situations where he had to sit for prolonged periods while reading or using a computer. Dr. Jacobs testified that while the 2007 accident disqualified the plaintiff from some types of work (heavier manual labour involving looking up and down) the 2011 accident restricted the plaintiff's employment options by virtue of now having two sources of pain - his neck and low back.</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Sahjpaul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Sahjpaul assessed the plaintiff on July 7, 2012. At the time of the assessment, Dr. Sahjpaul had the following imaging reports: a cervical spine X-ray report dated July 25, 2007 reflecting a diagnosis of moderate to severe cervical spondylosis (degenerative changes); an MRI of the cervical spine done July 5, 2012 reflecting multi-level cervical spondylosis; and, an MRI of the lumbar spine reflecting a small L5-S1 disc bulge and a left-sided L4-5 disc herniation. Dr. Sahjpaul explained that the difference between a disc bulge and a disc herniation is a matter of degree. A disc bulge is a common occurrence and is frequently detected in asymptomatic 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Sahjpaul testified that the L4-5 disc herniation was mildly compressing the nerve root. Disc herniations can be caused by the aging process or a trauma, including a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Sahjpaul testified that disc herniations can also show up in patients who are asymptomatic. He testified that degenerative disc disease is a progressive condition, but patients will not necessarily experience symptoms in proportion to the progression of the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Sahjpaul testified the plaintiff did not tell him the tingling and numbness in his lower extremities only emerged after his fall down the stairs. Rather, the plaintiff told him that his pre-existing symptoms were temporarily worsened by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Sahjpaul thought the plaintiff to be capable of sedentary or light employment and light household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Sahjpaul offer the following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was involved in a motor vehicle accident in 2007 which caused neck pain and intermittent arm symptoms, in addition to low back pain. The low back pain resolved but he was left with persistent cervical spine complaints. The motor vehicle accident on February 8, 2011 aggravated his neck pain complaints which in my opinion are primarily myofascial and soft tissue related. The motor vehicle accident also aggravated his arm symptoms which in my opinion are secondary to the cervical spondylosis, i.e. degenerative disc/osteophyte changes seen on the MRI scan. These changes, in my opinion, are probably pre-existing but were rendered more symptomatic by the February 8, 2011 motor vehicle accident. The February 8, 2011 MVA also caused low back pain which in my opinion is primarily myofascial, i.e. soft tissue, but a portion of the back pain is probably related to the L4-5 disc herniation. This disc herniation, which is either traumatic due to the February 8, 2011 MVA or was pre-existing and rendered symptomatic by the February 8, 2011 MVA, is probably causing his lower extremity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Surgery is not recommended at the present time... Surgery may be indicated in the future if his arm symptoms become more substantial or if his leg symptoms become more substantial to the point that he would like to consider surgical intervention.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More likely than not, his neck and back pain complaints will continue on a permanent basis. I do not anticipate significant improvement. His arm and leg symptoms may improve either on a spontaneous basis due to natural healing of discs and natural recovery of nerve root compression syndromes, but resolution cannot be predicted. If he eventually requires surgery, there is a more predictable chance of improvement but, again, complete resolution is not guaranteed.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regards to functional limitations, it is my opinion that [the plaintiff] probably will not be able to perform a manual labour-type job or jobs that require repetitive lumbar flexion/extension or cervical flexion/extension maneuvers. He will probably be limited in terms of his domestic responsibilities if they require heavy lifting or lifting interesting maneuvers. Similar restrictions apply for recreational pursuits.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Sahjpau testified that while degenerative changes generally progress over time, he could not say with probability, let alone certainty, whether the plaintiff's cervical spondylosis would progress. Further, he testified that the impact of degenerative changes on patients is variable and that there is no necessary correlation between the progression of degenerative changes noted through imaging tests and the clinical manifestation of symptoms.</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Hirsch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Hirsch formulated his opinion on the understanding that the motor vehicle accident of February, 2011 was "relatively minor". In addition, Dr. Hirsch interpreted the clinical records as reflecting "delayed onset" of upper right extremity sensory symptoms, followed by sensory symptoms in his left upper extremity and in both legs. He agreed in cross-examination that if upper and lower extremity sensory symptoms started within a couple of weeks of a trauma, this would likely not qualify as a delayed onset of those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He accepted that the plaintiff's low back symptoms following the 2007 accident were short-lived and completely resolved by the 2011 accident. At the time of the 2011 accident, the plaintiff had persistent activity limitations pertaining to his chronic and painful neck condition attributable to the 2007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opinion of Dr. Hirsch as to the etiology of the plaintiff's symptoms is: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2011 accident aggravated the plaintiff's soft tissue injury to his neck and recurrent headaches and "probably" caused soft tissue injuries to his low back;</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had pre-existing neck pain, as well as radiographically documented multi-level cervical spondylosis. These factors possibly predisposed him to a more significant injury, and possibly contributed to his protracted clinical course;</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reported symptomatic regression with respect to his neck and low back complaints are atypical for soft tissue injuries and probably primarily accounted for by his pre-existing multi-level cervical and lumbar spondylosis;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Imaging studies of the plaintiff's cervical spine undertaken in 2007 and 2012 show progression of his pre-existing cervical spondylosis. This progression reflects the natural, progressive history of the degenerative process and was not influenced by the injuries the plaintiff sustained in the 2011 accident;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L4-5 disc protrusion (herniation) is "probably not causally related to the subject motor vehicle accident". Dr. Hirsch testified that no abnormality was detected at the L4-5 levels in the CAT scan of March 2012, but a disc protrusion (or herniation) was identified in an MRI conducted July 7, 2012. The inference the defendants seek to have drawn from this evidence is that the plaintiff's fall in June 2012 caused the disc herniation at L4-5;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Imaging studies of the lumbar spine taken after the 2011 accident showed multi-level degenerative changes. These degenerative changes pre-dated the 2011 accident. The presence of multi-level lumbar spondylosis possibly predisposed plaintiff to a more significant injury and may have contributed to the protracted clinical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Hirsch summarized his opinion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balance of all the evidence, it is my opinion that [the plaintiff] has mechanical neck pain and mechanical low back pain. According to today's obtained history and review of the forwarded clinical records, [the plaintiff] experienced worsening neck pain and headaches, as well as the new onset of low back pain after the February 2011 motor vehicle accident. The question arises what the situation would be absent the effects of the injuries [the plaintiff] sustained to his neck and low back in the motor vehicle accident in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[the plaintiff] had pre-existing multilevel cervical and lumbar spondylosis. On balance of all the evidence, it is my opinion that [the plaintiff] would have continued to experience neck pain and recurrent headaches, even if the accident would not have occurred. In the context of his multilevel lumbar spondylosis and age, he would have been at risk of developing low back pain with or without sciatica, even if he had not been involved in the February 2011 motor vehicle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balance of all the evidence, I think it reasonable to conclude that the natural history of [the plaintiff's] pre-existing cervical and lumbar spondylosis was accelerated by several years as a result of these two injuries he sustained to his neck and low back in the subject motor vehicle accident. It is impossible to prognosticate how his life would have ended up if he had not been involved in this motor vehicle accident, however I think it likely that within several years from the time of the subject motor vehicle accident he would have experienced similar neck, low back as well as upper and lower extremity symptoms he describes at present even if he had not been involved in the February 2011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cross-examination, Dr. Hirsch agreed that a number of patients who present with physical abnormalities are asymptomatic. He agreed you cannot predict the patient's symptoms based on imaging tests. He said that 50% of the population has degenerative disc disease by age 50. There is variability in the progression of the disease. He acknowledged it is impossible to predict which patients will develop symptoms from degenerative disc disease. He said that between the 2007 X-ray and the 2012 CT scan, the plaintiff's degenerative disc disease had progressed. He also agreed that radiologists read X-rays differently. For example, it was reported in February 2012 that the plaintiff showed mild multilevel degenerative changes from L2 to S1. Four months later, it was reported that X-rays revealed moderately advanced degenerative changes at L5-S1. Dr. Hirsch testified that the reports were likely identical and that if the same radiologist looked at them, no significant difference would have been identified in a four-month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Significantly, Dr. Hirsch agreed in cross-examination that when he expressed the opinion in his report that the plaintiff would likely have experienced similar neck, low back and upper and lower extremity symptoms through the natural progression of his disease, he was engaging in a high degree of speculation and guesswork.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re-examination, Dr. Hirsch testified that when he used the word "likely" in his report, it was intended to reflect a probability of an event occurring that was more than 50%. Having said this, it was still speculation and "an educated guess". Dr. Hirsch testified that deterioration of the plaintiff's condition was not explained by his soft tissue injuries and could only be explained by the progression of an underlying degenerative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Hirsch opined that the plaintiff has the physical ability to work in occupations which are sedentary or require light physical demands.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He also expressed the view that while the plaintiff should be able to perform the majority of domestic tasks, including reasonable yard-related activities, he will probably require some assistance doing the more physically strenuous activities in and around his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Functional Capacity Evaluation and Cost of Future Care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Haley Tencha, an occupational therapist, assessed the plaintiff on September 25, 2014. Ms. Tencha's first report addresses the plaintiff's functional capacity and cost of future care. Her second report provides additional cost of future care information based on a change in the plaintiff's prescription pain medication from Gabapentin to Lyrica.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Ms. Tencha concluded that the plaintiff demonstrated the capacity for activity requiring sedentary to light level strength through full body range but that, given his limitations, he is best suited for tasks that require at or below a light strength and activity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plaintiff was found to be capable of performing light housekeeping chores such as sweeping, mopping, washing dishes and cooking, as long as he paced himself appropriately. Moderate to heavy housekeeping chores and tasks that place strain on his neck, shoulders, upper and lower back would, however, likely result in increased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Using Canadian and American occupational classifications, categorizing the plaintiff as a baker/baker's helper or labourer in food processing, and based on the plaintiff's self-reports as to his job demands as a baker/baker's helper, Ms. Tencha concluded that while the plaintiff likely demonstrated the functional strength capacity to perform a majority of the day-to-day tasks associated with the position, he would require assistance in maneuvering heavier items, such as large bags of flour. As noted earlier, Mr. Jahan-Bakhsh testified that employees working the baking shift lift 20 to 25 kg bags of flour, and employees on the packaging shift load onto delivery trucks 22 kg bags of granola.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Ms. Tencha concluded that the plaintiff's demonstrated decline in function and speed with tasks requiring prolonged standing and repetitive horizontal reaching and bending suggest that he would likely have difficulty managing these activities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 was determined to be capable of part-time and full-time gainful employment as a college instructor.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Ms. Tencha was not asked to assess the plaintiff's suitability for work in a group home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Ms. Tencha summarized her opinion as to the impact the accident had on the plaintiff's overall work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his overall capacity to compete for work in an open job market has also been reduced due to his ongoing difficulties related to pain in his neck, shoulders, upper back, lower back and headaches. That is, the overall number of jobs that he would be able to compete for and sustain is limited compared to individuals without his physical and functional restrictions. Specifically, he would not be suitable for jobs that require fast paced walking, climbing, prolonged standing, prolonged sitting, prolonged or repetitive horizontal reaching, vertical reaching, bending, crouching or prolonged kneeling. He will require accommodations built into any occupation, such as the flexibility to take frequent breaks to change positions and stretch in order to remain productive. He is best suited for work that requires at or below light level strength and activity. In the future, if he obtained an occupation that required static sitting or static standing, he will require appropriate ergonomics and ergonomic equipment in order to limit strain to his neck and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Ms. Tencha also offered specific recommendations and costs likely to be associated with the plaintiff's future care. I will address this evidence when I turn to consider the details of the plaintiff's claim for damages for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 Vocational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Barry Nordin undertook a vocational assessment of the plaintiff on August 28,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Based on a test administered to assess vocabulary, reading comprehension and reading rate, the plaintiff scored at the 1st percentile compared with others who have attained a similar educational level. The plaintiff scored at the 9th percentile when tested for non-verbal problem-solving ability as compared against individuals his age. Both scores are well below average, and well below what Mr. Nordin expected. Cultural factors and language skills can have an impact on test results. Further, Mr. Nordin noted that the plaintiff did inform the test administrator he was having difficulty concentrating on the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plaintiff said that when the tests were administered he was in pain, had a headache, and became increasingly anxious and unable to perform within the time limits mandated. I accept the plaintiff's evidence on this point. He had been assessed as being moderately anxious just months prior to this assessment. The test scores are inexplicable in any other way. The plaintiff testified before me over several days. He is a thoughtful and intelligent person. His educational accomplishments underscore the point. I am satisfied that these tests are not reliable measures of the plaintiff's reading ability or intellectual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any event, Mr. Nordin did not rule out employment options for the plaintiff based on his reading skills, but on his physical limitations as reflected in the medical reports before him. Mr. Nordin did not have Ms. Tencha's functional capacity evaluation report when he undertook his assessment of the plaintiff. He read it before testifying and said it did not change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plaintiff completed his Master's degree at the age of 52 and is without a related work history. Mr. Nordin said the plaintiff's age and the fact that he has been out of the workforce negatively affect his employability.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Nordin noted in his report that, absent the accident, the plaintiff may have been challenged to secure employment related to his level of education. Having said this, his cultural background, second language, life experience and educational level could have been marketable assets had he chosen to pursue options such as a researcher or aid in a MLA or MP's office, or with a non-profit group with a focus on topics the plaintiff is familiar with (immigration, Iranian issues and issues related to Latin America).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Nordin noted the plaintiff was capable of working at a bakery and a group home before the 2011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Mr. Nordin also noted in his report that, to be successful in the job search, the plaintiff would have to give his full attention to the task of marketing himself, versus simply submitting applications. This would involve joining related organizations, networking, seeking out unadvertised opportunities, and tailoring his resumé to each specific job. Mr. Nordin did not see the plaintiff's resumé. He agreed, however, that the plaintiff needs help finding a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Mr. Nordin said he was, "unable to identify any competitive employment options which I think [the plaintiff] could realistically be considered suitable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Although liability was not formally admitted by the defendants, the evidence establishes that the defendant driver is wholly responsible for the accident. By his own admission, he rear-ended the plaintiff's vehicle because he was not paying as much attention as the situation called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 General Principles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The test for causation applicable to this case demands that this question be answered: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injuries?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As long as a defendant is part of the cause of an injury, the defendant is liable, even though his act alone was not enough to create the injury. As noted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14 and 17,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The plaintiff must establish causation for both injury and loss. The basic principle of tort law is that the defendant must put the plaintiff back in the position he or she would have been in had the defendant's tortious acts not occurred. The corollary is that the defendant need not compensate the plaintiff for any loss not caused by his or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for "the debilitating effects of [a] pre-existing condition which the plaintiff would have experienced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32-35.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 "crumbling skull" rule recognizes that a tortfeasor is liable for the plaintiff's injuries even if those injuries are unexpectedly severe owing to a pre-existing condition. Where, however, there is a "measurable risk" or "realistic chance" that a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can be taken into account in determining whether to reduce the overall award. This is because the plaintiff is to be returned to his or her original position, which might have included a risk that a pre-existing and potentially debilitating condition would have become symptomatic and affected the plaintiff's future life had the negligent act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A defendant need not prove on a balance of probabilities that the pre-existing condition would have actually caused the loss had the accident not occurred. A weakness inherent in the plaintiff that might realistically cause or contribute to the loss claimed, regardless of the tort, is relevant to the assessment of damages and is a contingency that should be accounted for in the award. It is a contingency that should be given weight according to its relative likelihood: </w:t>
      </w:r>
      <w:r>
        <w:rPr>
          <w:rFonts w:ascii="arial" w:eastAsia="arial" w:hAnsi="arial" w:cs="arial"/>
          <w:i/>
          <w:color w:val="000000"/>
          <w:sz w:val="20"/>
          <w:lang w:val="en-US" w:eastAsia="en-US" w:bidi="ar-SA"/>
        </w:rPr>
        <w:t>T.W.N.A. v. Canada (Ministry of Indian Affairs)</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at para.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 Factual Findings Relevant to 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make the following factual findings relevant to the assessment and quantification of damages:</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 suffered soft tissue injuries to his neck in the 2007 accident. Those injuries had not resolved at the time of the 2011 accident, and were likely permanent.</w:t>
      </w:r>
      <w:r>
        <w:rPr>
          <w:rFonts w:ascii="arial" w:eastAsia="arial" w:hAnsi="arial" w:cs="arial"/>
          <w:color w:val="000000"/>
          <w:sz w:val="20"/>
          <w:lang w:val="en-US" w:eastAsia="en-US" w:bidi="ar-SA"/>
        </w:rPr>
        <w:t xml:space="preserve"> I accept the opinion of Dr. Jacobs on this point. The plaintiff's neck symptoms had persisted for four years between accidents. The plaintiff testified he was 60% to 70% recovered from the injuries he sustained in the 2007 accident when the 2011 accident happened;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plaintiff's neck injuries caused in the 2007 accident permanently disqualified him from doing some types of heavy manual labour, particularly jobs that required him to look up and down.</w:t>
      </w:r>
      <w:r>
        <w:rPr>
          <w:rFonts w:ascii="arial" w:eastAsia="arial" w:hAnsi="arial" w:cs="arial"/>
          <w:color w:val="000000"/>
          <w:sz w:val="20"/>
          <w:lang w:val="en-US" w:eastAsia="en-US" w:bidi="ar-SA"/>
        </w:rPr>
        <w:t xml:space="preserve"> I accept the opinion of Dr. Jacobs on this point;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While the plaintiff remained symptomatic at the time of the 2011 accident, his injuries were not functionally limiting in the sense that the plaintiff was able to discharge the physical responsibilities associated with his work at the bakery and, subsequently, in the group home.</w:t>
      </w:r>
      <w:r>
        <w:rPr>
          <w:rFonts w:ascii="arial" w:eastAsia="arial" w:hAnsi="arial" w:cs="arial"/>
          <w:color w:val="000000"/>
          <w:sz w:val="20"/>
          <w:lang w:val="en-US" w:eastAsia="en-US" w:bidi="ar-SA"/>
        </w:rPr>
        <w:t xml:space="preserve"> While I accept that the plaintiff may have encountered more difficulties in discharging the responsibilities of his job at the bakery after the 2007 accident due to his neck-related complaints, there is no evidence before me that the plaintiff was rendered incapable of doing that work as a result of the 2007 accident. I make the same observation about the plaintiff's work in the group home. Further, although the plaintiff's neck injury remained symptomatic at the time of the 2011 accident, the last time he saw Dr. Jacobs for treatment in relation to this issue was October 13, 2009. There was a 16-month period between the plaintiff's last attendance at Dr. Jacobs' office for complaints relating to his neck, and the date of the 2011 accident. In this intervening 16 months, there is no evidence the plaintiff was being treated with prescription painkillers. He was treating his pain on an as needed basis with over-the-counter Tylenol and Advil;</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plaintiff's low back complaints following the 2007 accident resolved within a couple of weeks of that accident</w:t>
      </w:r>
      <w:r>
        <w:rPr>
          <w:rFonts w:ascii="arial" w:eastAsia="arial" w:hAnsi="arial" w:cs="arial"/>
          <w:color w:val="000000"/>
          <w:sz w:val="20"/>
          <w:lang w:val="en-US" w:eastAsia="en-US" w:bidi="ar-SA"/>
        </w:rPr>
        <w: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 had no low back symptoms between the 2007 and 2011 accidents</w:t>
      </w:r>
      <w:r>
        <w:rPr>
          <w:rFonts w:ascii="arial" w:eastAsia="arial" w:hAnsi="arial" w:cs="arial"/>
          <w:color w:val="000000"/>
          <w:sz w:val="20"/>
          <w:lang w:val="en-US" w:eastAsia="en-US" w:bidi="ar-SA"/>
        </w:rPr>
        <w:t>;</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 suffers from degenerative disc disease in his cervical and lumbar spine</w:t>
      </w:r>
      <w:r>
        <w:rPr>
          <w:rFonts w:ascii="arial" w:eastAsia="arial" w:hAnsi="arial" w:cs="arial"/>
          <w:color w:val="000000"/>
          <w:sz w:val="20"/>
          <w:lang w:val="en-US" w:eastAsia="en-US" w:bidi="ar-SA"/>
        </w:rPr>
        <w: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plaintiff's pre-existing cervical degenerative disc disease had become symptomatic prior to the 2011 accident, but the plaintiff's symptoms were aggravated by that accident.</w:t>
      </w:r>
      <w:r>
        <w:rPr>
          <w:rFonts w:ascii="arial" w:eastAsia="arial" w:hAnsi="arial" w:cs="arial"/>
          <w:color w:val="000000"/>
          <w:sz w:val="20"/>
          <w:lang w:val="en-US" w:eastAsia="en-US" w:bidi="ar-SA"/>
        </w:rPr>
        <w:t xml:space="preserve"> As early as March 2007, the plaintiff was reporting numbness and tingling in the fingers of his right hand. X-rays taken of the plaintiff's neck in July 2007 revealed moderate to severe cervical spondylosis. By the summer of 2009, the plaintiff was complaining of pain and tingling in his left hand. As Dr. Sahjpaul testified, the 2011 accident aggravated the plaintiff's arm symptoms, which are secondary to his cervical spondylosis. The plaintiff's neck and upper extremity ailments were rendered more symptomatic by the 2011 accident;</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plaintiff's pre-existing lumbar degenerative disc disease had not become symptomatic prior to the 2011 accident</w:t>
      </w:r>
      <w:r>
        <w:rPr>
          <w:rFonts w:ascii="arial" w:eastAsia="arial" w:hAnsi="arial" w:cs="arial"/>
          <w:color w:val="000000"/>
          <w:sz w:val="20"/>
          <w:lang w:val="en-US" w:eastAsia="en-US" w:bidi="ar-SA"/>
        </w:rPr>
        <w:t>. There is no evidence of any low back complaint until immediately after the 2011 accident. I accept the plaintiff's evidence that his post-2011 low back symptoms were "new" for him and emerged immediately following the accident. I note that the plaintiff's credibility was not seriously challenged at trial, including on this point;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plaintiff's low back pain is partly myofascial, and partly related to the L4-5 disc herniation. As testified to by Dr. Sahjpaul, the disc herniation is either traumatic due to the 2011 accident, or was pre-existing and rendered symptomatic by that accident</w:t>
      </w:r>
      <w:r>
        <w:rPr>
          <w:rFonts w:ascii="arial" w:eastAsia="arial" w:hAnsi="arial" w:cs="arial"/>
          <w:color w:val="000000"/>
          <w:sz w:val="20"/>
          <w:lang w:val="en-US" w:eastAsia="en-US" w:bidi="ar-SA"/>
        </w:rPr>
        <w:t>. I am satisfied that, but for the 2011 accident, the plaintiff would not have suffered significant aggravation of his neck injuries and related upper extremity ailments, nor would he have suffered the low back pain and lower extremity symptoms he has experienced more or less constantly since the 2011 accident. I am unable to accept Dr. Hirsch's opinion that the plaintiff's neck and low back pain, including the L4-5 disc herniation, and associated symptoms in his upper and lower extremities, are probably not causally connected to the 2011 accident, but the result of a natural degenerative process. There is no doubt the plaintiff has degenerative disc disease. But, in so far as the plaintiff's low back complaints are concerned, acceptance of Dr. Hirsch's opinion would entail acceptance of the notion that, through coincidence, the plaintiff's lumbar spine became symptomatic the day after the accident. That conclusion is not reasonably open to me on the evidence. Further, my preparedness to rely on Dr. Hirsch's opinion on this point is weakened by two aspects of the factual foundation upon which Dr. Hirsch relied in coming to that opinion. Dr. Hirsch's opinion rests on factual assumptions that: (1) the accident was a relatively minor one; and (2) the plaintiff experienced "delayed onset" of upper and lower extremity symptoms. With respect to the first assumption, it is apparent that Dr. Hirsch did not have the benefit of seeing photographs depicting the extent of the damage this rear-end collision caused to the front of the vehicle being operated by the defendant, Daniel Lewis. In my view, these photographs do not depict a collision that can properly be characterized as "relatively minor". With respect to the second assumption, within about two weeks of the accident, the plaintiff re-attended at Dr. Jacobs' office complaining of pain and numbness radiating bilaterally into his posterior thighs. While I understand that there is room for disagreement in the medical community about what qualifies as "delayed onset" symptoms, I cannot accept that the plaintiff's reporting of these symptoms, in close temporal proximity to the accident, constitutes a delayed onset making it more likely that the symptoms are attributable to a natural degenerative process rather than to the traumatic insult caused by the 2011 accident. Having said this, I do accept Dr. Hirsch's opinion that it is likely the plaintiff's multi-level cervical and lumbar spondylosis predisposed him to more significant injury and a more protracted clinical course;</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I reject the notion that the plaintiff's fall down the stairs in his home was caused by an increase in the dosage of Gabapentin prescribed to him by Dr. Jacobs</w:t>
      </w:r>
      <w:r>
        <w:rPr>
          <w:rFonts w:ascii="arial" w:eastAsia="arial" w:hAnsi="arial" w:cs="arial"/>
          <w:color w:val="000000"/>
          <w:sz w:val="20"/>
          <w:lang w:val="en-US" w:eastAsia="en-US" w:bidi="ar-SA"/>
        </w:rPr>
        <w:t>. I accept the opinion of Dr. Perry that it is very unlikely this modest increase in dosage caused the plaintiff to fall. I think it likely the plaintiff fell because his pain symptoms attributable to the 2011 accident had escalated in June 2012, and he was in a compromised physical and emotional state;</w:t>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I also reject the notion that the disc herniation was caused when the plaintiff fell down the stairs in his home</w:t>
      </w:r>
      <w:r>
        <w:rPr>
          <w:rFonts w:ascii="arial" w:eastAsia="arial" w:hAnsi="arial" w:cs="arial"/>
          <w:color w:val="000000"/>
          <w:sz w:val="20"/>
          <w:lang w:val="en-US" w:eastAsia="en-US" w:bidi="ar-SA"/>
        </w:rPr>
        <w:t>. Although the timing associated with identification of the disc herniation tends to support the defendants' theory on this point, the plaintiff testified that his symptoms returned to their pre-fall state a few weeks after this incident. The plaintiff's credibility on this point was not seriously challenged. Indeed, his evidence on this issue was supported by Siamak who, despite his relationship to the plaintiff, gave his evidence in an even-handed and credible fashion. In addition, the plaintiff had repeatedly made complaints of radiating pain and numbness bilaterally down his thighs well before the June 2012 fall;</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plaintiff's current symptoms are likely permanent</w:t>
      </w:r>
      <w:r>
        <w:rPr>
          <w:rFonts w:ascii="arial" w:eastAsia="arial" w:hAnsi="arial" w:cs="arial"/>
          <w:color w:val="000000"/>
          <w:sz w:val="20"/>
          <w:lang w:val="en-US" w:eastAsia="en-US" w:bidi="ar-SA"/>
        </w:rPr>
        <w:t>. There is no real dispute on this issue;</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 is capable of work that requires at or below light level strength and activity-related duties</w:t>
      </w:r>
      <w:r>
        <w:rPr>
          <w:rFonts w:ascii="arial" w:eastAsia="arial" w:hAnsi="arial" w:cs="arial"/>
          <w:color w:val="000000"/>
          <w:sz w:val="20"/>
          <w:lang w:val="en-US" w:eastAsia="en-US" w:bidi="ar-SA"/>
        </w:rPr>
        <w:t>. I think it likely the plaintiff sees himself as being somewhat less physically capable than he actually is. For example, the report of Ms. Tencha suggests that the plaintiff's capacity to sit and stand for prolonged periods exceeded the plaintiff's self-assessment. In addition, the assessments of Ms. Tencha and Dr. Hirsch as to the plaintiff's capacity to do household chores appear to significantly exceed the plaintiff's self-reports, including his October 2, 2014 report to Dr. Jacobs that he could only do dishes while standing for one or two minutes before needing to sit down, and was incapable of doing any vacuuming or yard work. Even though the plaintiff's self-reports may be the product of his experience of symptoms on a particular day, the plaintiff's self-reports, collectively viewed, suggest that he perceives himself as being somewhat less capable than he is;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plaintiff's prospects for obtaining work in his field after obtaining his Master's degree at the end of 2011 were poor.</w:t>
      </w:r>
      <w:r>
        <w:rPr>
          <w:rFonts w:ascii="arial" w:eastAsia="arial" w:hAnsi="arial" w:cs="arial"/>
          <w:color w:val="000000"/>
          <w:sz w:val="20"/>
          <w:lang w:val="en-US" w:eastAsia="en-US" w:bidi="ar-SA"/>
        </w:rPr>
        <w:t xml:space="preserve"> The plaintiff was 51 years of age when he graduated with a degree in Latin American studies. He had no history of related employment and an undeveloped work history since moving to Canada in 1989;</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What the plaintiff has lost in terms of future earning capacity is the ability to fall back on physically demanding jobs requiring something more than light level strength and activity levels.</w:t>
      </w:r>
      <w:r>
        <w:rPr>
          <w:rFonts w:ascii="arial" w:eastAsia="arial" w:hAnsi="arial" w:cs="arial"/>
          <w:color w:val="000000"/>
          <w:sz w:val="20"/>
          <w:lang w:val="en-US" w:eastAsia="en-US" w:bidi="ar-SA"/>
        </w:rPr>
        <w:t xml:space="preserve"> I am satisfied the plaintiff cannot now discharge the demands of working in the baking or packaging departments of Uprising Breads. I am also satisfied that the plaintiff could not work as a taxi driver (something he did in Winnipeg) because of the long periods of sitting associated with that job. But I am unable to accept the opinion given by Mr. Nordin. In my respectful view, Mr. Nordin's inability "to identify any competitive employment options which ... [the plaintiff] could realistically be considered suitable for" speaks more to the lack of depth of the assessment than it does to the plaintiff's actual future wage earning prospects. Mr. Nordin's opinion appears to me to ignore the fact that the plaintiff was able to come complete and defend his Master's thesis within 10 months of the accident. There are other aspects of Mr. Nordin's opinion that diminish the weight I am prepared to give it. First, it is difficult to square Mr. Nordin's opinion with the results of the functional capacity evaluation. Second, Mr. Nordin concluded that in the unlikely event the plaintiff did secure employment, he would be unable to maintain it. The opinion appears to encompass all types of work. In my view, this opinion is speculative and unsupported by any other evidence, including the functional capacity evaluation undertaken by Ms. Tencha. Third, Mr. Nordin concluded that, based on his review of the medical information, it seems unlikely the plaintiff would have been capable of committing the required level of attention to his post-2011 job search. Apart from the fact that the opinion likely falls outside Mr. Nordin's expertise, this opinion appears to be based on an extrapolation the witness made from headaches the plaintiff has experienced since the accident to a more generalized inability to look for a job. The opinion is inconsistent with the plaintiff's evidence that he has made over 100 job applications since his graduation and continues to do so to this day. Finally, Mr. Nordin did not assess the plaintiff's capacity to work as a support worker in a group home, despite the fact that it represents the last job the plaintiff held; a job that paid him roughly what he earned as a baker's assistant. There is no evidence before me that the plaintiff is disabled in his ability to work as a group home support worker;</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 has a residual earning capacity.</w:t>
      </w:r>
      <w:r>
        <w:rPr>
          <w:rFonts w:ascii="arial" w:eastAsia="arial" w:hAnsi="arial" w:cs="arial"/>
          <w:color w:val="000000"/>
          <w:sz w:val="20"/>
          <w:lang w:val="en-US" w:eastAsia="en-US" w:bidi="ar-SA"/>
        </w:rPr>
        <w:t xml:space="preserve"> I am satisfied the plaintiff has an ability in the future to work in a job that requires light to sedentary strength and activity levels. The plaintiff's age and undeveloped employment history will certainly present obstacles to finding future employment. The plaintiff's diminished employment prospects, and the additional length of time it will likely take him to secure employment, are factors that should be taken into account in assessing his claim for loss of future earning capacity. Having said this, the plaintiff is an intelligent and thoughtful man with a good deal of life experience. He has much to contribute to a prospective employer. He has more than one language and extensive knowledge of the recent history of troubled regions. All of these things are marketable assets. Unfortunately, the plaintiff has no experience looking for a job. There is no evidence before me that he has ever engaged in a competitive process for a job. His approach to finding a job has been passive (doing Internet-based searches and filing online applications) and the plaintiff has likely highlighted his inabilities to the exclusion of his considerable abilities. The plaintiff requires vocational mentoring to assist him in marketing his abilities, skills and aptitudes. Unfortunately, no attention has been paid to this obvious need to date;</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 is capable of performing the majority of domestic tasks such as sweeping, mopping, washing dishes, cooking and light level yard-related activities provided he paces himself appropriately. He probably will require assistance to perform more physically strenuous activities in and around his home.</w:t>
      </w:r>
      <w:r>
        <w:rPr>
          <w:rFonts w:ascii="arial" w:eastAsia="arial" w:hAnsi="arial" w:cs="arial"/>
          <w:color w:val="000000"/>
          <w:sz w:val="20"/>
          <w:lang w:val="en-US" w:eastAsia="en-US" w:bidi="ar-SA"/>
        </w:rPr>
        <w:t xml:space="preserve"> In coming to this conclusion I rely on the fairly consistent opinions of Ms. Tencha, Dr. Hirsch and Dr. Sahjpaul;</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On the evidence before me, I cannot conclude that the plaintiff's degenerative disc disease in his lumbar spine would likely have become symptomatic had the accident not occurred.</w:t>
      </w:r>
      <w:r>
        <w:rPr>
          <w:rFonts w:ascii="arial" w:eastAsia="arial" w:hAnsi="arial" w:cs="arial"/>
          <w:color w:val="000000"/>
          <w:sz w:val="20"/>
          <w:lang w:val="en-US" w:eastAsia="en-US" w:bidi="ar-SA"/>
        </w:rPr>
        <w:t xml:space="preserve"> Dr. Sahjpaul was clear in his evidence that while degenerative disc disease is a progressive ailment, this does not necessarily mean that the patient will become symptomatic. Dr. Hirsch similarly testified that it is impossible to predict whether a patient will develop symptoms as a consequence of degenerative disc disease. In his report, Dr. Hirsch confirmed that, "It is impossible to prognosticate how his life would have ended up if he had not been involved in this motor vehicle accident..." Despite this, Dr. Hirsch later testified that it was "likely" the plaintiff would become symptomatic within several years. He then testified that he did not know when the plaintiff would likely have become symptomatic, but was able to say that his symptoms would have progressed. Dr. Hirsch then qualified his response noting that whether the plaintiff would have become symptomatic absent the accident was still speculative and guesswork. As I understand Dr. Hirsch's evidence on this point, he was of the view that the plaintiff would have become symptomatic had the accident not occurred because of: (1) the progressive nature of the disease; and (2) the fact that the plaintiff reported a recent deterioration of his symptoms, atypical of soft tissue injuries, and more likely to be explained by the progression of an underlying degenerative process. I am not prepared to rely on Dr. Hirsch's evidence on this point, in part because I found his evidence to be internally contradictory, and in part because he had the distinct disadvantage of assessing the plaintiff at a point in time. The plaintiff testified that his symptoms were variable, and that when he saw Dr. Hirsch he was having good days and bad days. I cannot discount the possibility that the plaintiff's soft tissue injuries flared before he saw Dr. Hirsch. The fact that he was referred for attendance at Back in Motion a few months after seeing Dr. Hirsch suggests his symptoms were particularly acute at that time. On the evidence before me I cannot conclude that it is likely the plaintiff's low back would have become symptomatic, or would have become symptomatic during his working years, had the accident not occurred due to advancement of degenerative disc disease in his lumbar spine. In my view, the evidence goes no further than to establish a risk that the plaintiff would have become symptomatic at some point due to the advancement of degenerative disc disease in his low back. On the evidence before me, I am unable to say whether the plaintiff would likely have become symptomatic soon after the accident, in old age, or not at all. What can be said is this: the plaintiff at the age of 51 had developed no low back symptoms associated with degenerative disc disease despite working in jobs where he had to lift, bend, twist, crouch, and push and pull relatively heavy objects. In so far as his low back complaints are concerned, the evidence is clear the plaintiff only became symptomatic after the 2011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Assessment of Damages</w:t>
      </w:r>
      <w:r>
        <w:rPr>
          <w:rFonts w:ascii="arial" w:eastAsia="arial" w:hAnsi="arial" w:cs="arial"/>
          <w:sz w:val="20"/>
          <w:lang w:val="en-US" w:eastAsia="en-US" w:bidi="ar-SA"/>
        </w:rPr>
        <w:cr/>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The plaintiff submits that the appropriate award for non-pecuniary damages is $85,000. He relies on: </w:t>
      </w:r>
      <w:r>
        <w:rPr>
          <w:rFonts w:ascii="arial" w:eastAsia="arial" w:hAnsi="arial" w:cs="arial"/>
          <w:i/>
          <w:color w:val="000000"/>
          <w:sz w:val="20"/>
          <w:lang w:val="en-US" w:eastAsia="en-US" w:bidi="ar-SA"/>
        </w:rPr>
        <w:t>Clark v. Kouba</w:t>
      </w:r>
      <w:r>
        <w:rPr>
          <w:rFonts w:ascii="arial" w:eastAsia="arial" w:hAnsi="arial" w:cs="arial"/>
          <w:color w:val="000000"/>
          <w:sz w:val="20"/>
          <w:lang w:val="en-US" w:eastAsia="en-US" w:bidi="ar-SA"/>
        </w:rPr>
        <w:t xml:space="preserve">, </w:t>
      </w:r>
      <w:hyperlink r:id="rId644" w:history="1">
        <w:r>
          <w:rPr>
            <w:rFonts w:ascii="arial" w:eastAsia="arial" w:hAnsi="arial" w:cs="arial"/>
            <w:i/>
            <w:color w:val="0077CC"/>
            <w:sz w:val="20"/>
            <w:u w:val="single"/>
            <w:shd w:val="clear" w:color="auto" w:fill="FFFFFF"/>
            <w:lang w:val="en-US" w:eastAsia="en-US" w:bidi="ar-SA"/>
          </w:rPr>
          <w:t>2012 BCSC 1607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Paller v. Regan</w:t>
      </w:r>
      <w:r>
        <w:rPr>
          <w:rFonts w:ascii="arial" w:eastAsia="arial" w:hAnsi="arial" w:cs="arial"/>
          <w:color w:val="000000"/>
          <w:sz w:val="20"/>
          <w:lang w:val="en-US" w:eastAsia="en-US" w:bidi="ar-SA"/>
        </w:rPr>
        <w:t xml:space="preserve">, </w:t>
      </w:r>
      <w:hyperlink r:id="rId645" w:history="1">
        <w:r>
          <w:rPr>
            <w:rFonts w:ascii="arial" w:eastAsia="arial" w:hAnsi="arial" w:cs="arial"/>
            <w:i/>
            <w:color w:val="0077CC"/>
            <w:sz w:val="20"/>
            <w:u w:val="single"/>
            <w:shd w:val="clear" w:color="auto" w:fill="FFFFFF"/>
            <w:lang w:val="en-US" w:eastAsia="en-US" w:bidi="ar-SA"/>
          </w:rPr>
          <w:t>2013 BCSC 1672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Kilian v. Valentin</w:t>
      </w:r>
      <w:r>
        <w:rPr>
          <w:rFonts w:ascii="arial" w:eastAsia="arial" w:hAnsi="arial" w:cs="arial"/>
          <w:color w:val="000000"/>
          <w:sz w:val="20"/>
          <w:lang w:val="en-US" w:eastAsia="en-US" w:bidi="ar-SA"/>
        </w:rPr>
        <w:t xml:space="preserve">, </w:t>
      </w:r>
      <w:hyperlink r:id="rId646" w:history="1">
        <w:r>
          <w:rPr>
            <w:rFonts w:ascii="arial" w:eastAsia="arial" w:hAnsi="arial" w:cs="arial"/>
            <w:i/>
            <w:color w:val="0077CC"/>
            <w:sz w:val="20"/>
            <w:u w:val="single"/>
            <w:shd w:val="clear" w:color="auto" w:fill="FFFFFF"/>
            <w:lang w:val="en-US" w:eastAsia="en-US" w:bidi="ar-SA"/>
          </w:rPr>
          <w:t>2012 BCSC 1434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Hoy v. Williams</w:t>
      </w:r>
      <w:r>
        <w:rPr>
          <w:rFonts w:ascii="arial" w:eastAsia="arial" w:hAnsi="arial" w:cs="arial"/>
          <w:color w:val="000000"/>
          <w:sz w:val="20"/>
          <w:lang w:val="en-US" w:eastAsia="en-US" w:bidi="ar-SA"/>
        </w:rPr>
        <w:t xml:space="preserve">, </w:t>
      </w:r>
      <w:hyperlink r:id="rId647" w:history="1">
        <w:r>
          <w:rPr>
            <w:rFonts w:ascii="arial" w:eastAsia="arial" w:hAnsi="arial" w:cs="arial"/>
            <w:i/>
            <w:color w:val="0077CC"/>
            <w:sz w:val="20"/>
            <w:u w:val="single"/>
            <w:shd w:val="clear" w:color="auto" w:fill="FFFFFF"/>
            <w:lang w:val="en-US" w:eastAsia="en-US" w:bidi="ar-SA"/>
          </w:rPr>
          <w:t>2014 BCSC 234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The defendants submit that the appropriate award for non-pecuniary damages is $25,000. They rely on: </w:t>
      </w:r>
      <w:r>
        <w:rPr>
          <w:rFonts w:ascii="arial" w:eastAsia="arial" w:hAnsi="arial" w:cs="arial"/>
          <w:i/>
          <w:color w:val="000000"/>
          <w:sz w:val="20"/>
          <w:lang w:val="en-US" w:eastAsia="en-US" w:bidi="ar-SA"/>
        </w:rPr>
        <w:t>Olynyk v. Turner</w:t>
      </w:r>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2012 BCSC 1138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Gendron v. Moffat</w:t>
      </w:r>
      <w:r>
        <w:rPr>
          <w:rFonts w:ascii="arial" w:eastAsia="arial" w:hAnsi="arial" w:cs="arial"/>
          <w:color w:val="000000"/>
          <w:sz w:val="20"/>
          <w:lang w:val="en-US" w:eastAsia="en-US" w:bidi="ar-SA"/>
        </w:rPr>
        <w:t xml:space="preserve">, </w:t>
      </w:r>
      <w:hyperlink r:id="rId649" w:history="1">
        <w:r>
          <w:rPr>
            <w:rFonts w:ascii="arial" w:eastAsia="arial" w:hAnsi="arial" w:cs="arial"/>
            <w:i/>
            <w:color w:val="0077CC"/>
            <w:sz w:val="20"/>
            <w:u w:val="single"/>
            <w:shd w:val="clear" w:color="auto" w:fill="FFFFFF"/>
            <w:lang w:val="en-US" w:eastAsia="en-US" w:bidi="ar-SA"/>
          </w:rPr>
          <w:t>2010 BCSC 1231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Anderson v. Dwyer</w:t>
      </w:r>
      <w:r>
        <w:rPr>
          <w:rFonts w:ascii="arial" w:eastAsia="arial" w:hAnsi="arial" w:cs="arial"/>
          <w:color w:val="000000"/>
          <w:sz w:val="20"/>
          <w:lang w:val="en-US" w:eastAsia="en-US" w:bidi="ar-SA"/>
        </w:rPr>
        <w:t xml:space="preserve">, </w:t>
      </w:r>
      <w:hyperlink r:id="rId650" w:history="1">
        <w:r>
          <w:rPr>
            <w:rFonts w:ascii="arial" w:eastAsia="arial" w:hAnsi="arial" w:cs="arial"/>
            <w:i/>
            <w:color w:val="0077CC"/>
            <w:sz w:val="20"/>
            <w:u w:val="single"/>
            <w:shd w:val="clear" w:color="auto" w:fill="FFFFFF"/>
            <w:lang w:val="en-US" w:eastAsia="en-US" w:bidi="ar-SA"/>
          </w:rPr>
          <w:t>2010 BCSC 526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Cail v. Spinks</w:t>
      </w:r>
      <w:r>
        <w:rPr>
          <w:rFonts w:ascii="arial" w:eastAsia="arial" w:hAnsi="arial" w:cs="arial"/>
          <w:color w:val="000000"/>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2005 BCSC 441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Non-pecuniary damages are awarded for intangible losses, such as pain and suffering, loss of amenities, and loss of enjoyment of life. Such damages are, by their nature, less susceptible to scientific itemization. The award must be fair and reasonable to both parties. Fairness takes its meaning from awards given in comparable cases, although each case is unique and will turn on its own particular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The factors to be considered in assessing non-pecuniary damages were reviewed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They include: the age of the plaintiff; the nature of the injury; the severity and duration of the pain experienced by the plaintiff; any mental or physical disability resulting from the injury; any emotional suffering caused by the injury; any loss of lifestyle flowing from the injury; and, any impairment of life including in marital, family and social relationships.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Since the 2011 accident, the plaintiff has experienced an elevated level of pain in his neck, and an increase in pain and numbness symptoms in his upper extremities.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addition, the plaintiff has experienced persistent low back pain and radiating pain and numbness in his lower extremities.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plaintiff's pain symptoms have plateaued but are relatively constant. He requires prescription medication to manage his pain. His symptoms are likely to be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plaintiff underwent the discomfort of three epidural steroid injections in an unsuccessful effort to provide long-term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plaintiff continues to experience headaches four years after the accident. His sleep is still disturbed.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By all accounts, the plaintiff's enjoyment of l0ife has been significantly diminished by the accident. He is withdrawn and more socially isolated. He is less active. He is less engaged. He is less joyful. He no longer takes pleasure from activities (like following and debating current events) to the extent he did before the accident. The plaintiff's pain has interfered with his ability to physically interact with his grandchildren. The plaintiff's self-image and emotional state have also been impaired by the 2011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plaintiff would have continued to experience neck-related pain from the 2007 accident and associated upper extremity discomfort had the 2011 accident not occurred. The plaintiff's degenerative disc disease in his cervical spine had clearly become symptomatic before the 2011 accident and, having become symptomatic, there is a realistic risk that the disease and its associated symptoms would have progressed and impacted on the plaintiff's enjoyment of life. Having said this, the plaintiff's neck pain and related symptoms from the 2007 accident were not nearly as acute as the symptoms the plaintiff has experienced since the 2011 accident. Further, whether symptoms associated with the disc degeneration in the plaintiff's cervical spine would have progressed rapidly as he aged, or plateaued, is something that cannot be foretold. While the disease would likely have advanced, the evidence supports a conclusion that the symptoms had stabilized before the 2011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Without factoring in the permanent neck-related symptoms the plaintiff would have experienced from the 2007 accident, and the risk that his cervical spondylosis would have become increasingly symptomatic had the 2011 accident not occurred, I would have awarded $75,000 in non-pecuniary damages. A reduction in the award is necessary to factor in these considerations. But I am also satisfied that the reduction in the award for non-pecuniary damages on this account ought to be relatively modest. Although the plaintiff's symptoms from his 2007 accident would have been a permanent feature of his life, they were manageable at the time of the 2011 accident and did not significantly impair his activities or social relationships. Further, while there is a risk his cervical spondylosis would have become increasingly symptomatic had the 2011 accident not occurred, it is not a quantifiable risk. In my view, a 10% reduction in the award for non-pecuniary damages is necessary and appropriate to take into account the permanent nature of the plaintiff's symptoms from the 2007 accident, and the risk that his cervical spondylosis would have become increasingly symptomatic, impairing his quality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In my view, no further reduction is warranted on grounds that there is a measurable risk or realistic chance that the plaintiff's asymptomatic degenerative disc disease in his lumbar spine would have become symptomatic, and impaired the plaintiff's enjoyment of life, had the 2011 accident not occurred. Most people in the plaintiff's age group have degenerative disc disease. Unlike the plaintiff's cervical spine disease, there is no evidence that the plaintiff was exhibiting symptoms associated with degenerative disc disease in his lumbar spine before the accident. There is no evidence before me as to the rate at which the plaintiff's lumbar spine disease was progressing before the accident. In a case of this kind, the gradual deterioration of the condition over many years would support, at best, only a modest reduction in damages. But in this case, there is no evidence upon which I am prepared to rely that the plaintiff's lumbar spine condition would have become symptomatic in his lifetime. On the evidence before me, it is speculation to say it would have. In my view, there is no "measurable risk" that the plaintiff's lumbar spine disease would have become symptomatic in his lifetime had the accident not occurred. I note that similar conclusions were reached on the facts in </w:t>
      </w:r>
      <w:r>
        <w:rPr>
          <w:rFonts w:ascii="arial" w:eastAsia="arial" w:hAnsi="arial" w:cs="arial"/>
          <w:i/>
          <w:color w:val="000000"/>
          <w:sz w:val="20"/>
          <w:lang w:val="en-US" w:eastAsia="en-US" w:bidi="ar-SA"/>
        </w:rPr>
        <w:t>Eblaghie v. Lee</w:t>
      </w:r>
      <w:r>
        <w:rPr>
          <w:rFonts w:ascii="arial" w:eastAsia="arial" w:hAnsi="arial" w:cs="arial"/>
          <w:color w:val="000000"/>
          <w:sz w:val="20"/>
          <w:lang w:val="en-US" w:eastAsia="en-US" w:bidi="ar-SA"/>
        </w:rPr>
        <w:t xml:space="preserve">, </w:t>
      </w:r>
      <w:hyperlink r:id="rId652" w:history="1">
        <w:r>
          <w:rPr>
            <w:rFonts w:ascii="arial" w:eastAsia="arial" w:hAnsi="arial" w:cs="arial"/>
            <w:i/>
            <w:color w:val="0077CC"/>
            <w:sz w:val="20"/>
            <w:u w:val="single"/>
            <w:shd w:val="clear" w:color="auto" w:fill="FFFFFF"/>
            <w:lang w:val="en-US" w:eastAsia="en-US" w:bidi="ar-SA"/>
          </w:rPr>
          <w:t>2010 BCSC 703</w:t>
        </w:r>
      </w:hyperlink>
      <w:r>
        <w:rPr>
          <w:rFonts w:ascii="arial" w:eastAsia="arial" w:hAnsi="arial" w:cs="arial"/>
          <w:color w:val="000000"/>
          <w:sz w:val="20"/>
          <w:lang w:val="en-US" w:eastAsia="en-US" w:bidi="ar-SA"/>
        </w:rPr>
        <w:t xml:space="preserve"> at paras. 34-35 and </w:t>
      </w:r>
      <w:r>
        <w:rPr>
          <w:rFonts w:ascii="arial" w:eastAsia="arial" w:hAnsi="arial" w:cs="arial"/>
          <w:i/>
          <w:color w:val="000000"/>
          <w:sz w:val="20"/>
          <w:lang w:val="en-US" w:eastAsia="en-US" w:bidi="ar-SA"/>
        </w:rPr>
        <w:t>Johal v. Meade</w:t>
      </w:r>
      <w:r>
        <w:rPr>
          <w:rFonts w:ascii="arial" w:eastAsia="arial" w:hAnsi="arial" w:cs="arial"/>
          <w:color w:val="000000"/>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2013 BCSC 2381</w:t>
        </w:r>
      </w:hyperlink>
      <w:r>
        <w:rPr>
          <w:rFonts w:ascii="arial" w:eastAsia="arial" w:hAnsi="arial" w:cs="arial"/>
          <w:color w:val="000000"/>
          <w:sz w:val="20"/>
          <w:lang w:val="en-US" w:eastAsia="en-US" w:bidi="ar-SA"/>
        </w:rPr>
        <w:t xml:space="preserve"> at para. 57; rev'd on other grounds </w:t>
      </w:r>
      <w:hyperlink r:id="rId654" w:history="1">
        <w:r>
          <w:rPr>
            <w:rFonts w:ascii="arial" w:eastAsia="arial" w:hAnsi="arial" w:cs="arial"/>
            <w:i/>
            <w:color w:val="0077CC"/>
            <w:sz w:val="20"/>
            <w:u w:val="single"/>
            <w:shd w:val="clear" w:color="auto" w:fill="FFFFFF"/>
            <w:lang w:val="en-US" w:eastAsia="en-US" w:bidi="ar-SA"/>
          </w:rPr>
          <w:t>2014 BCCA 509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the result, I award the plaintiff $67,500 in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Past Wage Loss and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 turn next to the plaintiff's claim for past and future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plaintiff's claims are complicated by a variety of factors, including his age and the absence of any developed work history since his move to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Because the plaintiff has no recent employment history, and was not employed at the time of the accident, his claim for past wage loss is, analytically, akin to his claim for loss of future earning capacity: </w:t>
      </w:r>
      <w:r>
        <w:rPr>
          <w:rFonts w:ascii="arial" w:eastAsia="arial" w:hAnsi="arial" w:cs="arial"/>
          <w:i/>
          <w:color w:val="000000"/>
          <w:sz w:val="20"/>
          <w:lang w:val="en-US" w:eastAsia="en-US" w:bidi="ar-SA"/>
        </w:rPr>
        <w:t>Kumar v. Elpidio</w:t>
      </w:r>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2013 BCSC 236</w:t>
        </w:r>
      </w:hyperlink>
      <w:r>
        <w:rPr>
          <w:rFonts w:ascii="arial" w:eastAsia="arial" w:hAnsi="arial" w:cs="arial"/>
          <w:color w:val="000000"/>
          <w:sz w:val="20"/>
          <w:lang w:val="en-US" w:eastAsia="en-US" w:bidi="ar-SA"/>
        </w:rPr>
        <w:t xml:space="preserve"> at para. 41. For this reason, I will consider these two claims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A claim for loss of future earning capacity raises two key questions: 1) has the plaintiff's earning capacity been impaired by his injuries; and, if so 2) what compensation should be awarded for the resulting financial harm that will accrue? The appropriate means of assessment will vary from case to case: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656"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The assessment of damages is ultimately a matter of judgment, not calculation: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In so far as possible, the plaintiff should be put in the position 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601"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The essential task of the Court is to compare the likely future of the plaintiff's working life if the accident had not happened, with the plaintiff's likely future working life after the accident: </w:t>
      </w:r>
      <w:r>
        <w:rPr>
          <w:rFonts w:ascii="arial" w:eastAsia="arial" w:hAnsi="arial" w:cs="arial"/>
          <w:i/>
          <w:color w:val="000000"/>
          <w:sz w:val="20"/>
          <w:lang w:val="en-US" w:eastAsia="en-US" w:bidi="ar-SA"/>
        </w:rPr>
        <w:t>Gregory v. Insurance Corp. of British Columbia,</w:t>
      </w:r>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The principles that apply in assessing loss of future earning capacity were summarized by Low J.A. in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at para. 101: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relevant principles may be briefly summarized. The standard of proof in relation to future events is simple probability, not the balance of probabilities, and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will him of loss, which are to be quantified by estimating the chance of the loss occurring: </w:t>
      </w:r>
      <w:r>
        <w:rPr>
          <w:rFonts w:ascii="arial" w:eastAsia="arial" w:hAnsi="arial" w:cs="arial"/>
          <w:i/>
          <w:color w:val="000000"/>
          <w:sz w:val="20"/>
          <w:lang w:val="en-US" w:eastAsia="en-US" w:bidi="ar-SA"/>
        </w:rPr>
        <w:t>Athey v. Leonati, supra</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(Q.L.). Moreover, the task of the Court is to assess the losses, not to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Milina v. Bartsch, supra</w:t>
      </w:r>
      <w:r>
        <w:rPr>
          <w:rFonts w:ascii="arial" w:eastAsia="arial" w:hAnsi="arial" w:cs="arial"/>
          <w:color w:val="000000"/>
          <w:sz w:val="20"/>
          <w:lang w:val="en-US" w:eastAsia="en-US" w:bidi="ar-SA"/>
        </w:rPr>
        <w:t>, at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There are two possible approaches to assessing loss of future earning capacity: the "earnings approach" from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the "capital asset approach"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Both approaches are acceptable. Reliance on the capital asset approach will be more useful where, as in this case, the loss in question is not easily measureable: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The earnings approach involves a form of math-oriented methodology such as: (i) postulating a minimum annual income loss for the plaintiff's remaining years of work, multiplying the annual projected loss by the number of remaining years and calculating a present value; or (ii) awarding the plaintiff's entire annual income for a year or two: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The capital asset approach involves considering factors such as: (i) whether the plaintiff has been rendered less capable overall of earning income from all types of employment; (ii) is less marketable or attractive as a potential employee; (iii) has lost the ability to take advantage of all job opportunities that might otherwise have been open; and (iv) is less valuable to himself as a person capable of earning income in a competitive labour market: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at para. 233.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Regardless of which approach is more suitable to the circumstances of the case, the plaintiff must always prove that there is a real and substantial possibility of a future event leading to an income loss: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plaintiff seeks an award for past wage loss between $45,000 and $50,000, plus a $200,000 award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defendants submit the plaintiff has failed to prove a past wage loss. In addition, the defendants submit the plaintiff has not proven, on a balance of probabilities, that the accident diminished his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While the two approaches to the quantification of loss of earnings are not mutually exclusive, in the absence of an earnings history, I consider the capital asset approach to be more appropriate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What the plaintiff has lost in this case is the ability to access employment opportunities requiring strength and activity levels above those associated with light level duties. The plaintiff's ability to access this kind of employment was reduced, to some extent, by the 2007 accident, which resulted in neck injuries limiting his ability to look up and down. This must be taken into account. At the same time, it must be recalled that the plaintiff was, after the 2007 accident, able to manage the physical demands of working as a baker's assistant. He cannot do so now, nor could he pursue employment that has similar physical demands. Further, the evidence supports a conclusion that this type of employment opportunity was open to the plaintiff following the accident. He was offered work at Uprising Breads in the summer of 2014 - work he was unable to accept due to his physical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 am satisfied that a capital asset has been lost. The plaintiff is, as a consequence of the 2011 accident: less attractive as a potential employee to new employers; unable to take advantage of all job opportunities previously open to him; and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 am also satisfied that there is a real and substantial, not merely abstract, possibility of future income loss. At his age, and with a sparse employment history, the plaintiff will always be challenged to compete with younger, more qualified job applicants. It will likely take him longer to find employment. It is also more likely he will be considered for part-time and temporary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That the plaintiff faces a future of scrambling to find work was a reality he faced before the 2011 accident. What the 2011 accident took away from the plaintiff was the ability to fall back during periods of unemployment on less desirable, unskilled jobs requiring medium strength and activity levels, like the job the plaintiff had at Uprising Breads.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Clearly, the plaintiff is not disabled. He has an as yet unrealized residual earning capacity. The challenge in this case is valuing the portion of the plaintiff's capital asset that has been lost as a consequence of the 2011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With respect to the pre-trial period, I am satisfied that but for the accident the plaintiff would have completed his Master's degree in April 2011 and spent the remainder of the year unsuccessfully looking for work in his area of study. It is reasonable to assume that by January 2012 the plaintiff would have been working in alternative employment while he continued to search for jobs that aligned with his academic credentials.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plaintiff had personal contacts at Uprising Breads and was well thought of as a previous employee of this business. I think it likely that the plaintiff would have been able to secure part-time employment at Uprising Breads or an equivalent bakery. The plaintiff submits that he would have earned between $15,000 and $16,500 per year. In my view, the plaintiff would have made somewhat less than that to start as it is likely his work would have been part time. As the plaintiff re-established himself at work, it is likely he would have been offered additional hours and would have made annual income in the range noted above in 2013 and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While I agree with the defendants' assertion that the plaintiff has a residual earning capacity, they do not assert, as an alternative position, that the plaintiff failed to mitigate his damages pending the trial by more aggressively pursuing alternative employment he is capable of doing. Clearly, the plaintiff has tried to find employment pending trial. His inability to secure work is, in part, attributable to the absence of an established work history. But it is also fair to say that the plaintiff's inability to secure work is less attributable to the absence of marketable skills, than it is to his lack of experience and knowledge as to how to market the skills and attributes he has.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Moving forward, it is reasonable to assume that the observations of Mr. Nordin (that the plaintiff has to market himself versus simply submitting an application, join related organizations, network, seek out unadvertised opportunities and tailor his resumé to each specific job) will assist the plaintiff in tapping into his residual earning capacity. For this reason, I do not regard the plaintiff's past wage loss as a reliable predictor of what his future wage loss is likely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 award the plaintiff $40,000 for past wage loss. A plaintiff is, of course, only entitled to recover damages for past net income loss. I will leave to the parties the task of endeavouring to agree upon an approach to netting out this award. If necessary, directions may be sought from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Turning to the future, I am satisfied that once the plaintiff has adjusted his job search methodology, his without-accident earning potential is not significantly more than what he probably will earn. The plaintiff has the capacity to work full time and, once he learns to market his skills to their full potential, including his life experience and language skills, it is likely he will be able to secure employment and earn income roughly equivalent to his without-accident earning potential.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Again, what the plaintiff has lost is the ability, when it becomes necessary for him to do so, to fall back on more demanding types of work he is no longer capable of doing. In addition, that the plaintiff has lost access to some of the work previously open to him likely means it will take him longer to secure employment, not only initially but when temporary jobs and part-time work comes to an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 am satisfied that this loss is real and likely to arise, and not something that merely exists in the abstract. But valuing it is a challenge and the award can do no more in this case than provide a rough and ready estimate of the plaintiff's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assessment of loss must also take into account the negative contingencies addressed in paragraph 144 that risked disqualifying him from some types of work requiring flexibility and more than light level strength and activity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Factoring in these considerations, I award the plaintiff $30,000 for loss of future income earning capacity. The plaintiff submits he would have earned about $15,000 per year in 2012, 2013 and 2014 had the 2011 accident not occurred. The award I make for loss of future income earning capacity compensates the plaintiff for between 1 1/2 and two years of lost future income.</w:t>
      </w:r>
      <w:r>
        <w:rPr>
          <w:rFonts w:ascii="arial" w:eastAsia="arial" w:hAnsi="arial" w:cs="arial"/>
          <w:sz w:val="20"/>
          <w:lang w:val="en-US" w:eastAsia="en-US" w:bidi="ar-SA"/>
        </w:rPr>
        <w:cr/>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The plaintiff claims for loss of both past and future housekeeping capacity. This head of damages compensates the person for lost ability to do work of economic value inside the home. The award reflects the loss of a personal capacity and is not dependent upon whether replacement housekeeping costs are actually incurred: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plaintiff seeks an award of $5,000 to compensate him for past loss of housekeeping capacity for the four-year period from the date of the accident to the date of trial. The evidence is clear and uncontested that in the weeks following the 2011 accident the plaintiff's friends assisted with housekeeping tasks. Since that time Siamak and Nazak have regularly assisted the plaintiff with housekeeping tasks. I acknowledge that the plaintiff was, to some extent, restricted in performing housekeeping tasks after the 2007 accident. But his capacity to do so was further decreased by the 2011 accident. I am satisfied that $5,000 is a reasonable sum to compensate the plaintiff for past loss of housekeeping capacity.</w:t>
      </w:r>
      <w:r>
        <w:rPr>
          <w:rFonts w:ascii="arial" w:eastAsia="arial" w:hAnsi="arial" w:cs="arial"/>
          <w:sz w:val="20"/>
          <w:lang w:val="en-US" w:eastAsia="en-US" w:bidi="ar-SA"/>
        </w:rPr>
        <w:cr/>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As noted in </w:t>
      </w:r>
      <w:r>
        <w:rPr>
          <w:rFonts w:ascii="arial" w:eastAsia="arial" w:hAnsi="arial" w:cs="arial"/>
          <w:i/>
          <w:color w:val="000000"/>
          <w:sz w:val="20"/>
          <w:lang w:val="en-US" w:eastAsia="en-US" w:bidi="ar-SA"/>
        </w:rPr>
        <w:t>Fifi v. Robinson</w:t>
      </w:r>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2012 BCSC 1378</w:t>
        </w:r>
      </w:hyperlink>
      <w:r>
        <w:rPr>
          <w:rFonts w:ascii="arial" w:eastAsia="arial" w:hAnsi="arial" w:cs="arial"/>
          <w:color w:val="000000"/>
          <w:sz w:val="20"/>
          <w:lang w:val="en-US" w:eastAsia="en-US" w:bidi="ar-SA"/>
        </w:rPr>
        <w:t xml:space="preserve"> at para. 151, the purpose of an award for cost of future care is to restore, as best as possible with a monetary award, the injured person to the position he or she would have been in had the accident not occurred. The award is based on what is reasonably necessary on the medical evidence to promote the mental and physical health of the plaintiff. In addition, compensation should be restricted to expenses the plaintiff is likely to incur: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662"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 23;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609"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at para. 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plaintiff's claim for cost of future care is supported primarily by the reports of Ms. Tencha and Dr. Jacobs. Those future care costs have been itemized and valued over the plaintiff's life expectancy in a cost of future care report prepared by Mr. Peever.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plaintiff submits that $125,000 is an appropriate award for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defendants submit that a cost of future care award should be limited to about $1,800 and should only cover: the cost of an active rehabilitation program; Tylenol 3 as may be required by the plaintiff in the future; and a small contribution to the cost of a gym membership.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Ms. Tencha makes provision in her cost of future care report for a supportive pillow, memory foam topper and supportive backrest, as well as replacement costs for these items every two to five years. As the plaintiff would have needed to purchase a pillow had the accident not occurred, Ms. Tencha has identified in her report a cost range representing the difference between a regular and supportive pillow for the plaintiff's neck. No allowance is made in her report for the impact on the plaintiff of the 2007 accident, particularly on his neck, or the risk that his cervical spine complaints would increase as a consequence of the natural progression of his disc disease and would eventually require the incursion of care costs. Mr. Peever estimates that the present value of these future care costs are, at the low end, $2,698, and at the high end, $3,348. I consider that an award of $2,000 properly addresses these costs taking into account the likelihood that the plaintiff would eventually have required at least a supportive pillow (the least expensive of these costs) for his neck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Ms. Tencha's report includes provision for supportive athletic shoes she believes the plaintiff will benefit from to reduce the stress in his lower back while participating in his exercise program. Her cost estimates again reflect the differential between regular running shoes and the more expensive running shoes she recommends for the plaintiff. Ms. Tencha recommends replacement of these shoes every year. While the differential in cost is something that should be recognized in an award, it is unlikely that the plaintiff will, or will need to, replace his running shoes every year. I award $500 for this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plaintiff claims an award for future housekeeping costs ranging from $47,000-$72,000. I am satisfied there is a permanent impairment of the plaintiff's ability to do some types of household tasks, particularly those that are more physically demanding or require twisting and bending. This conclusion is supported by Ms. Tencha and by all of the medical experts who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Ms. Tencha's opinion with respect to the plaintiff's functional capacity is that he is capable of performing light homemaking chores such as sweeping, mopping, washing dishes, and cooking as long as he paces himself appropriately, but will likely experience more difficulty and an increase in his symptoms with tasks requiring moderate to heavy demands, or those that place strain on his neck, shoulders and lower back. Having reached this conclusion, Ms. Tencha then cost out a future care award that includes regular inside housekeeping, including sweeping and mopping. I am unable to reconcile this aspect of Ms. Tencha's functional capacity evaluation with her cost of future care recommendations. Having said that, I am satisfied the plaintiff will require assistance with heavier duties associated with home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This aspect of the future cost of care award must also take into account: the fact that the plaintiff's 2007 accident permanently prevented him from discharging household tasks requiring him to extend his neck; the risk that his cervical spine disease would become increasingly symptomatic; and, that ICBC is currently paying for the plaintiff's wife to receive three hours of inside cleaning assistance every two weeks. As to the third factor, there is no evidence before me that the provision of housekeeping assistance to the plaintiff's wife is a permanent arrangement. I am, as a consequence, unable to assign this consideration much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 am satisfied the plaintiff can do most inside housekeeping tasks if he paces himself. He will, however, need assistance with heavier home and yard maintenance tasks including trimming trees, cleaning gutters, washing outside windows, power washing, and minor household repairs requiring flexibility, reaching, twisting, crouching and/or bending.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Taking the midway point between the high and low cost estimates, or approximately $60,000, and taking into account the following positive and negative contingencies: the plaintiff can do most inside household related chores; his ability to do some outside household chores was impaired by his 2007 accident; the risk that the advancement of the plaintiff's cervical disc degeneration would have eventually required him to engage future assistance with household tasks; and his capacity to perform housekeeping tasks will likely be further reduced once he returns to work, I award the plaintiff $30,000 for future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As recommended by Ms. Tencha, I award the plaintiff $200 to attend kinesiology sessions to ensure he is performing exercises correctly. I note that this recommendation is supported by Dr. Hirsch.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present value of a gym membership over the plaintiff's life expectancy, and factoring in the annual rates he would pay at different ages, is $7,788. I would reduce this modestly to take into account the contingency that the plaintiff would have joined a gym as a consequence of the need to stretch and exercise after his 2007 accident. I award $7,000 to address these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Ms. Tencha's cost of future care report addresses the future cost of: massage therapy; chiropractic sessions; pulsed electromagnetic field treatments; and ergonomic assessment and ergonomic equipment. In closing argument, the plaintiff conceded the evidence does not support a future care cost inclusive of these services and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Ms. Tencha's cost of future care report also includes estimated costs associated with occupational therapy sessions. There is no evidence that the plaintiff has engaged in occupational therapy in the past and I am not satisfied, on the evidence before me, that he will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With respect to the plaintiff's future medication needs and costs, Ms. Tencha addresses the plaintiff's future need for and reliance on Gabapentin/Lyrica and Tylenol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Ms. Tencha's assumes the plaintiff takes one Tylenol 3 tablet three or four times per week. The frequency with which the plaintiff takes Tylenol 3 in addition to his regular prescription pain relief medication is unclear on the evidence before me. While the plaintiff occasionally uses Tylenol 3 to manage his bad days, I am not satisfied that he uses this medication three or four times a week in addition to his regular prescription pain relief medication. In addition, the award for the future cost of Tylenol 3 must take into account the risk that the plaintiff's cervical spine degeneration would have caused him at least occasional periods of discomfort he would have treated with a prescription pain relief medication. I award the plaintiff $300 for future costs associated with Tylenol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With respect to the plaintiff's regular prescription pain relief medication, the estimated yearly cost of Gabapentin is $1,248. Using the applicable multiplier, the lifetime cost of Gabapentin is $25,569. The estimated yearly cost of Lyrica is $2,825. Using the same multiplier, the lifetime cost of Lyrica is $57,800. The plaintiff testified that he experienced better symptom relief while on Lyrica. Dr. Jacobs testified he would likely have continued to treat the plaintiff with Lyrica, but switched back to Gabapentin because the additional, and uncovered, costs associated with prescribing Lyrica gave rise to an insurmountable cost barrier. The plaintiff seeks a future cost of care award that includes the sum of $30,000 for additional costs associated with Lyrica.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In my view, making provision in the cost of future care award for Lyrica has been shown to be reasonably necessary to support the plaintiff's physical and emotional health. Allowing the plaintiff's claim on this account is also consistent with the rationale underlying a cost of future care award - to restore, as best as possible, the plaintiff to the position he would have been in had the accident not occurred. I award the plaintiff $30,000 for the lifetime difference in cost as between Gabapentin and Lyrica.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Ms. Tencha's report also addresses costs that may be incurred if the plaintiff requires surgical intervention in the future. The plaintiff did not press, in written or oral submissions, this component of his cost of future care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There is no evidence the plaintiff will require surgery. If his symptoms deteriorate, surgery may be considered at some point. The uncovered costs to the plaintiff following a future surgical intervention are relatively modest. In addition, Dr. Sahjpaul testified that if surgery goes ahead, there is a more predictable chance of improvement. In other words, the allowance for cost of future care made herein may well exceed the plaintiff's future needs in the event that his situation improves through surgical intervention. Weighing these factors as best I can, and taking into account the position of the plaintiff on this point, I make no allowance for future care costs based on the contingency that the plaintiff may require surgery at some future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 total award for cost of future care is, therefore, $70,000.</w:t>
      </w:r>
      <w:r>
        <w:rPr>
          <w:rFonts w:ascii="arial" w:eastAsia="arial" w:hAnsi="arial" w:cs="arial"/>
          <w:sz w:val="20"/>
          <w:lang w:val="en-US" w:eastAsia="en-US" w:bidi="ar-SA"/>
        </w:rPr>
        <w:cr/>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parties agree the plaintiff incurred special damages totaling $581.63 for: one prescription; parking; recreational passes; exercise equipment; and mileage.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The plaintiff incurred an additional $2,566.78 in tuition fees as a consequence of his decision to extend the completion date for his Master's thesis. In my view, it was reasonable for the plaintiff to incur these additional tuition costs so he could continue to work on his thesis with access to his supervisor and the academic facilities at SFU. I do not accept the defendants' position that the plaintiff ought to have applied for a leave, or that it is appropriate to engage in an </w:t>
      </w:r>
      <w:r>
        <w:rPr>
          <w:rFonts w:ascii="arial" w:eastAsia="arial" w:hAnsi="arial" w:cs="arial"/>
          <w:i/>
          <w:color w:val="000000"/>
          <w:sz w:val="20"/>
          <w:lang w:val="en-US" w:eastAsia="en-US" w:bidi="ar-SA"/>
        </w:rPr>
        <w:t>ex post facto</w:t>
      </w:r>
      <w:r>
        <w:rPr>
          <w:rFonts w:ascii="arial" w:eastAsia="arial" w:hAnsi="arial" w:cs="arial"/>
          <w:color w:val="000000"/>
          <w:sz w:val="20"/>
          <w:lang w:val="en-US" w:eastAsia="en-US" w:bidi="ar-SA"/>
        </w:rPr>
        <w:t xml:space="preserve"> analysis about what the plaintiff was actually able to accomplish by way of progress on his thesis during the time covered by his academic extensions. The plaintiff could not possibly have forecast how he would progress immediately following the accident and adopted a reasonable course of conduct by incurring additional tuition fees to extend the completion date of his thesis. I am satisfied that the academic extension obtained by the plaintiff is attributable to the 2011 accident. Accordingly, I award the plaintiff $3,148.41 in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J.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 award the plaintiff:</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81" type="#_x0000_t75" style="width:304.5pt;height:147.75pt">
            <v:imagedata r:id="rId663"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Unless there is some reason that makes such an order inappropriate, in which event I may be spoken to, the plaintiff will have his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G.J. FITCH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2" style="position:absolute;z-index:251842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Young v. Insurance Corp. of British Columbia, [2018] B.C.J. No. 138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J.C. Grauer J.</w:t>
      </w:r>
    </w:p>
    <w:p>
      <w:pPr>
        <w:spacing w:before="120" w:line="260" w:lineRule="atLeast"/>
        <w:jc w:val="center"/>
        <w:rPr>
          <w:lang w:val="en-US" w:eastAsia="en-US" w:bidi="ar-SA"/>
        </w:rPr>
      </w:pPr>
      <w:r>
        <w:rPr>
          <w:rFonts w:ascii="arial" w:eastAsia="arial" w:hAnsi="arial" w:cs="arial"/>
          <w:color w:val="000000"/>
          <w:sz w:val="20"/>
          <w:lang w:val="en-US" w:eastAsia="en-US" w:bidi="ar-SA"/>
        </w:rPr>
        <w:t>Heard: December 4-8, 11-15, 2017.</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January 30, 2018.</w:t>
      </w:r>
    </w:p>
    <w:p>
      <w:pPr>
        <w:spacing w:before="120" w:line="260" w:lineRule="atLeast"/>
        <w:jc w:val="center"/>
        <w:rPr>
          <w:lang w:val="en-US" w:eastAsia="en-US" w:bidi="ar-SA"/>
        </w:rPr>
      </w:pPr>
      <w:r>
        <w:rPr>
          <w:rFonts w:ascii="arial" w:eastAsia="arial" w:hAnsi="arial" w:cs="arial"/>
          <w:color w:val="000000"/>
          <w:sz w:val="20"/>
          <w:lang w:val="en-US" w:eastAsia="en-US" w:bidi="ar-SA"/>
        </w:rPr>
        <w:t>Docket: S140152</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[2018] B.C.J. No. 138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2018 BCSC 138</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288 A.C.W.S. (3d) 555</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76 C.C.L.I. (5th) 146</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2018 CarswellBC 151</w:t>
        </w:r>
      </w:hyperlink>
    </w:p>
    <w:p>
      <w:pPr>
        <w:spacing w:before="120" w:line="260" w:lineRule="atLeast"/>
        <w:rPr>
          <w:lang w:val="en-US" w:eastAsia="en-US" w:bidi="ar-SA"/>
        </w:rPr>
      </w:pPr>
      <w:r>
        <w:rPr>
          <w:rFonts w:ascii="arial" w:eastAsia="arial" w:hAnsi="arial" w:cs="arial"/>
          <w:color w:val="000000"/>
          <w:sz w:val="20"/>
          <w:lang w:val="en-US" w:eastAsia="en-US" w:bidi="ar-SA"/>
        </w:rPr>
        <w:t>Between Jennifer Lynn Young, Plaintiff, and Insurance Corporation of British Columbia,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(135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83" style="position:absolute;z-index:25169100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08" w:name="Keywords_31"/>
      <w:bookmarkEnd w:id="208"/>
      <w:r>
        <w:rPr>
          <w:rFonts w:ascii="arial" w:eastAsia="arial" w:hAnsi="arial" w:cs="arial"/>
          <w:b/>
          <w:color w:val="000000"/>
          <w:sz w:val="20"/>
          <w:lang w:val="en-US" w:eastAsia="en-US" w:bidi="ar-SA"/>
        </w:rPr>
        <w:t>Damages — Physical and psychological injuries — Physical injuries — Leg injuries — Fibromyalgia or chronic pain — Psychological injuries — Depression — Third party claims — Persons entitled to claim — Parent — Action for damages for injuries sustained in motor vehicle accident allowed in part — 28-year-old plaintiff suffered soft issue injuries to neck and back that resolved, and to hip, which developed into chronic bursitis, for which recovery was uncertain, and depression — Plaintiff earned $74,191 in sales position prior to accident, took time off due to injuries, then attempted to pursue career as psychiatric nurse but was stymied by injuries — Plaintiff awarded $110,000 non-pecuniary loss, $15,171 special damages, $57,665 past-loss of income, $800,000 loss of earning capacity and $115,997 cost of future care — Plaintiff's mother awarded $10,000 in trust.</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Damages — Types of damages — General damages — For personal injuries — Considerations — Duration of loss — Employment status — Cost of future care — Loss of earning capacity — Loss of housekeeping ability — Special damages — Past loss of income — Employment income — Expenses and expenditures — Medical — Medications — Therapy or rehabilitation — Non-pecuniary loss — Pain and suffering — Action for damages for injuries sustained in motor vehicle accident allowed in part — 28-year-old plaintiff suffered soft issue injuries to neck and back that resolved, and to hip, which developed into chronic bursitis, for which recovery was uncertain, and depression — Plaintiff earned $74,191 in sales position prior to accident, took time off due to injuries, then attempted to pursue career as psychiatric nurse but was stymied by injuries — Plaintiff awarded $110,000 non-pecuniary loss, $15,171 special damages, $57,665 past-loss of income, $800,000 loss of earning capacity and $115,997 cost of future care — Plaintiff's mother awarded $10,000 in trust.</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Insurance law — Automobile insurance — Uninsured or underinsured motorist coverage — Action against insurer in place of unidentified driver allowed in part — Plaintiff reported being side-swiped by vehicle that drove her into concrete barrier then left scene — Plaintiff was credible witness and officer's failure to find evidence of debris or paint transfer in flashlight examination did not undermine plaintiff's claim; he did not find evidence to support defendant's claim this was single-vehicle accident — 28-year-old plaintiff sustained soft tissue injury that developed into chronic hip bursitis and depression, and was awarded $1,108,833 damages.</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Evidence and proof — Action against insurer in place of unidentified driver allowed in part — Plaintiff reported being side-swiped by vehicle that drove her into concrete barrier then left scene — Plaintiff was credible witness and officer's failure to find evidence of debris or paint transfer in flashlight examination did not undermine plaintiff's claim; he did not find evidence to support defendant's claim this was single-vehicle accident — 28-year-old plaintiff sustained soft tissue injury that developed into chronic hip bursitis and depression, and was awarded $1,108,833 damages.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09" w:name="Case Summary_29"/>
            <w:bookmarkEnd w:id="209"/>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for damages for injuries sustained in a motor vehicle accident. The plaintiff sued the defendant insurer, in place on an unidentified driver. The plaintiff claimed she was rounding a curve when another vehicle crossed the centre line and side swiped her vehicle, driving her into a concrete barrier. The plaintiff gave a general description of the other vehicle but testified it was gone when she got out of her car. The plaintiff called the police as well as her brother and friends, and moved her vehicle. The plaintiff testified it took the officer a long time to arrive. The officer's time notes indicated he arrived just 18 minutes after the 9-11 call. The officer examined the scene and the plaintiff's vehicle with a flashlight but did not observe any paint transfer, debris or signs of impact. The plaintiff sustained soft tissue injuries to her back and neck from which she recovered, as well a soft tissue injury to her hip, which resulted in traumatic tronchantenic bursitis, which caused low back pain and persisted despite treatment. The plaintiff moved back in with her mother and developed depression. The 28-year-old plaintiff earned $74,191 in a sales position the year before the accident. The plaintiff took time off to recover and then decided to leave her employment and return to school to pursue her career goal as a psychiatric nurse. The plaintiff began in a causal role hoping to build to full-time, but her injury made her unable to work more than twice per week. The plaintiff had surgery and it worsened her mobility and pain and had not worked since. The defendant argued there was no other vehicle and this was a single-vehicle accident. </w:t>
            </w:r>
            <w:r>
              <w:rPr>
                <w:lang w:val="en-US" w:eastAsia="en-US" w:bidi="ar-SA"/>
              </w:rPr>
              <w:cr/>
            </w:r>
          </w:p>
          <w:p>
            <w:pPr>
              <w:spacing w:before="120" w:line="260" w:lineRule="atLeast"/>
              <w:ind w:left="240"/>
              <w:jc w:val="both"/>
              <w:rPr>
                <w:lang w:val="en-US" w:eastAsia="en-US" w:bidi="ar-SA"/>
              </w:rPr>
            </w:pPr>
            <w:bookmarkStart w:id="210" w:name="Holdings of Court_26"/>
            <w:bookmarkEnd w:id="210"/>
            <w:r>
              <w:rPr>
                <w:rFonts w:ascii="arial" w:eastAsia="arial" w:hAnsi="arial" w:cs="arial"/>
                <w:color w:val="000000"/>
                <w:sz w:val="20"/>
                <w:lang w:val="en-US" w:eastAsia="en-US" w:bidi="ar-SA"/>
              </w:rPr>
              <w:t>HELD: Action allowed in part.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officer likely recorded the time he arrived at the wrong location, because 9-11 called the plaintiff to confirm her location for the officer after that time. As such, the plaintiff's recollection about timing made sense. That the officer saw nothing with the flashlight was not particularly useful, as he also saw nothing to corroborate the defendant's claim it was a single-vehicle accident. By the time the defendant raised the possibility of fabrication, it was too late to inspect the vehicle or scene. The plaintiff was a credible witness and her evidence was accepted. No one suggested the plaintiff's condition was not genuine. The plaintiff now had to use a cane to walk, socialized much less, was not working, had interrupted sleep and depended on her mother. The plaintiff was being referred to a pain clinic, so may eventually recover most of her functionality, but there was a risk the injury was intractable. The plaintiff was awarded $110,000 non-pecuniary loss. The parties agreed on $15,171 special damages and $57,665 past income loss. There was a realistic possibility the plaintiff was less competitive and her future earnings would be impacted. The plaintiff was clearly capable of earning a healthy income in the financial services sector in which she previously worked, but could not do this work full-time in her current condition, and her prospects were limited without additional training. The plaintiff could not work as a nurse due to limitations with standing and sitting, and did not have enough seniority for a less demanding position. With the plaintiff's abilities and resourcefulness, she would likely begin earning income again after 2020, beginning with $15,000 and working up to $60,000. This was compared to $70,797-91,628 as a psychiatric nurse. After applying multipliers and contingencies, the plaintiff was awarded $800,000 loss of earning capacity. Most of the plaintiff's therapies and medications were accepted, and she was awarded amounts for housekeeping and child care contingencies, for a total cost of future care award of $115,997. The plaintiff's mother was awarded $10,000. The total award was $1,108,833. </w:t>
            </w:r>
            <w:r>
              <w:rPr>
                <w:lang w:val="en-US" w:eastAsia="en-US" w:bidi="ar-SA"/>
              </w:rPr>
              <w:cr/>
            </w:r>
          </w:p>
          <w:p>
            <w:pPr>
              <w:rPr>
                <w:lang w:val="en-US" w:eastAsia="en-US" w:bidi="ar-SA"/>
              </w:rPr>
            </w:pPr>
          </w:p>
        </w:tc>
      </w:tr>
    </w:tbl>
    <w:p>
      <w:pPr>
        <w:jc w:val="both"/>
        <w:rPr>
          <w:lang w:val="en-US" w:eastAsia="en-US" w:bidi="ar-SA"/>
        </w:rPr>
      </w:pPr>
      <w:bookmarkStart w:id="211" w:name="Counsel_30"/>
      <w:bookmarkEnd w:id="211"/>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84" style="position:absolute;z-index:25174220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John D. Boyd, Joseph D. Antifaev.</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Lyle G. Harris, Q.C., Nazanin Aram.</w:t>
      </w:r>
      <w:r>
        <w:rPr>
          <w:lang w:val="en-US" w:eastAsia="en-US" w:bidi="ar-SA"/>
        </w:rPr>
        <w:cr/>
      </w:r>
    </w:p>
    <w:p>
      <w:pPr>
        <w:spacing w:after="240"/>
        <w:rPr>
          <w:lang w:val="en-US" w:eastAsia="en-US" w:bidi="ar-SA"/>
        </w:rPr>
      </w:pPr>
      <w:bookmarkStart w:id="212" w:name="Judgment_31"/>
      <w:bookmarkEnd w:id="212"/>
      <w:r>
        <w:pict>
          <v:line id="_x0000_s1185" style="position:absolute;z-index:251793408"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Table of Contents</w:t>
      </w:r>
    </w:p>
    <w:p>
      <w:pPr>
        <w:spacing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Paragraph</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064"/>
        <w:gridCol w:w="334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93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b/>
                <w:color w:val="000000"/>
                <w:sz w:val="18"/>
                <w:lang w:val="en-US" w:eastAsia="en-US" w:bidi="ar-SA"/>
              </w:rPr>
              <w:t>1.0 INTRODUCTION</w:t>
            </w:r>
          </w:p>
        </w:tc>
        <w:tc>
          <w:tcPr>
            <w:tcW w:w="3277"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855"/>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73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b/>
                <w:color w:val="000000"/>
                <w:sz w:val="18"/>
                <w:lang w:val="en-US" w:eastAsia="en-US" w:bidi="ar-SA"/>
              </w:rPr>
              <w:t>2.0 LIABILITY</w:t>
            </w:r>
          </w:p>
        </w:tc>
        <w:tc>
          <w:tcPr>
            <w:tcW w:w="348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4</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646"/>
        <w:gridCol w:w="376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53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b/>
                <w:color w:val="000000"/>
                <w:sz w:val="18"/>
                <w:lang w:val="en-US" w:eastAsia="en-US" w:bidi="ar-SA"/>
              </w:rPr>
              <w:t>3.0 DAMAGES</w:t>
            </w:r>
          </w:p>
        </w:tc>
        <w:tc>
          <w:tcPr>
            <w:tcW w:w="3686"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20</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019"/>
        <w:gridCol w:w="376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491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3.1 Overview</w:t>
            </w:r>
          </w:p>
        </w:tc>
        <w:tc>
          <w:tcPr>
            <w:tcW w:w="3686"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20</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647"/>
        <w:gridCol w:w="31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5530"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3.2 Before the Accident</w:t>
            </w:r>
          </w:p>
        </w:tc>
        <w:tc>
          <w:tcPr>
            <w:tcW w:w="3072"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25</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53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3.3 After the accident</w:t>
            </w:r>
          </w:p>
        </w:tc>
        <w:tc>
          <w:tcPr>
            <w:tcW w:w="307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34</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633"/>
        <w:gridCol w:w="115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47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3.4 Conclusion re Ms. Young's injuries and prognosis</w:t>
            </w:r>
          </w:p>
        </w:tc>
        <w:tc>
          <w:tcPr>
            <w:tcW w:w="1126"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64</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751"/>
        <w:gridCol w:w="303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63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3.5 Non-pecuniary damages</w:t>
            </w:r>
          </w:p>
        </w:tc>
        <w:tc>
          <w:tcPr>
            <w:tcW w:w="2970"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72</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437"/>
        <w:gridCol w:w="334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32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3.6 Special damages</w:t>
            </w:r>
          </w:p>
        </w:tc>
        <w:tc>
          <w:tcPr>
            <w:tcW w:w="3277"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81</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647"/>
        <w:gridCol w:w="31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53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3.7 Past loss of income</w:t>
            </w:r>
          </w:p>
        </w:tc>
        <w:tc>
          <w:tcPr>
            <w:tcW w:w="307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82</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6483"/>
        <w:gridCol w:w="23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634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3.8 Loss of income-earning capacity</w:t>
            </w:r>
          </w:p>
        </w:tc>
        <w:tc>
          <w:tcPr>
            <w:tcW w:w="2253"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83</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4705"/>
        <w:gridCol w:w="334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4608"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3.8.1 Overview</w:t>
            </w:r>
          </w:p>
        </w:tc>
        <w:tc>
          <w:tcPr>
            <w:tcW w:w="3277"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83</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4608"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3.8.2 Evidence</w:t>
            </w:r>
          </w:p>
        </w:tc>
        <w:tc>
          <w:tcPr>
            <w:tcW w:w="3277"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87</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4608"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3.8.3 Findings</w:t>
            </w:r>
          </w:p>
        </w:tc>
        <w:tc>
          <w:tcPr>
            <w:tcW w:w="3277"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98</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4810"/>
        <w:gridCol w:w="324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471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3.8.4 Assessment</w:t>
            </w:r>
          </w:p>
        </w:tc>
        <w:tc>
          <w:tcPr>
            <w:tcW w:w="3174"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104</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542"/>
        <w:gridCol w:w="324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42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3.9 Future care costs</w:t>
            </w:r>
          </w:p>
        </w:tc>
        <w:tc>
          <w:tcPr>
            <w:tcW w:w="3174"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110</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437"/>
        <w:gridCol w:w="334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32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3.10 In trust claim</w:t>
            </w:r>
          </w:p>
        </w:tc>
        <w:tc>
          <w:tcPr>
            <w:tcW w:w="3277"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131</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750"/>
        <w:gridCol w:w="366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63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b/>
                <w:color w:val="000000"/>
                <w:sz w:val="18"/>
                <w:lang w:val="en-US" w:eastAsia="en-US" w:bidi="ar-SA"/>
              </w:rPr>
              <w:t>4.0 CONCLUSION</w:t>
            </w:r>
          </w:p>
        </w:tc>
        <w:tc>
          <w:tcPr>
            <w:tcW w:w="3584"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134</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13" w:name="J.C. GRAUER J."/>
            <w:bookmarkEnd w:id="213"/>
            <w:r>
              <w:rPr>
                <w:rFonts w:ascii="arial" w:eastAsia="arial" w:hAnsi="arial" w:cs="arial"/>
                <w:b/>
                <w:color w:val="000000"/>
                <w:sz w:val="30"/>
                <w:lang w:val="en-US" w:eastAsia="en-US" w:bidi="ar-SA"/>
              </w:rPr>
              <w:t>J.C. GRAUER J.</w:t>
            </w:r>
          </w:p>
        </w:tc>
      </w:tr>
    </w:tbl>
    <w:p>
      <w:pPr>
        <w:spacing w:line="260" w:lineRule="atLeast"/>
        <w:jc w:val="both"/>
        <w:rPr>
          <w:lang w:val="en-US" w:eastAsia="en-US" w:bidi="ar-SA"/>
        </w:rPr>
      </w:pPr>
      <w:r>
        <w:rPr>
          <w:lang w:val="en-US" w:eastAsia="en-US" w:bidi="ar-SA"/>
        </w:rPr>
        <w:br/>
      </w:r>
      <w:r>
        <w:rPr>
          <w:lang w:val="en-US" w:eastAsia="en-US" w:bidi="ar-SA"/>
        </w:rPr>
        <w:br/>
      </w:r>
      <w:r>
        <w:rPr>
          <w:rFonts w:ascii="arial" w:eastAsia="arial" w:hAnsi="arial" w:cs="arial"/>
          <w:b/>
          <w:color w:val="000000"/>
          <w:sz w:val="20"/>
          <w:lang w:val="en-US" w:eastAsia="en-US" w:bidi="ar-SA"/>
        </w:rPr>
        <w:t>1.0 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the early morning hours of Sunday, January 22, 2012, Jennifer Young, then 28, was driving home after visiting a friend, heading northbound on Cariboo Road in Burnaby, approaching the Gagliardi Way overpass. She alleges that as she entered a curve to the left, an oncoming vehicle crossed the centreline, sideswiped her car down its left side, and drove it into a concrete barrier on the right. Ms. Young says that after the right rear of her vehicle struck the concrete barrier, she bounced back and came to a rest mostly in the oncoming lane. She looked in her rear-view mirror and saw the rear end of the other vehicle, which had come to a stop a little way down the road. She describes it as a small vehicle, like a Ford Focus or Toyota Echo, silver or light in colour. By the time she got out of her car, the other vehicle had disappeared.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Young suffered injuries in that accident that have led to a chronic condition and significant ongoing disability. She claims damages against the defendant ICBC representing the hit-and-run driver.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ICBC says that there was no hit-and-run driver: this was a single car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There were no witnesses to the accident other than Ms. Young. Determination of what happened accordingly depends upon my assessment of her evidence together with the surrounding circumstances and the evidence of the attending police officer. There was no forensic examination of Ms. Young's vehicle or of the scene of the accident. ICBC tendered an engineering report, but I ruled it inadmissible: </w:t>
      </w:r>
      <w:r>
        <w:rPr>
          <w:rFonts w:ascii="arial" w:eastAsia="arial" w:hAnsi="arial" w:cs="arial"/>
          <w:i/>
          <w:color w:val="000000"/>
          <w:sz w:val="20"/>
          <w:lang w:val="en-US" w:eastAsia="en-US" w:bidi="ar-SA"/>
        </w:rPr>
        <w:t>Young v Insurance Corp. of British Columbia</w:t>
      </w:r>
      <w:r>
        <w:rPr>
          <w:rFonts w:ascii="arial" w:eastAsia="arial" w:hAnsi="arial" w:cs="arial"/>
          <w:color w:val="000000"/>
          <w:sz w:val="20"/>
          <w:lang w:val="en-US" w:eastAsia="en-US" w:bidi="ar-SA"/>
        </w:rPr>
        <w:t xml:space="preserve">, </w:t>
      </w:r>
      <w:hyperlink r:id="rId672" w:history="1">
        <w:r>
          <w:rPr>
            <w:rFonts w:ascii="arial" w:eastAsia="arial" w:hAnsi="arial" w:cs="arial"/>
            <w:i/>
            <w:color w:val="0077CC"/>
            <w:sz w:val="20"/>
            <w:u w:val="single"/>
            <w:shd w:val="clear" w:color="auto" w:fill="FFFFFF"/>
            <w:lang w:val="en-US" w:eastAsia="en-US" w:bidi="ar-SA"/>
          </w:rPr>
          <w:t>2017 BCSC 2306</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found Ms. Young to be a credible witness. Her description of what happened was consistent from the time she made a 9-1-1 call to the time she testified at trial. ICBC sought to impugn her evidence of how the accident happened on the basis of timing, what the police officer did not find, and the nature of the damage to Ms. Young's car.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Young testified that the accident happened shortly after 4:00 a.m., which she determined from her telephone records. After her car had come to a stop, and she got out of it to see that the other vehicle had left the scene, she phoned 9-1-1. The telephone records indicate that this call took place at 4:18 a.m. She then waited for the police to attend. In the meantime, she called a friend with whom she had spent the evening, and called her brother, Christopher, who called her back after hanging up the first time. She said that her brother arrived before the police, and that she moved her car.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Young recalled two police officers arriving, and she spoke to one, a Constable Belanger. To her, it seemed that she had to wait a long time for them to come. In the meantime, the 9-1-1 service had called her back to ask her to confirm her location as the police had been unable to find her. The telephone records indicate that this return call took place at 4:43 a.m. and lasted five minutes.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Constable Belanger gave evidence based upon his records. He said that he arrived at the scene at 4:36 a.m., only 18 minutes after the 9-1-1 call. This is based upon the computer record. According to the officer, this information is entered into the computer either by dispatch when he reports that he is on the scene ("10-23") or through his vehicle computer when he manually inputs 10-23 on his touchscreen. Constable Belanger initially went to a different location on a different part of Cariboo Road, and then called in to dispatch because there was no one there. He was not far away from the actual scene of the accident. He agreed that the recorded time of arrival of 4:36 a.m. could refer to the time of his arrival at the first scene, not the actual scene, but indicated that it would not have taken him long to get from there to where the accident actually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Constable Belanger testified that he looked at the damage to the left side of Ms. Young's vehicle with his flashlight, and saw no paint transfer there. He looked around the area, and saw no vehicle debris, or any sign of impact on either side of the road.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Constable Belanger believed he attended on his own, but could not say no other officer was there. He did not recall the presence of Christopher.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After the police left, Ms. Young drove her vehicle home, which was close by. Her brother followed. Then her friends arrived, and they drove her to Royal Columbian Hospital where she attended at the emergency department. Ms. Young was at RCH two or three hours, after which she went for breakfast with her friends. After returning home, Ms. Young telephoned ICBC dial-a-claim to report the accident. The record indicates that when she spoke to ICBC, she reported the time of the accident as 3:30 a.m. According to Ms. Young, that was her estimate at that time, and it was only later after reviewing her telephone records that she realized it happened a little after 4:00 a.m.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ICBC argues that Ms. Young's evidence should not be believed, that in fact she lost control of her vehicle, struck the stone retaining wall on the far (west) side of Cariboo Road with the left side of her vehicle, then bounced back to strike the concrete barrier on the right (east) side, before ending up in the middle. ICBC contends that this is consistent with the observations of Constable Belanger, who saw no paint transfer in the damage to the left side of Ms. Young's vehicle, and no accident debris on the road.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probability, asserts ICBC, is that Ms. Young was telling the truth when she told the adjuster that the accident happened at 3:30 a.m. That is why it seemed to her a long time before the police attended at 4:36 a.m. It would not have seemed a long time if the accident had actually happened shortly before her 9-1-1 call at 4:18 a.m. What had happened, ICBC contends, is that between 3:30 a.m. and 4:18 a.m., Ms. Young took what time she required to fabricate a story about a hit-and-run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find that the probabilities go the other 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turn first to the question of timing. I do not find it probable that Constable Belanger in fact arrived at the accident scene at 4:36 a.m., only 18 minutes after the 9-1-1 call given all of the evidence. The more reasonable conclusion is that he arrived at the wrong location at 4:36 a.m., at which time his arrival code found its way into the computer. Constable Belanger conceded that this could be the case. What probably happened then, I find, is that he telephoned dispatch to inquire about the proper location. Dispatch called Ms. Young, at 4:43 a.m. After talking to her, dispatch then called back to Constable Belanger who made his way to the actual scene. There was no reason for dispatch to call Ms. Young at 4:43 a.m. if Constable Belanger had already arrived at 4:36 a.m., nor, in that event, would it have been necessary for the conversation to continue for five minutes.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Constable Belanger carried out his inspection of the vehicle damage and of the scene of the accident with a flashlight in the early morning hours of a dark and cold winter night. That he did not see anything does not greatly assist ICBC when it is clear that there were things there to be seen. For instance, he saw no sign of damage to the concrete barrier on the east side although ICBC does not dispute that an impact had occurred between the vehicle and that barrier. He also noted no damage to the wall on the west side that ICBC maintains Ms. Young struck with considerable force. Constable Belanger saw no debris although there must have been some whether Ms. Young collided with a wall or with another vehicle. Her outside left mirror, for instance, was missing its casing and the glass. Consequently, Constable Belanger's evidence is insufficient to establish a single vehicle accident on a balance of probabilities, whether taken by itself or with all the surrounding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photographs themselves are unhelpful in the absence of any forensic examination. One could have been undertaken while the vehicle was in the possession of ICBC before being salvaged, but that did not occur. By the time the allegation of fabrication was raised, it was no longer possible to inspect the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all of the circumstances, finding Ms. Young to be a credible witness, there is nothing in the surrounding circumstances or the evidence of the phone records, ICBC records or Constable Belanger that allows me to conclude that the accident probably happened other than in the manner she described. I accept her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Accordingly, I find ICBC wholly liable for the accident, in place of the unidentified driver/owner of the vehicle who, I find, caused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 xml:space="preserve">3.1 </w:t>
      </w:r>
      <w:r>
        <w:rPr>
          <w:rFonts w:ascii="arial" w:eastAsia="arial" w:hAnsi="arial" w:cs="arial"/>
          <w:b/>
          <w:color w:val="000000"/>
          <w:sz w:val="20"/>
          <w:u w:val="single"/>
          <w:lang w:val="en-US" w:eastAsia="en-US" w:bidi="ar-SA"/>
        </w:rPr>
        <w:t>Overview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Initially, it did not appear that Ms. Young had been seriously injured in the accident, and that may well be why ICBC did not carry out a forensic inspection before the vehicle was released for salvage. Ms. Young suffered relatively straightforward soft tissue injuries to her neck and back, from which she recovered reasonably quickly. She also suffered a soft tissue injury to her right hip, apparently from being thrown against the seat belt anchor or console in the middle of her car. The condition is known as post-traumatic trochanteric bursitis, and has contributed to lower back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all of the evidence, persons suffering this kind of injury normally recover completely. Unfortunately, Ms. Young has not recovered notwithstanding physiotherapy, chiropractic treatment, exercise, corticosteroid injections and, unusually because it is seldom necessary, arthroscopic surgery to remove the bursa (it grows back). In fact, the surgery performed on Ms. Young by her treating orthopedic surgeon, Dr. Kostamo, on September 16, 2016, appears to have made her condition worse instead of better. So she remains in pain, her functional capacity remains reduced, and she has suffered from depression and anxiety. No one can say how long this will continue. Her presentation is very unusual, but no one suggests that it is not genuine.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Adding to the complexity of her situation, Ms. Young changed careers in the middle of this. At the time of the accident, she was employed by Invesco as a regional sales associate. She took some time off work as a result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Then, at a time when she felt that she had recovered sufficiently, she decided to give up her employment at Invesco to pursue a long-standing ambition by earning a diploma in psychiatric nursing. She attended Stenberg College where she did extremely well, graduating as class valedictorian. But her efforts to pursue this career through employment with the Fraser Health Association at Royal Columbian Hospital were ultimately stymied by the worsening of her hip condition and it is not now clear that she will be able to continue that path in the absence of significant recovery.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Her future is very uncertain. My findings are as follows.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 xml:space="preserve">3.2 </w:t>
      </w:r>
      <w:r>
        <w:rPr>
          <w:rFonts w:ascii="arial" w:eastAsia="arial" w:hAnsi="arial" w:cs="arial"/>
          <w:b/>
          <w:color w:val="000000"/>
          <w:sz w:val="20"/>
          <w:u w:val="single"/>
          <w:lang w:val="en-US" w:eastAsia="en-US" w:bidi="ar-SA"/>
        </w:rPr>
        <w:t>Before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Young was born on October 10, 1983, in Winnipeg. She moved with her mother and siblings to British Columbia when she was five or six. She was raised by her mother and has had no relationship with her father. She has a sister who is two years older, and a brother, Christopher, who is five years younger.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Young graduated from high school in 2001. She wanted to go into nursing, but could not pay for the schooling. Supporting herself through employment at a bakery and a clothing store, she took courses at Douglas College in accounting and business management and then obtained employment at Coast Capital Credit Union in June 2004.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Coast Capital, Ms. Young worked as a financial services representative in the credit union's contact centre. All of her work was over the phone. In 2008, she obtained a position as an investment specialist. She took the Canadian Securities Course, and enrolled in, but did not complete, the Certified Financial Planner course. Her annual earnings ranged from approximately $35,000-$40,000 as a financial services representative, and $47,000-$50,000 as an investment specialist.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October 2010, Ms. Young moved over to Invesco to accept a position of regional associate, sales. A colleague from Coast Capital had moved there before, and, as an investment specialist at Coast Capital, Ms. Young had worked with Brad Armes, regional sales manager for Invesco. Mr. Armes was impressed with her abilities, and thought she would be a good fit at Invesco.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an Invesco regional sales associate, it was Ms. Young's job to drum up business. She would have to make 400-500 calls per week, perhaps getting through on 80-100 of them. Her office time was spent on the telephone. As Mr. Armes described it, there was a steep learning curve. At Coast Capital, Ms. Young worked with retail customers, but at Invesco, she was working with investment advisors and brokers, selling Invesco products. She had to get used to rejection, and had some difficulty with this at first. By the spring of 2011, she began to do better, and was doing really well by the summer. In addition to her time at the office, she was involved in helping Mr. Armes with entertaining clients.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Invesco, Ms. Young was paid a base annual salary of $45,000 plus commission. The company set her goal for commission at $30,000. In 2011, her income was $74,191.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Young was active in walking, hiking, and occasional skiing. She attended the gym to work out, and was often to be found at the driving range. In 2011 she joined a curling club, in which she was active on Wednesday nights. She was also a member of a slow-pitch softball team. She had a close group of friends with whom she went out frequently.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At the time of the accident, Ms. Young was not involved in a relationship. She lived on her own in an apartment in Burnaby, where she had resided since 2010. She had had a committed relationship for four years just out of high school, followed by another relationship of 41/2 years duration during which she and her partner lived together for 21/2 years. This was followed by a nine-month relationship that ended in September 2011.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December 2006, Ms. Young was involved in a motor vehicle accident in which she suffered whiplash injuries that resolved with physiotherapy in about six months. She had cataract surgeries in 2007 and 2009. Her history was otherwise unremarkable, and she was in good health at the time of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 xml:space="preserve">3.3 </w:t>
      </w:r>
      <w:r>
        <w:rPr>
          <w:rFonts w:ascii="arial" w:eastAsia="arial" w:hAnsi="arial" w:cs="arial"/>
          <w:b/>
          <w:color w:val="000000"/>
          <w:sz w:val="20"/>
          <w:u w:val="single"/>
          <w:lang w:val="en-US" w:eastAsia="en-US" w:bidi="ar-SA"/>
        </w:rPr>
        <w:t>After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As noted, Ms. Young attended Royal Columbian Hospital emergency later on the morning of January 22, 2012. The records show her admission time as 6:09 a.m. Ms. Young testified that her right hip hurt from the time of the accident. ICBC sought to impugn her credibility by reference to the RCH records, which record the reason for the visit as "MVA-lower back pain". I do not find the purported discrepancy to be meaningful. The records also indicate the chief complaint as "multisystem trauma" and record complaints of pain in the right lower back. There is no doubt in the medical and expert evidence from both sides that Ms. Young suffered injury to her right hip, and that the injury was caused by the accident. An apparent failure to isolate right hip pain from right lower back pain at 6:00 a.m. following an accident at 4:00 a.m. does not cause me concern in these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day after the accident was a Monday, and Ms. Young went in to work. Discomfort caused her to leave early, however, and she attended a walk-in medical clinic where she was seen by a Dr. Milne. Dr. Milne prescribed physiotherapy and analgesics. The physiotherapist recommended an x-ray.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Progress was slow, and in February, Ms. Young started to see Dr. Matthew Choi, who was her mother's and her brother's family physician. She continued to see Dr. Choi thereafter. Initially, he noted tenderness in the lower spine, pain over the right lumbar region, and tenderness over her right sacroiliac joint, with pain in the right hip. He recommended that Ms. Young continue with physiotherapy, and ordered x-ray studies of her lumbosacral spine/sacroiliac joints and MRI studies of her right hip.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MRI demonstrated swelling of the soft tissue around the right greater trochanter. Dr. Choi thought this might indicate early trochanteric bursitis. He noted that her neck and right shoulder pain improved after this, but the right lower back/right hip pain became persistent. In March, it was decided that Ms. Young would commence a gradual return-to-work program beginning March 19, 2012, and she resumed full-time work on April 20, 2012.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Nevertheless, although her neck and right shoulder pain settled, Ms. Young's right hip and lower back pain continued to be problematic. She was unable to sleep on her right side, and her right hip/lower back pain was greater after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Young pursued all available treatment, including extended physiotherapy, analgesic and anti-inflammatory medication, taping, use of a sacroiliac belt, nerve stimulation and core strengthening exercises. When her hip symptoms persisted, Dr. Choi sent her for a corticosteroid injection of the right trochanteric bursa on July 16, 2012. Her right hip/low back pain gradually improved after this and she continued with icing and stretching exercises. After a few months, the pain returned in intermittent flare-ups, and Dr. Choi ordered a repeat cortisone injection on December 8, which had to be abandoned when the ultrasound technician could not identify the bursa.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Choi ordered an MRI arthrogram of the right hip, which was taken on January 5, 2013. It showed no injury to the hip joint capsule. He referred her to a chiropractor, Dr. Cashman, for treatment of the right hip pain using active release technique and desensitization. There was improvement, and Ms. Young was able to resume some of her pre-accident activities albeit to a lesser level. In the meantime, Dr. Choi gave her a referral to Dr. Kostamo for an orthopedic specialist opinion.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Over the course of 2013, Ms. Young decided to change careers. She had always had an ambition to go into nursing, and experience with a friend whose husband suffered from Huntington's disease led her to choose psychiatric nursing as a career. She found she did not like the financial industry, though she had committed to giving it two years. Accordingly, she enrolled at Stenberg College for a compressed online program leading to a diploma in psychiatric nursing. She started this on November 2, 2013. She was concerned about her ability to handle this physically, and discussed it with both Dr. Choi and Dr. Cashman, both of whom encouraged her to give it a try.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Kostamo saw Ms. Young on January 15, 2014, and diagnosed greater trochanteric pain secondary to a soft tissue injury from the MVA. MRI of the lumbar spine showed a herniated disc.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Thereafter, Ms. Young underwent numerous treatments, including physiotherapy, kinesiology, chiropractic, occupational therapy, shockwave therapy, and a further corticosteroid injection that, like the first, helped quite a lot but wore off after about five months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Young graduated from Stenberg College with her diploma in September 2015. She was valedictorian and first runner-up as "student of the year". Upon graduation, she gained employment with the Fraser Health Authority, starting at Royal Columbian Hospital in the new graduate program as a casual employee. She worked 12-hour shifts earning $31.71 per hour plus 12.6% in lieu of vacation and benefits. The plan was to build up the necessary number of hours to qualify for full-time employment. She began working one or two shifts per week, and would expect to increase this up to four per week. She found, however, that she was unable to accept all of the calls for shifts because of the effect on her hip and lower back pain which would increase considerably if she worked three shifts a week.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Choi saw Ms. Young in November 2015 and observed that she was working two 12-hour shifts a week leading to intermittent burning pain over her lower back radiating down the right leg, and continued pain over the right hip. He prescribed medication, and gave her another referral to Dr. Kostamo.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early 2016, Ms. Young moved in with her mother. Her mother was the resident manager of a storage facility in Port Coquitlam, and had living accommodation on the premises. This was intended to be a temporary move while Ms. Young took time to find another apartment.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the meantime, exercises recommended by the chiropractor, Dr. Cashman, caused a flare-up of her right hip pain shortly before she saw Dr. Kostamo in April 2016.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Noting that Ms. Young had experienced only temporary relief from treatments such as radio shockwave therapy, corticosteroid injections, physiotherapy and kinesiology, he raised the possibility of surgery, and arthroscopic trochanteric bursa ectomy. He explained that this had a 70% success rate. Ms. Young decided to go ahead with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Kostamo performed the surgery on September 16, 2016, noting an inflamed bursa over the trochanter. He observed an area of bursal tethering at the posterior aspect where the bursa appeared thickened and tethered to the iliotibial band. This was released. He smoothed some distal roughening of the fibers of the abductor tendon. There were no complications, and he recommended physiotherapy and focused exercise to assist in post-surgical recovery. Recovery was expected to take 4-6 weeks, with an expected return to work after 5-6 weeks. Ms. Young decided to stay with her mother while she recovered.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Young commenced physiotherapy ten days after the surgery, but experienced a flare-up of her pain when the exercise level was increased. Dr. Kostamo thought she would need more time to recover, but by April 2017, when he wrote his first report (nearly seven months post-surgery), Dr. Kostamo concluded that the surgery had not been successful in terms of pain relief.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By the time he wrote his second report in August 2017, Dr. Kostamo concluded not only that the surgery was unsuccessful, but also that she was left "with an element of increasing pain and slight decrease in function comparing her functional evaluations both pre and post surgery".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At ICBC's request, Ms. Young was evaluated by another orthopedic surgeon, Dr. Jordan Leith. Dr. Leith is a highly qualified specialist, with a subspecialty orthopedic practice primarily dedicated to disorders of the upper extremity and the hip and knee. Ms. Young first saw Dr. Leith in January 2016 before the flare-up and the decision to proceed to surgery.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Leith noted that Ms. Young suffered a whiplash associated disorder affecting her neck and posterior shoulder garden region/upper back, together with the strain to her lower back, in the subject accident. In addition, he found it likely that she suffered a contusion to her right greater trochanteric region of the hip, resulting in ongoing pain best categorized as "either a trochanteric bursitis or tendinopathy". He noted that the clinical records consistently documented pain to the trochanteric region of the right hip following the accident, and that the onset of the symptoms and their localized nature were consistent with "the biologic principles of injury to the musculoskeletal system". In short, he did not doubt that she suffered the injuries she reported, and that they related to the accident. He expected full recovery, and did not think surgery would be necessary, observing:</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Her examination performed during this evaluation is consistent with acute tenderness to the trochanteric region. It is obvious that no structural injury occurred as a result of the accident to the trochanteric region, but she does have irritation of the tendons and possibly the bursa of the trochanteric region of the right hip. This should settle with time, although it is been a number of years. This is not a significant injury or one that would be expected to be of a permanent nature. They usually recover and do not result in loss of function.</w:t>
      </w:r>
    </w:p>
    <w:p>
      <w:pPr>
        <w:spacing w:before="120" w:line="260" w:lineRule="atLeast"/>
        <w:ind w:left="720"/>
        <w:rPr>
          <w:lang w:val="en-US" w:eastAsia="en-US" w:bidi="ar-SA"/>
        </w:rPr>
      </w:pP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Her overall prognosis is relatively good as the majority of patients with trochanteric bursitis or pain about the trochanter region do recover. This is usually a self limiting problem.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Leith was asked to see Ms. Young again after her surgery, and saw her on April 11, 2017. In his second report (July 26, 2017), he noted that Ms. Young continued to be bothered with recurrent episodes of increasing pain over the right trochanteric region of the hip girdle, commenting:</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This characteristic of improving and then having a worsening of symptoms is highly unusual and does not follow the biological principles of healing. Normally healing occurs over time and symptoms decrease. An increase in symptoms is usually caused by another intervening event causing another insult to the region and an increase in symptoms, commencing the cycle all over again with respect to the healing process.</w:t>
      </w:r>
    </w:p>
    <w:p>
      <w:pPr>
        <w:spacing w:before="120" w:line="260" w:lineRule="atLeast"/>
        <w:ind w:left="720"/>
        <w:rPr>
          <w:lang w:val="en-US" w:eastAsia="en-US" w:bidi="ar-SA"/>
        </w:rPr>
      </w:pPr>
      <w:r>
        <w:rPr>
          <w:rFonts w:ascii="arial" w:eastAsia="arial" w:hAnsi="arial" w:cs="arial"/>
          <w:color w:val="000000"/>
          <w:sz w:val="20"/>
          <w:lang w:val="en-US" w:eastAsia="en-US" w:bidi="ar-SA"/>
        </w:rPr>
        <w:t>Given this recent history of worsening with the chiropractic treatment, physiotherapy and the recent surgery on separate occasions, the continuation of her symptoms has also been contributed to by all of these events.</w:t>
      </w:r>
    </w:p>
    <w:p>
      <w:pPr>
        <w:spacing w:before="120" w:line="260" w:lineRule="atLeast"/>
        <w:ind w:left="720"/>
        <w:rPr>
          <w:lang w:val="en-US" w:eastAsia="en-US" w:bidi="ar-SA"/>
        </w:rPr>
      </w:pP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It is highly unusual for trochanteric bursitis following the mechanism of injury related to this accident to be as persistent as it is in the majority of patients [</w:t>
      </w:r>
      <w:r>
        <w:rPr>
          <w:rFonts w:ascii="arial" w:eastAsia="arial" w:hAnsi="arial" w:cs="arial"/>
          <w:i/>
          <w:color w:val="000000"/>
          <w:sz w:val="20"/>
          <w:lang w:val="en-US" w:eastAsia="en-US" w:bidi="ar-SA"/>
        </w:rPr>
        <w:t>sic; presumably meaning it is highly unusual in the majority of patients</w:t>
      </w:r>
      <w:r>
        <w:rPr>
          <w:rFonts w:ascii="arial" w:eastAsia="arial" w:hAnsi="arial" w:cs="arial"/>
          <w:color w:val="000000"/>
          <w:sz w:val="20"/>
          <w:lang w:val="en-US" w:eastAsia="en-US" w:bidi="ar-SA"/>
        </w:rPr>
        <w:t>]. While there is a small percentage that will continue to be bothered by pain over the trochanteric bursa, it does not usually cause any significant disability on a permanent basis. It remains my opinion that the prognosis remains good. I would expect her symptoms to eventually settle. She did not suffer any structural damage which is a good prognostic indicator.</w:t>
      </w:r>
    </w:p>
    <w:p>
      <w:pPr>
        <w:spacing w:before="120" w:line="260" w:lineRule="atLeast"/>
        <w:ind w:left="720"/>
        <w:rPr>
          <w:lang w:val="en-US" w:eastAsia="en-US" w:bidi="ar-SA"/>
        </w:rPr>
      </w:pPr>
      <w:r>
        <w:rPr>
          <w:rFonts w:ascii="arial" w:eastAsia="arial" w:hAnsi="arial" w:cs="arial"/>
          <w:color w:val="000000"/>
          <w:sz w:val="20"/>
          <w:lang w:val="en-US" w:eastAsia="en-US" w:bidi="ar-SA"/>
        </w:rPr>
        <w:t>There is no Medical indication to apply any activity or work related restrictions on Ms. Young. She should be encouraged to remain as active as possible and informed that she is not at risk of damaging anything about the right hip by remaining active.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his second report, Dr. Kostamo discussed Dr. Leith's reports and indicated that he was in agreement with the "bulk of the opinion he has provided". Dr. Kostamo noted, however, that Dr. Leith took "a more positive approach to her prognosis with respect to her persistent right hip pain than I would take". He commented (August 16, 2017):</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do think Jennifer Young has been an unusual case in that nonoperative treatments fail to resolve the pain for her as well as operative treatment failed to provide relief. I do agree that this is a more unusual presentation however the fact remains that she continues to struggle with the pain and a functional deficit despite going through the full spectrum of treatments. ... My concern is that given her ongoing pain and functional deficit as described in the functional capacity evaluation report by Mr. Pakulak that she is at risk of having ongoing symptoms and limitations. This is based on the fact that she is now almost a year after surgery and the fact that she has been unable to return to full work duties since the time of surgery. She also has had a maximal course of non-operative treatment prior to surgery, and substantial physiotherapy and treatments post-surgery. I therefore feel that the prognosis is poorer than that described by Dr. Leith. This is based on the five years of time since the original injury, the non-operative and operative treatment undergone, and her persistent symptoms and functional deficit.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failure of the surgery to correct her problem caused Ms. Young to feel a sense of hopelessness. She felt that the surgery was the last chance for improvement, but she found that she was left worse than before, and worried a great deal about her future. In January 2017, Dr. Choi referred her to a clinical psychologist, Dr. Stringer, whom she continued to see through to November 2017. Dr. Choi had discussed antidepressant medication with her, and she did try some for a period of time, but found that it made her feel worse. She tried a different type of antidepressant medication in August 2017, which helped with anxiety, but otherwise made things much worse, leading to suicidal thoughts. She therefore weaned herself off this medication but continued to see Dr. Stringer for psychological therapy.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According to Dr. Stringer, notwithstanding eight psychotherapy sessions and some beneficial strategies: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Depressive and anxious symptoms remain in the moderate to severe range. Ms. Young attributes this in part to her current stressors including her anticipated court appearance and the uncertain outcome of this legal process. Additionally, Ms. Young continues to struggle with several unknowns regarding her future, such as ability to work, and financial security. She also worries about the potential long-term implications of her chronic pain and physical limitations on her personal life, such as marriage and having a family. Further, Ms. Young's daily pain and frustration regarding her physical limitations remain significant contributors to her depressive and anxious experience. She particularly struggles with the idea of being dependent on others.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Stringer's prognosis is guarded, but she notes that as Ms. Young's physical condition is the main cause of her disability, she would refer to the medical professionals for a final opinion on prognosis.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Presently, Ms. Young's condition remains unimproved and Dr. Choi is working on getting her into a pain clinic. Her problem is primarily pain in the right hip, sometimes in her lower back as well. It occurs whether she is sitting, standing or walking. She has to use a cane to keep walking any distance, and suffers from a broken sleep pattern much worse than any she suffered before. She continues to go to physio once or twice a week, she has a personal trainer to assist her with exercises whom she sees every two weeks, and she undergoes massage therapy every two weeks. These therapies tend to help with her lower back, but not with her hip. She has little left over for anything else.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Dr. Choi's opinion, expressed July 15, 2017:</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patient's physical recovery seems to have plateaued at present. There is probable central sensitization of her pain and this was aggravated by chronic anxiety and the emergence of clinical depression. Her psychological symptoms clearly amplified her physical pain. Again it was obvious that her physical injuries were caused by the motor vehicle accident and her mental health deterioration was a direct consequence of chronic pain (which failed to improve with various treatment modalities).</w:t>
      </w:r>
    </w:p>
    <w:p>
      <w:pPr>
        <w:spacing w:before="120" w:line="260" w:lineRule="atLeast"/>
        <w:ind w:left="720"/>
        <w:rPr>
          <w:lang w:val="en-US" w:eastAsia="en-US" w:bidi="ar-SA"/>
        </w:rPr>
      </w:pP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Moving forward, Ms. Young still has a long way to achieve a reasonable level of physical and mental recovery. She will require ongoing psychotherapy and trials of medication to stabilize her mood and anxiety. She will also require professional help from a pain clinic for consultation and intervention. One would expect that the degenerated changes in her lower back will become worse with time. There is a possibility that she may re-injure her lower back at work. She may also require epidural injections to relieve her back pain when the symptoms become worse. Her prognosis is still guarded.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Young continues to live with her mother, which is not what she had planned for her life. While Ms. Young does some occasional grocery shopping, her mother does not boast, and does most of the cleaning. Ms. Young does her own laundry, but cannot vacuum. She makes her own bed, but it takes her some time; she is able to clean the bathtub, but her mother usually has to do it again. She does not want to be completely dependent on her mother and does not want everything to be taken from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She socializes a good deal less than she did before the accident and has done some driving and travelling, but much less.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She has not returned to work at Royal Columbian Hospital. Part of the problem is the length of the shifts she is expected to work: 12 hours. Eight-hour shifts might be easier but have not been available. Her union is involved in negotiations with the Fraser Health Authority about a gradual return to work, but nothing has been worked out yet.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 xml:space="preserve">3.4 </w:t>
      </w:r>
      <w:r>
        <w:rPr>
          <w:rFonts w:ascii="arial" w:eastAsia="arial" w:hAnsi="arial" w:cs="arial"/>
          <w:b/>
          <w:color w:val="000000"/>
          <w:sz w:val="20"/>
          <w:u w:val="single"/>
          <w:lang w:val="en-US" w:eastAsia="en-US" w:bidi="ar-SA"/>
        </w:rPr>
        <w:t>Conclusion re Ms. Young's injuries and prognosis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the basis of Ms. Young's evidence, and the expert evidence, which was generally consistent, I find the following.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accident caused Ms. Young to suffer a relatively mild whiplash-type injury to the neck and upper back, soft tissue injury and exacerbation of degenerative condition in the lower back, and soft tissue injury to the trochanteric region of the right hip.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upper back injury resolved fairly quickly. The lower back injury persists to some degree but is not by itself disabling. The right hip problem has persisted, with treatment causing flare-ups that are within the trajectory of the accident, and which led to surgery that proved unsuccessful. The problem has become worse, not better, contrary to the usual course, and has been exacerbated by moderately severe clinical depression and anxiety. All of this is attributable to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future remains in doubt. Dr. Leith is optimistic that Ms. Young will achieve full recovery, which is the normal course in the absence of any structural injury as is the case here. Dr. Kostamo is not optimistic, given the length of time that Ms. Young's symptoms have persisted without recovery, notwithstanding extensive treatment and surgery.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am unable to share Dr. Leith's level of optimism, which seems to be based on no more than what is the "usual course" notwithstanding that he accepts that a small percentage do not follow the course of the majority. On all of the evidence, it would appear that Ms. Young is among the small percentage.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It does not necessarily follow, however, that she will never recover. She has yet to attend a pain clinic for appropriate therapy and planning. As Dr. Choi explained it, sometimes patients develop chronic pain because the brain's perception of pain has been changed and amplified for no obvious reason ("central sensitization"), and she has yet to receive treatment aimed at this problem. Moreover, Ms. Young has had to bear the burden of considerable uncertainty arising out of this litigation, which has clearly had an effect, as she discussed with Dr. Stringer. Moreover, her course of recovery has three times been interrupted by outside (but causally connected) events: flare-up arising from chiropractic treatment, surgical intervention, and flare-up arising from post-surgical physiotherapy.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conclude that once this litigation is finalized, the outlook should improve. Ms. Young will be free to concentrate on appropriate therapies including treatment at a pain clinic. Some financial relief will be in sight, and she will have sufficient time to pursue recovery carefully, reducing the risk of flare-ups. In these circumstances, I find that she is likely to regain, over time, most of her pre-accident level of functioning, although a return to complete normality would seem unlikely so many years after the accident. There remains a risk that her condition will prove intractable.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implications of my findings in relation to her income-earning capacity are discussed below.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 xml:space="preserve">3.5 </w:t>
      </w:r>
      <w:r>
        <w:rPr>
          <w:rFonts w:ascii="arial" w:eastAsia="arial" w:hAnsi="arial" w:cs="arial"/>
          <w:b/>
          <w:color w:val="000000"/>
          <w:sz w:val="20"/>
          <w:u w:val="single"/>
          <w:lang w:val="en-US" w:eastAsia="en-US" w:bidi="ar-SA"/>
        </w:rPr>
        <w:t>Non-pecuniary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applicable principles to the assessment of non-pecuniary damages are well known, and are set out in cases such as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and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xml:space="preserve"> at para 42.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plaintiff points to her ongoing disabling pain now lasting some six years, worsening after surgery. This has affected all aspects of her life, including her vocational aspirations, her emotional well-being, and her independence. It has resulted, she submits, in the loss of her youth. She seeks an award under this heading of $175,000, relying on the following cases: </w:t>
      </w:r>
      <w:r>
        <w:rPr>
          <w:rFonts w:ascii="arial" w:eastAsia="arial" w:hAnsi="arial" w:cs="arial"/>
          <w:i/>
          <w:color w:val="000000"/>
          <w:sz w:val="20"/>
          <w:lang w:val="en-US" w:eastAsia="en-US" w:bidi="ar-SA"/>
        </w:rPr>
        <w:t>Pike v Kasiri</w:t>
      </w:r>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2016 BCSC 555</w:t>
        </w:r>
      </w:hyperlink>
      <w:r>
        <w:rPr>
          <w:rFonts w:ascii="arial" w:eastAsia="arial" w:hAnsi="arial" w:cs="arial"/>
          <w:color w:val="000000"/>
          <w:sz w:val="20"/>
          <w:lang w:val="en-US" w:eastAsia="en-US" w:bidi="ar-SA"/>
        </w:rPr>
        <w:t xml:space="preserve"> ($190,000); </w:t>
      </w:r>
      <w:r>
        <w:rPr>
          <w:rFonts w:ascii="arial" w:eastAsia="arial" w:hAnsi="arial" w:cs="arial"/>
          <w:i/>
          <w:color w:val="000000"/>
          <w:sz w:val="20"/>
          <w:lang w:val="en-US" w:eastAsia="en-US" w:bidi="ar-SA"/>
        </w:rPr>
        <w:t>Skoda v Kim</w:t>
      </w:r>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1997 CanLII 1959</w:t>
        </w:r>
      </w:hyperlink>
      <w:r>
        <w:rPr>
          <w:rFonts w:ascii="arial" w:eastAsia="arial" w:hAnsi="arial" w:cs="arial"/>
          <w:color w:val="000000"/>
          <w:sz w:val="20"/>
          <w:lang w:val="en-US" w:eastAsia="en-US" w:bidi="ar-SA"/>
        </w:rPr>
        <w:t xml:space="preserve"> (BCSC) ($140,000, or $200,000 in 2017 dollars); and </w:t>
      </w:r>
      <w:r>
        <w:rPr>
          <w:rFonts w:ascii="arial" w:eastAsia="arial" w:hAnsi="arial" w:cs="arial"/>
          <w:i/>
          <w:color w:val="000000"/>
          <w:sz w:val="20"/>
          <w:lang w:val="en-US" w:eastAsia="en-US" w:bidi="ar-SA"/>
        </w:rPr>
        <w:t>Kim v Lin</w:t>
      </w:r>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2016 BCSC 2405</w:t>
        </w:r>
      </w:hyperlink>
      <w:r>
        <w:rPr>
          <w:rFonts w:ascii="arial" w:eastAsia="arial" w:hAnsi="arial" w:cs="arial"/>
          <w:color w:val="000000"/>
          <w:sz w:val="20"/>
          <w:lang w:val="en-US" w:eastAsia="en-US" w:bidi="ar-SA"/>
        </w:rPr>
        <w:t xml:space="preserve"> ($175,000).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ICBC observes that most of the cases involving awards for non-pecuniary damages over $125,000 involved either multiple injuries or structural damage requiring surgical repair. In ICBC's submission, an appropriate award would be in the range of $95,000-$100,000, relying in particular on </w:t>
      </w:r>
      <w:r>
        <w:rPr>
          <w:rFonts w:ascii="arial" w:eastAsia="arial" w:hAnsi="arial" w:cs="arial"/>
          <w:i/>
          <w:color w:val="000000"/>
          <w:sz w:val="20"/>
          <w:lang w:val="en-US" w:eastAsia="en-US" w:bidi="ar-SA"/>
        </w:rPr>
        <w:t>Raptis v Chalabiani</w:t>
      </w:r>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2017 BCSC 1548</w:t>
        </w:r>
      </w:hyperlink>
      <w:r>
        <w:rPr>
          <w:rFonts w:ascii="arial" w:eastAsia="arial" w:hAnsi="arial" w:cs="arial"/>
          <w:color w:val="000000"/>
          <w:sz w:val="20"/>
          <w:lang w:val="en-US" w:eastAsia="en-US" w:bidi="ar-SA"/>
        </w:rPr>
        <w:t>, where the award was $95,000.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Raptis</w:t>
      </w:r>
      <w:r>
        <w:rPr>
          <w:rFonts w:ascii="arial" w:eastAsia="arial" w:hAnsi="arial" w:cs="arial"/>
          <w:color w:val="000000"/>
          <w:sz w:val="20"/>
          <w:lang w:val="en-US" w:eastAsia="en-US" w:bidi="ar-SA"/>
        </w:rPr>
        <w:t>, the plaintiff was a 37-year-old teacher and mother of two children. Like Ms. Young, the plaintiff suffered soft tissue injuries to the left shoulder, upper and lower back, and hip. While the shoulder injury resolved, the pain in her low back and hip did not, and caused "ongoing chronic pain and functional impairment" (para 132). Surgery failed to improve it. The result was difficulty in coping, diminished energy level, sleep interference, and an impairment of the plaintiff's ability to perform certain activities at home and work. An adjustment disorder with mixed anxiety and depression was also diagnosed.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What distinguishes the plaintiff in </w:t>
      </w:r>
      <w:r>
        <w:rPr>
          <w:rFonts w:ascii="arial" w:eastAsia="arial" w:hAnsi="arial" w:cs="arial"/>
          <w:i/>
          <w:color w:val="000000"/>
          <w:sz w:val="20"/>
          <w:lang w:val="en-US" w:eastAsia="en-US" w:bidi="ar-SA"/>
        </w:rPr>
        <w:t>Raptis</w:t>
      </w:r>
      <w:r>
        <w:rPr>
          <w:rFonts w:ascii="arial" w:eastAsia="arial" w:hAnsi="arial" w:cs="arial"/>
          <w:color w:val="000000"/>
          <w:sz w:val="20"/>
          <w:lang w:val="en-US" w:eastAsia="en-US" w:bidi="ar-SA"/>
        </w:rPr>
        <w:t xml:space="preserve"> from Ms. Young is the degree of disability, as Ms. Raptis was able to participate in activity to a greater degree after the accident, and her level of ongoing pain would appear to have been less severe. The nature of the injury, however, made her prognosis more pessimistic than I find Ms. Young's to be.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cases on which the plaintiff relies are also distinguishable. </w:t>
      </w:r>
      <w:r>
        <w:rPr>
          <w:rFonts w:ascii="arial" w:eastAsia="arial" w:hAnsi="arial" w:cs="arial"/>
          <w:i/>
          <w:color w:val="000000"/>
          <w:sz w:val="20"/>
          <w:lang w:val="en-US" w:eastAsia="en-US" w:bidi="ar-SA"/>
        </w:rPr>
        <w:t>Pike</w:t>
      </w:r>
      <w:r>
        <w:rPr>
          <w:rFonts w:ascii="arial" w:eastAsia="arial" w:hAnsi="arial" w:cs="arial"/>
          <w:color w:val="000000"/>
          <w:sz w:val="20"/>
          <w:lang w:val="en-US" w:eastAsia="en-US" w:bidi="ar-SA"/>
        </w:rPr>
        <w:t xml:space="preserve"> involved a 39-year-old male plaintiff who had been:</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...reduced from a high functioning athlete capable of working in a very physically demanding job as a journeyman plumber to someone who was unable to participate in sports or work in a job that places any physical demands upon him or requires him to maintain one position for any length of time. [Para 311]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He suffered significant anxiety, was dependent upon an opioid painkiller, and his marriage had become precarious. In my view, his circumstances were more severe than those experienced by Ms. Young.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Similarly, in the </w:t>
      </w:r>
      <w:r>
        <w:rPr>
          <w:rFonts w:ascii="arial" w:eastAsia="arial" w:hAnsi="arial" w:cs="arial"/>
          <w:i/>
          <w:color w:val="000000"/>
          <w:sz w:val="20"/>
          <w:lang w:val="en-US" w:eastAsia="en-US" w:bidi="ar-SA"/>
        </w:rPr>
        <w:t>Skoda</w:t>
      </w:r>
      <w:r>
        <w:rPr>
          <w:rFonts w:ascii="arial" w:eastAsia="arial" w:hAnsi="arial" w:cs="arial"/>
          <w:color w:val="000000"/>
          <w:sz w:val="20"/>
          <w:lang w:val="en-US" w:eastAsia="en-US" w:bidi="ar-SA"/>
        </w:rPr>
        <w:t xml:space="preserve"> case, the injury left Mr. Skoda incapable of all previous physical activities, and his condition was considered to be permanent. The same may be said of the plaintiff in the </w:t>
      </w:r>
      <w:r>
        <w:rPr>
          <w:rFonts w:ascii="arial" w:eastAsia="arial" w:hAnsi="arial" w:cs="arial"/>
          <w:i/>
          <w:color w:val="000000"/>
          <w:sz w:val="20"/>
          <w:lang w:val="en-US" w:eastAsia="en-US" w:bidi="ar-SA"/>
        </w:rPr>
        <w:t>Kim</w:t>
      </w:r>
      <w:r>
        <w:rPr>
          <w:rFonts w:ascii="arial" w:eastAsia="arial" w:hAnsi="arial" w:cs="arial"/>
          <w:color w:val="000000"/>
          <w:sz w:val="20"/>
          <w:lang w:val="en-US" w:eastAsia="en-US" w:bidi="ar-SA"/>
        </w:rPr>
        <w:t xml:space="preserve">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Taking these cases into account, I assess Ms. Young's non-pecuniary damages at $110,000.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 xml:space="preserve">3.6 </w:t>
      </w:r>
      <w:r>
        <w:rPr>
          <w:rFonts w:ascii="arial" w:eastAsia="arial" w:hAnsi="arial" w:cs="arial"/>
          <w:b/>
          <w:color w:val="000000"/>
          <w:sz w:val="20"/>
          <w:u w:val="single"/>
          <w:lang w:val="en-US" w:eastAsia="en-US" w:bidi="ar-SA"/>
        </w:rPr>
        <w:t>Special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These are agreed in the amount of $15,171.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 xml:space="preserve">3.7 </w:t>
      </w:r>
      <w:r>
        <w:rPr>
          <w:rFonts w:ascii="arial" w:eastAsia="arial" w:hAnsi="arial" w:cs="arial"/>
          <w:b/>
          <w:color w:val="000000"/>
          <w:sz w:val="20"/>
          <w:u w:val="single"/>
          <w:lang w:val="en-US" w:eastAsia="en-US" w:bidi="ar-SA"/>
        </w:rPr>
        <w:t>Past loss of income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As we have seen, Ms. Young decided to change her career path after the accident occurred. As a result, she left her employment at Invesco, to which she had returned, to obtain a diploma in psychiatric nursing. In the circumstances, her past loss of income claim is limited. The parties have agreed to damages under this heading, net of tax, of $57,665.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 xml:space="preserve">3.8 </w:t>
      </w:r>
      <w:r>
        <w:rPr>
          <w:rFonts w:ascii="arial" w:eastAsia="arial" w:hAnsi="arial" w:cs="arial"/>
          <w:b/>
          <w:color w:val="000000"/>
          <w:sz w:val="20"/>
          <w:u w:val="single"/>
          <w:lang w:val="en-US" w:eastAsia="en-US" w:bidi="ar-SA"/>
        </w:rPr>
        <w:t>Loss of income-earning capacity</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3.8.1 Overview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This claim is the subject of a number of expert reports.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Ms. Young claims damages based on the loss of her lifetime earnings as a registered psychiatric nurse from the time of trial to the time of retirement at age 67. This figure, as calculated by the plaintiff's expert economist, Darren Benning, comes to $1,762,000, which the plaintiff describes as a conservative sum as it does not take into account potential overtime earnings. From this, Ms. Young proposes a deduction of 25% representing her residual earning capacity, yielding a claim of $1,321,500.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ICBC concedes the existence of a real possibility that Ms. Young will lose a significant amount of income in the future, but argues that she nevertheless retains a substantial earning capacity, particularly in relation to the financial services industry, such that an appropriate assessment would yield an award of between $450,000 and $500,000.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There is accordingly no controversy, and I find on the evidence, that, as a result of the accident, there is a realistic possibility that Ms. Young will be less able to compete in the marketplace and that her future earnings have been adversely affected; see, for instance, </w:t>
      </w:r>
      <w:r>
        <w:rPr>
          <w:rFonts w:ascii="arial" w:eastAsia="arial" w:hAnsi="arial" w:cs="arial"/>
          <w:i/>
          <w:color w:val="000000"/>
          <w:sz w:val="20"/>
          <w:lang w:val="en-US" w:eastAsia="en-US" w:bidi="ar-SA"/>
        </w:rPr>
        <w:t>Kim v Moirier</w:t>
      </w:r>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2014 BCCA 63</w:t>
        </w:r>
      </w:hyperlink>
      <w:r>
        <w:rPr>
          <w:rFonts w:ascii="arial" w:eastAsia="arial" w:hAnsi="arial" w:cs="arial"/>
          <w:color w:val="000000"/>
          <w:sz w:val="20"/>
          <w:lang w:val="en-US" w:eastAsia="en-US" w:bidi="ar-SA"/>
        </w:rPr>
        <w:t xml:space="preserve"> at paras 4, 6 and 7;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paras 21, 32, and 33. The problem is how to assess her loss.</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3.8.2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 tendered two functional capacity evaluation reports from Paul Pakulak, occupational therapist, the first one based on an assessment on July 6, 2016, before Ms. Young's surgery, and the second on June 20, 2017, well after the surgery.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Based on his testing results, and the physical demands characteristics of employment as a psychiatric nurse, Mr. Pakulak concluded that Ms. Young demonstrated the physical capacity to complete the work of a psychiatric nurse on a part-time basis only, provided that the lifting and carrying demands did not exceed her demonstrated tolerances. Generally, he opined, her physical capacity would permit employment only at a light level on a part-time basis, with both below-waist-level work and work-intensive standing limited to an occasional basis. One of his principal concerns was that she demonstrated ongoing limitations in both sitting and standing postures, thereby limiting her ability to relieve one with the other. This, he thought, suggested that she may not be able to sustain a productive workplace in most traditional job settings.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cross-examination, Mr. Pakulak agreed that his testing did not determine Ms. Young's maximum tolerance for sitting, standing or walking. He did not, accordingly, assess her ability to work in the financial services area as she had in the past. His instructions were to evaluate her ability to work as a psychiatric nurse. Nevertheless, because of her limitations in both standing and sitting, he would be concerned about whether she would be able to sustain full-time employment in the financial services industry, or indeed in any industry. He agreed that some types of jobs open to registered psychiatric nurses were limited in ways that would permit Ms. Young to fulfil them. The question is whether they would be open to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Pakulak agreed that if Ms. Young's experience with pain improves, then her functional capacity could also improve. It would, however, be very difficult to put a number on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ICBC tendered a report from Cynthia Kresak, a certified vocational evaluation specialist. As such, she does not administer any medical tests or carry out a physical assessment. Her job is to determine a person's vocational potential, and she takes physical limitations from the client's history and the records.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With respect to nursing, Ms. Kresak noted that the physical demands may vary from fairly heavy, on a ward, to light, doing desk work. Her assessment was based on the job demands of registered nurses in general, rather than registered psychiatric nurses in particular. She did not have access to Mr. Pakulak's functional capacity evaluations when she prepared her report.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Ms. Kresak's opinion, Ms. Young's transferable skills were sufficient to qualify her for employment in a number of different occupational classifications requiring light to limited strength. These included loan officers, customer service representatives (financial services), banking, insurance and other financial clerks, customer service, information and related clerks, and retail sales persons. These could require preparation/training time of between 30 days and one year, and would yield average full-time incomes of between $23,500 (retail salesperson) and $60,000 (loan officer). In addition, Ms. Kresak listed registered psychiatric nurse as an option, provided the strength demands were limited.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Additional evidence was led from Mr. Armes who had worked with Ms. Young at Invesco. Mr. Armes noted that 2013 was an exceptionally good year, and his territory was the top performing sales territory in the country. Ms. Young's income that year (after the accident) was $89,000. She discussed changing her career early in that year. Mr. Armes was supportive but had mixed feelings. The shelf life of a phone sales representative is limited, and there was really no other place for her to go at that company given her qualifications.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Armes left Invesco himself in 2014, and is now on the brokerage (retail) side. Positions that would be open to someone with Ms. Young's qualifications would start at a base salary of $30,000-$35,000.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wholesale side, as at Invesco, has undergone a significant change which is why Mr. Armes left at age 38. Changes in regulations made it more difficult to earn commissions.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When Ms. Young left Invesco, her job was filled right away. She did not have the accreditation necessary to manage funds. There are few jobs available in the industry where anyone earns more than $50,000 if they cannot drive sales.</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3.8.3 Findings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From the evidence of the plaintiff and of Mr. Armes, there can be no doubt that Ms. Young was capable of earning a healthy income in the financial services sector, in an essentially sedentary position, although it is equally clear that without additional training, her prospects were limited.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accept the evidence of Mr. Pakulak that, at present, Ms. Young is not capable of fulfilling the normal requirements of the job of a registered psychiatric nurse, and would not likely be able to work full-time even in the financial services sector assuming she had the appropriate qualifications. This is because of her inability to sustain either sitting or standing. Even if she were able to accommodate that in some way, she would be limited in the essential role of client development outside of the office environment.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did not find the evidence of Ms. Kresak as helpful given her inability to test or assess Ms. Young's physical limitations, and the assumptions she made in that regard, which tended to minimize those limitations. I do accept, however, her conclusion as to what transferable skills Ms. Young has, assuming the necessary physical 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also find that although Ms. Young could carry out the job of a registered psychiatric nurse at least part-time in one of the areas of that profession where the physical demands are reliably limited, the evidence does not support the proposition that such a job is likely to be available to her. As she explained it, and as Christina Gower RPN confirmed, the less demanding jobs are awarded on the basis of seniority, of which Ms. Young has extremely little. Ms. Gower conceded that this could change in the future as baby-boomers retire; but, normally, one would require 15 years' seniority to get a good shot at community jobs that are less demanding physically. Accordingly, while it is possible that Ms. Young could find a role as a psychiatric nurse that would be open to her in her present condition, it is unlikely that she will do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have found, however, that it is likely that her condition will improve in time. The evidence does not allow me to conclude that she is likely to be able to return as a full-time registered psychiatric nurse, although that is not outside the realm of possibility. What I do find, given Ms. Young's abilities and resourcefulness, is that she is likely to be able to return to full-time employment in the future, with an income beginning in the $35,000 range, and working up to the $60,000 range in today's dollars. This compares with the full-time income of a registered psychiatric nurse ranging from $70,797 in the first year up to $91,628 in the ninth year, not including overtime, in accordance with the union contract.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But, I find, in order to achieve such a capacity, Ms. Young is going to need time for both physical recovery, psychotherapy and vocational assistance, returning to work on a graduated basis.</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3.8.4 Assessment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ICBC tendered, as a potential approach to assessing this loss, a comparison of Ms. Young's likely future earnings with what she could have earned full-time as a registered psychiatric nurse, taking the approximate mean from Mr. Benning's table of "mortality-adjusted income after deduction of labour market contingencies".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Both this approach and the plaintiff's are more in the nature of a calculation, rather than an assessment. Nevertheless, in all of the circumstances of this unusual case, ICBC's approach in general commends itself to me for guidance purposes although, because of my view of the evidence, it does not yield the result for which ICBC contends. I would, however, prefer to deal with Mr. Benning's figures slightly differently. This is because the appropriate comparator would be the without-accident income figure </w:t>
      </w:r>
      <w:r>
        <w:rPr>
          <w:rFonts w:ascii="arial" w:eastAsia="arial" w:hAnsi="arial" w:cs="arial"/>
          <w:i/>
          <w:color w:val="000000"/>
          <w:sz w:val="20"/>
          <w:lang w:val="en-US" w:eastAsia="en-US" w:bidi="ar-SA"/>
        </w:rPr>
        <w:t>before</w:t>
      </w:r>
      <w:r>
        <w:rPr>
          <w:rFonts w:ascii="arial" w:eastAsia="arial" w:hAnsi="arial" w:cs="arial"/>
          <w:color w:val="000000"/>
          <w:sz w:val="20"/>
          <w:lang w:val="en-US" w:eastAsia="en-US" w:bidi="ar-SA"/>
        </w:rPr>
        <w:t xml:space="preserve"> the application of labour market contingencies, given that such contingencies are not applied to my estimate of Ms. Young's actual earning capacity. Contingencies can then be applied to the difference.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consider it appropriate to take into account that Ms. Young is unlikely to earn any income before 2020. In 2020 and 2021, I would assess her income-earning capacity at about $15,000, increasing to $35,000 in the years 2022-2024. I would increase it to $50,000 from 2025-2027, and $60,000 thereafter. I would base the appropriate comparator on Mr. Benning's actual estimated figures before the application of labour market contingencies, as discussed above. The labour market contingencies can then be included in the present value calculation as in Mr. Benning's Table 4, adjusted by one year as the reference date is now later.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result, with the application of present value multipliers, is a loss of income in the following approximate amounts, going forward to age 65:</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627"/>
        <w:gridCol w:w="2510"/>
        <w:gridCol w:w="1568"/>
        <w:gridCol w:w="480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2018</w:t>
            </w:r>
          </w:p>
        </w:tc>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$66,147 x .992</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$65,618</w:t>
            </w:r>
          </w:p>
        </w:tc>
        <w:tc>
          <w:tcPr>
            <w:tcW w:w="4710"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2019</w:t>
            </w:r>
          </w:p>
        </w:tc>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$67,554 x .977</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$66,000</w:t>
            </w:r>
          </w:p>
        </w:tc>
        <w:tc>
          <w:tcPr>
            <w:tcW w:w="4710"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2020-21</w:t>
            </w:r>
          </w:p>
        </w:tc>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$60,000 x 1.910</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$114,600</w:t>
            </w:r>
          </w:p>
        </w:tc>
        <w:tc>
          <w:tcPr>
            <w:tcW w:w="4710"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2022-24</w:t>
            </w:r>
          </w:p>
        </w:tc>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$38,250 x 2.755</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$105,379</w:t>
            </w:r>
          </w:p>
        </w:tc>
        <w:tc>
          <w:tcPr>
            <w:tcW w:w="4710"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2025-27</w:t>
            </w:r>
          </w:p>
        </w:tc>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$26,800 x 2.627</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$70,404</w:t>
            </w:r>
          </w:p>
        </w:tc>
        <w:tc>
          <w:tcPr>
            <w:tcW w:w="4710"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2028-48</w:t>
            </w:r>
          </w:p>
        </w:tc>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$22,000 x 15.110</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$332,420</w:t>
            </w:r>
          </w:p>
        </w:tc>
        <w:tc>
          <w:tcPr>
            <w:tcW w:w="4710"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2458"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$754,421</w:t>
            </w:r>
          </w:p>
        </w:tc>
        <w:tc>
          <w:tcPr>
            <w:tcW w:w="4710"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As I indicated, this is more of a calculation than an assessment, but it provides me with an appropriate model for assessment purposes. It includes a reduction of the likely retirement age from 67 to 65, but does not include the prospect of any time off for having children, a contingency for which Ms. Young seeks compensation under the heading of the cost of future care. On the other hand, it errs, if anything, on the side of optimism with respect to her residual earning capacity, given the real risk that she will not experience any significant recovery.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Taking all of these factors into account, I would assess Ms. Young's damages for loss of income-earning capacity at $800,000.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 xml:space="preserve">3.9 </w:t>
      </w:r>
      <w:r>
        <w:rPr>
          <w:rFonts w:ascii="arial" w:eastAsia="arial" w:hAnsi="arial" w:cs="arial"/>
          <w:b/>
          <w:color w:val="000000"/>
          <w:sz w:val="20"/>
          <w:u w:val="single"/>
          <w:lang w:val="en-US" w:eastAsia="en-US" w:bidi="ar-SA"/>
        </w:rPr>
        <w:t>Future care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plaintiff tendered an expert cost of care report from Ms. Cecile Petra, an occupational therapist. No report was tendered on behalf of ICBC.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principal question arises with respect to the duration of recommended treatments and therapies given Ms. Young's uncertain prognosis.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On the basis of Ms. Young's evidence, my assessment of the medical expert evidence, and the evidence of Ms. Petra, I find that the following costs are both reasonable and medically justified. Present values are calculated on the basis of Mr. Benning's report: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Medication:</w:t>
      </w:r>
      <w:r>
        <w:rPr>
          <w:rFonts w:ascii="arial" w:eastAsia="arial" w:hAnsi="arial" w:cs="arial"/>
          <w:color w:val="000000"/>
          <w:sz w:val="20"/>
          <w:lang w:val="en-US" w:eastAsia="en-US" w:bidi="ar-SA"/>
        </w:rPr>
        <w:t xml:space="preserve"> Tramadol, Advil and Tylenol as proposed, $726 yearly for three years, $219 yearly (no Tramadol; half the Advil and Tylenol) for a further three years. This yields a present value of </w:t>
      </w:r>
      <w:r>
        <w:rPr>
          <w:rFonts w:ascii="arial" w:eastAsia="arial" w:hAnsi="arial" w:cs="arial"/>
          <w:color w:val="000000"/>
          <w:sz w:val="20"/>
          <w:u w:val="single"/>
          <w:lang w:val="en-US" w:eastAsia="en-US" w:bidi="ar-SA"/>
        </w:rPr>
        <w:t>$2,712</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Physiotherapy:</w:t>
      </w:r>
      <w:r>
        <w:rPr>
          <w:rFonts w:ascii="arial" w:eastAsia="arial" w:hAnsi="arial" w:cs="arial"/>
          <w:color w:val="000000"/>
          <w:sz w:val="20"/>
          <w:lang w:val="en-US" w:eastAsia="en-US" w:bidi="ar-SA"/>
        </w:rPr>
        <w:t xml:space="preserve"> Ms. Petra recommends ongoing physiotherapy intervention for pain management purposes consisting of monthly sessions at an annual cost of $840. Dr. Kostamo, however, recommended "intermittent guided physiotherapy for flare-ups of pain". I allow four sessions annually at a cost of $280 for three years. The present value is </w:t>
      </w:r>
      <w:r>
        <w:rPr>
          <w:rFonts w:ascii="arial" w:eastAsia="arial" w:hAnsi="arial" w:cs="arial"/>
          <w:color w:val="000000"/>
          <w:sz w:val="20"/>
          <w:u w:val="single"/>
          <w:lang w:val="en-US" w:eastAsia="en-US" w:bidi="ar-SA"/>
        </w:rPr>
        <w:t>$815</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Occupational therapy:</w:t>
      </w:r>
      <w:r>
        <w:rPr>
          <w:rFonts w:ascii="arial" w:eastAsia="arial" w:hAnsi="arial" w:cs="arial"/>
          <w:color w:val="000000"/>
          <w:sz w:val="20"/>
          <w:lang w:val="en-US" w:eastAsia="en-US" w:bidi="ar-SA"/>
        </w:rPr>
        <w:t xml:space="preserve"> 12-week activation program, 18 hours of OT intervention, 30 hours of kinesiologist assistance, a 16-week return-to-work program and a work-site assessment with follow-up, all as recommended. With taxes, the present value comes to </w:t>
      </w:r>
      <w:r>
        <w:rPr>
          <w:rFonts w:ascii="arial" w:eastAsia="arial" w:hAnsi="arial" w:cs="arial"/>
          <w:color w:val="000000"/>
          <w:sz w:val="20"/>
          <w:u w:val="single"/>
          <w:lang w:val="en-US" w:eastAsia="en-US" w:bidi="ar-SA"/>
        </w:rPr>
        <w:t>$6,402</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Vocational evaluation:</w:t>
      </w:r>
      <w:r>
        <w:rPr>
          <w:rFonts w:ascii="arial" w:eastAsia="arial" w:hAnsi="arial" w:cs="arial"/>
          <w:color w:val="000000"/>
          <w:sz w:val="20"/>
          <w:lang w:val="en-US" w:eastAsia="en-US" w:bidi="ar-SA"/>
        </w:rPr>
        <w:t xml:space="preserve"> Testing and report as recommended at a cost of $1,575. The present value is </w:t>
      </w:r>
      <w:r>
        <w:rPr>
          <w:rFonts w:ascii="arial" w:eastAsia="arial" w:hAnsi="arial" w:cs="arial"/>
          <w:color w:val="000000"/>
          <w:sz w:val="20"/>
          <w:u w:val="single"/>
          <w:lang w:val="en-US" w:eastAsia="en-US" w:bidi="ar-SA"/>
        </w:rPr>
        <w:t>$1,539</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Massage therapy:</w:t>
      </w:r>
      <w:r>
        <w:rPr>
          <w:rFonts w:ascii="arial" w:eastAsia="arial" w:hAnsi="arial" w:cs="arial"/>
          <w:color w:val="000000"/>
          <w:sz w:val="20"/>
          <w:lang w:val="en-US" w:eastAsia="en-US" w:bidi="ar-SA"/>
        </w:rPr>
        <w:t xml:space="preserve"> This is recommended monthly for symptom management purposes at $119 per session. Although the plaintiff has had some benefit from this, it seems to me that the benefit has been limited, and I allow six sessions annually for four years at an annual cost of $714. The present value is </w:t>
      </w:r>
      <w:r>
        <w:rPr>
          <w:rFonts w:ascii="arial" w:eastAsia="arial" w:hAnsi="arial" w:cs="arial"/>
          <w:color w:val="000000"/>
          <w:sz w:val="20"/>
          <w:u w:val="single"/>
          <w:lang w:val="en-US" w:eastAsia="en-US" w:bidi="ar-SA"/>
        </w:rPr>
        <w:t>$2,743</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Chiropractic</w:t>
      </w:r>
      <w:r>
        <w:rPr>
          <w:rFonts w:ascii="arial" w:eastAsia="arial" w:hAnsi="arial" w:cs="arial"/>
          <w:color w:val="000000"/>
          <w:sz w:val="20"/>
          <w:lang w:val="en-US" w:eastAsia="en-US" w:bidi="ar-SA"/>
        </w:rPr>
        <w:t>: This is recommended monthly at $55 per session. On the evidence, this has not proven to be beneficial and Ms. Young has not been availing herself of chiropractic treatment for some time. I do not allow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Psychological counselling:</w:t>
      </w:r>
      <w:r>
        <w:rPr>
          <w:rFonts w:ascii="arial" w:eastAsia="arial" w:hAnsi="arial" w:cs="arial"/>
          <w:color w:val="000000"/>
          <w:sz w:val="20"/>
          <w:lang w:val="en-US" w:eastAsia="en-US" w:bidi="ar-SA"/>
        </w:rPr>
        <w:t xml:space="preserve"> I accept that this is required, and allow 12 sessions as recommended for a total cost of </w:t>
      </w:r>
      <w:r>
        <w:rPr>
          <w:rFonts w:ascii="arial" w:eastAsia="arial" w:hAnsi="arial" w:cs="arial"/>
          <w:color w:val="000000"/>
          <w:sz w:val="20"/>
          <w:u w:val="single"/>
          <w:lang w:val="en-US" w:eastAsia="en-US" w:bidi="ar-SA"/>
        </w:rPr>
        <w:t>$2,376</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Housekeeping services:</w:t>
      </w:r>
      <w:r>
        <w:rPr>
          <w:rFonts w:ascii="arial" w:eastAsia="arial" w:hAnsi="arial" w:cs="arial"/>
          <w:color w:val="000000"/>
          <w:sz w:val="20"/>
          <w:lang w:val="en-US" w:eastAsia="en-US" w:bidi="ar-SA"/>
        </w:rPr>
        <w:t xml:space="preserve"> This is claimed as a cost of future care, rather than as a loss of capacity. ICBC contends that any award under this heading should be inversely proportional to my award for loss of income-earning capacity in the sense that if the plaintiff is found to be unable to work, and is at home much of the time, then on the evidence she can pace herself and take care of a good deal of the housekeeping.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think that ICBC is right to relate the assessment of this claim to the assessment of the claim for loss of income-earning capacity. I have determined that over the next five years or so, Ms. Young is likely to regain most of her pre-accident level of functioning, although a return to complete normality seems unlikely. I have assessed her loss of income-earning capacity on the basis that she will return to full-time employment, although not in as remunerative a capacity as she was capable of achieving before. It is likely, particularly if she has a family, that she would be incurring some housekeeping cost in any event.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In these circumstances, I prefer to assess this claim as a loss of future housekeeping capacity, rather than as a straightforward cost of future care. Ms. Petra estimated four hours per week at $28/hour at an annual cost of $5,824, reducing at age 75. I accept that four hours per week is an appropriate model for the present and over the next few years, but I find that Ms. Young's capacity is not diminished to that extent over the long term. I allow </w:t>
      </w:r>
      <w:r>
        <w:rPr>
          <w:rFonts w:ascii="arial" w:eastAsia="arial" w:hAnsi="arial" w:cs="arial"/>
          <w:color w:val="000000"/>
          <w:sz w:val="20"/>
          <w:u w:val="single"/>
          <w:lang w:val="en-US" w:eastAsia="en-US" w:bidi="ar-SA"/>
        </w:rPr>
        <w:t>$65,000</w:t>
      </w:r>
      <w:r>
        <w:rPr>
          <w:rFonts w:ascii="arial" w:eastAsia="arial" w:hAnsi="arial" w:cs="arial"/>
          <w:color w:val="000000"/>
          <w:sz w:val="20"/>
          <w:lang w:val="en-US" w:eastAsia="en-US" w:bidi="ar-SA"/>
        </w:rPr>
        <w:t xml:space="preserve"> in total for this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Childcare services:</w:t>
      </w:r>
      <w:r>
        <w:rPr>
          <w:rFonts w:ascii="arial" w:eastAsia="arial" w:hAnsi="arial" w:cs="arial"/>
          <w:color w:val="000000"/>
          <w:sz w:val="20"/>
          <w:lang w:val="en-US" w:eastAsia="en-US" w:bidi="ar-SA"/>
        </w:rPr>
        <w:t xml:space="preserve"> Ms. Petra estimates a "contingency" for childcare services for up to two children based on seven hours per week from birth to age three, and four hours per week between ages four and six, yielding a cost of $30,576 twice for the first three years, and $17,472 twice for the second three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Ms. Petra was correct to describe this as a "contingency". Ms. Young does not have any children and we cannot know whether she ever will. If she does, will she have one or two or more? If she has more than one, how many years apart might they be? And will the degree of recovery I have found probable be sufficient to allow her to care for her children independently?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In these circumstances, once again I prefer to assess this claim (which ICBC concedes in concept though not amount) as a loss of capacity. I take into account the costs outlined by Ms. Petra, and all of the contingencies discussed above. I allow a total claim of </w:t>
      </w:r>
      <w:r>
        <w:rPr>
          <w:rFonts w:ascii="arial" w:eastAsia="arial" w:hAnsi="arial" w:cs="arial"/>
          <w:color w:val="000000"/>
          <w:sz w:val="20"/>
          <w:u w:val="single"/>
          <w:lang w:val="en-US" w:eastAsia="en-US" w:bidi="ar-SA"/>
        </w:rPr>
        <w:t>$25,000</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Assistive equipment &amp; other costs:</w:t>
      </w:r>
      <w:r>
        <w:rPr>
          <w:rFonts w:ascii="arial" w:eastAsia="arial" w:hAnsi="arial" w:cs="arial"/>
          <w:color w:val="000000"/>
          <w:sz w:val="20"/>
          <w:lang w:val="en-US" w:eastAsia="en-US" w:bidi="ar-SA"/>
        </w:rPr>
        <w:t xml:space="preserve"> The first item here is an off-set cane. Ms. Young has two canes, but according to Ms. Petra, these are not ergonomically optimal. I allow one cane at $37. The next item is a sacral wedge cushion. Ms. Petra recommends two, every three years. Ms. Young already has one, and I allow the cost of one more at $100. Similarly, I allow one body pillow at $269. The present value of these items is </w:t>
      </w:r>
      <w:r>
        <w:rPr>
          <w:rFonts w:ascii="arial" w:eastAsia="arial" w:hAnsi="arial" w:cs="arial"/>
          <w:color w:val="000000"/>
          <w:sz w:val="20"/>
          <w:u w:val="single"/>
          <w:lang w:val="en-US" w:eastAsia="en-US" w:bidi="ar-SA"/>
        </w:rPr>
        <w:t>$403</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ICBC concedes the claim for ergonomic office equipment at a cost of $1,000, replaced every six years up to age 60. I agree that this is appropriate, leaving a total award under this heading with the present value of </w:t>
      </w:r>
      <w:r>
        <w:rPr>
          <w:rFonts w:ascii="arial" w:eastAsia="arial" w:hAnsi="arial" w:cs="arial"/>
          <w:color w:val="000000"/>
          <w:sz w:val="20"/>
          <w:u w:val="single"/>
          <w:lang w:val="en-US" w:eastAsia="en-US" w:bidi="ar-SA"/>
        </w:rPr>
        <w:t>$3,887</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Ms. Petra recommends a fitness membership for symptom management purposes. ICBC concedes an award under this subheading but notes that Ms. Young used a gym before the accident. I accept ICBC's view that the present value estimated in Mr. Benning's report should be reduced by half to </w:t>
      </w:r>
      <w:r>
        <w:rPr>
          <w:rFonts w:ascii="arial" w:eastAsia="arial" w:hAnsi="arial" w:cs="arial"/>
          <w:color w:val="000000"/>
          <w:sz w:val="20"/>
          <w:u w:val="single"/>
          <w:lang w:val="en-US" w:eastAsia="en-US" w:bidi="ar-SA"/>
        </w:rPr>
        <w:t>$5,120</w:t>
      </w:r>
      <w:r>
        <w:rPr>
          <w:rFonts w:ascii="arial" w:eastAsia="arial" w:hAnsi="arial" w:cs="arial"/>
          <w:color w:val="000000"/>
          <w:sz w:val="20"/>
          <w:lang w:val="en-US" w:eastAsia="en-US" w:bidi="ar-SA"/>
        </w:rPr>
        <w:t>, which I allow.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final item under this heading is the cost of an all-terrain scooter that Ms. Petra recommends. Ms. Young was very clear that she would not use such an item under any circumstances, and I do not allow any claim in this regard.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 total award for the cost of future care comes to </w:t>
      </w:r>
      <w:r>
        <w:rPr>
          <w:rFonts w:ascii="arial" w:eastAsia="arial" w:hAnsi="arial" w:cs="arial"/>
          <w:color w:val="000000"/>
          <w:sz w:val="20"/>
          <w:u w:val="single"/>
          <w:lang w:val="en-US" w:eastAsia="en-US" w:bidi="ar-SA"/>
        </w:rPr>
        <w:t>$115,997</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 xml:space="preserve">3.10 </w:t>
      </w:r>
      <w:r>
        <w:rPr>
          <w:rFonts w:ascii="arial" w:eastAsia="arial" w:hAnsi="arial" w:cs="arial"/>
          <w:b/>
          <w:color w:val="000000"/>
          <w:sz w:val="20"/>
          <w:u w:val="single"/>
          <w:lang w:val="en-US" w:eastAsia="en-US" w:bidi="ar-SA"/>
        </w:rPr>
        <w:t>In trust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Ms. Young seeks an award of $10,000 in trust for her mother, Valerie Young, in recognition of and compensation for the services Mrs. Young has provided in caring for Ms. Young post-accident, particularly since the surgery. ICBC takes the position that no in trust award should be made because Mrs. Young's services "do not pass the threshold of being services over and above what would be expected from the family relationship".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Mrs. Young testified, and was a thoroughly credible witness. On all of the evidence, there is no doubt that Ms. Young required a good deal of assistance in the time after the surgery, being in a fragile physical and emotional state. I find that the assistance Mrs. Young provided was necessary as a result of Ms. Young's injuries, and went well beyond what a parent would reasonably be expected to provide an adult child: see, for instance, </w:t>
      </w:r>
      <w:r>
        <w:rPr>
          <w:rFonts w:ascii="arial" w:eastAsia="arial" w:hAnsi="arial" w:cs="arial"/>
          <w:i/>
          <w:color w:val="000000"/>
          <w:sz w:val="20"/>
          <w:lang w:val="en-US" w:eastAsia="en-US" w:bidi="ar-SA"/>
        </w:rPr>
        <w:t>Bystedt v Hay</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2001 BCSC 1735</w:t>
        </w:r>
      </w:hyperlink>
      <w:r>
        <w:rPr>
          <w:rFonts w:ascii="arial" w:eastAsia="arial" w:hAnsi="arial" w:cs="arial"/>
          <w:color w:val="000000"/>
          <w:sz w:val="20"/>
          <w:lang w:val="en-US" w:eastAsia="en-US" w:bidi="ar-SA"/>
        </w:rPr>
        <w:t xml:space="preserve"> at para 180, aff'd </w:t>
      </w:r>
      <w:hyperlink r:id="rId678" w:history="1">
        <w:r>
          <w:rPr>
            <w:rFonts w:ascii="arial" w:eastAsia="arial" w:hAnsi="arial" w:cs="arial"/>
            <w:i/>
            <w:color w:val="0077CC"/>
            <w:sz w:val="20"/>
            <w:u w:val="single"/>
            <w:shd w:val="clear" w:color="auto" w:fill="FFFFFF"/>
            <w:lang w:val="en-US" w:eastAsia="en-US" w:bidi="ar-SA"/>
          </w:rPr>
          <w:t>2004 BCCA 124</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consider the claim advanced to be entirely reasonable, and award $10,000 to Ms. Young in trust for Valerie Young.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 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find that the accident occurred in the manner described by Ms. Young, and find ICBC wholly liable as representative of the unidentified hit-and-run driver/owner. I assess damages as follows: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750"/>
        <w:gridCol w:w="366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Non-pecuniary damages:</w:t>
            </w:r>
          </w:p>
        </w:tc>
        <w:tc>
          <w:tcPr>
            <w:tcW w:w="358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$110,000</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Special damages:</w:t>
            </w:r>
          </w:p>
        </w:tc>
        <w:tc>
          <w:tcPr>
            <w:tcW w:w="358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$15,171</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Net past loss of income:</w:t>
            </w:r>
          </w:p>
        </w:tc>
        <w:tc>
          <w:tcPr>
            <w:tcW w:w="358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$57, 665</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Loss of future income-earning capacity:</w:t>
            </w:r>
          </w:p>
        </w:tc>
        <w:tc>
          <w:tcPr>
            <w:tcW w:w="358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$800,000</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Future care costs:</w:t>
            </w:r>
          </w:p>
        </w:tc>
        <w:tc>
          <w:tcPr>
            <w:tcW w:w="358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$115,997</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In trust for Mrs. Young</w:t>
            </w:r>
          </w:p>
        </w:tc>
        <w:tc>
          <w:tcPr>
            <w:tcW w:w="358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$10,000</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b/>
                <w:color w:val="000000"/>
                <w:sz w:val="18"/>
                <w:lang w:val="en-US" w:eastAsia="en-US" w:bidi="ar-SA"/>
              </w:rPr>
              <w:t>TOTAL:</w:t>
            </w:r>
          </w:p>
        </w:tc>
        <w:tc>
          <w:tcPr>
            <w:tcW w:w="358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b/>
                <w:color w:val="000000"/>
                <w:sz w:val="18"/>
                <w:lang w:val="en-US" w:eastAsia="en-US" w:bidi="ar-SA"/>
              </w:rPr>
              <w:t>$1,108,833</w:t>
            </w:r>
          </w:p>
        </w:tc>
        <w:tc>
          <w:tcPr>
            <w:tcW w:w="1024"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parties are at liberty to speak to costs and any other matters arising from this judgment.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J.C. GRAUER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6" style="position:absolute;z-index:2518435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79"/>
          <w:headerReference w:type="default" r:id="rId680"/>
          <w:footerReference w:type="even" r:id="rId681"/>
          <w:footerReference w:type="default" r:id="rId682"/>
          <w:headerReference w:type="first" r:id="rId683"/>
          <w:footerReference w:type="first" r:id="rId68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5" w:history="1">
        <w:r>
          <w:rPr>
            <w:rFonts w:ascii="arial" w:eastAsia="arial" w:hAnsi="arial" w:cs="arial"/>
            <w:b/>
            <w:bCs/>
            <w:i/>
            <w:color w:val="0077CC"/>
            <w:kern w:val="32"/>
            <w:sz w:val="28"/>
            <w:szCs w:val="32"/>
            <w:u w:val="single"/>
            <w:shd w:val="clear" w:color="auto" w:fill="FFFFFF"/>
            <w:lang w:val="en-US" w:eastAsia="en-US" w:bidi="ar-SA"/>
          </w:rPr>
          <w:t>Axa Pacific Insurance Company v. Elwood, [2000] I.L.R. para. I-3869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Chamberlist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August 18, 2000.</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[2000] I.L.R. para. I-3869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86" w:history="1">
        <w:r>
          <w:rPr>
            <w:rFonts w:ascii="arial" w:eastAsia="arial" w:hAnsi="arial" w:cs="arial"/>
            <w:i/>
            <w:color w:val="0077CC"/>
            <w:sz w:val="20"/>
            <w:u w:val="single"/>
            <w:shd w:val="clear" w:color="auto" w:fill="FFFFFF"/>
            <w:lang w:val="en-US" w:eastAsia="en-US" w:bidi="ar-SA"/>
          </w:rPr>
          <w:t>[2000] B.C.J. No. 1738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Axa Pacific Insurance Company v. Elwood</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7"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4" w:name="Keywords_32"/>
      <w:bookmarkEnd w:id="214"/>
      <w:r>
        <w:rPr>
          <w:rFonts w:ascii="arial" w:eastAsia="arial" w:hAnsi="arial" w:cs="arial"/>
          <w:b/>
          <w:color w:val="000000"/>
          <w:sz w:val="20"/>
          <w:lang w:val="en-US" w:eastAsia="en-US" w:bidi="ar-SA"/>
        </w:rPr>
        <w:t>Duty to defend — Homeowner's insurance — Exclusionary clause — Use or operation of motor vehicle — Passenger grabbed steering wheel — Claim did not arise from use of motor vehicle — Declaration as to duty to defend not to be made in third-party motion in underlying action — Insurance Act, R.S.B.C. 1996, c. 226, s. 24.</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5" w:name="Case Summary_30"/>
            <w:bookmarkEnd w:id="215"/>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This was a petition for a declaration that the insurer was not required to defend the insured with respect to claims against her in a motor vehicle accident action. The plaintiff and defendant in that action filed notices of motion seeking to have the petition heard at trial; they claimed an interest in the outcome, since under section 24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the insurer could be required to pay any judgment obtained.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action claimed damages suffered by the plaintiff in a single vehicle accident. The insured had been a passenger in the vehicle and had grabbed the steering wheel while the vehicle was being driven by the second defendant; the car went out of control and hit a post. The insured was covered by a homeowner's insurance policy, but the insurer denied coverage on the basis of an exclusionary clause for claims arising from the use or operation of any motor vehicle.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6" w:name="Holdings of Court_27"/>
            <w:bookmarkEnd w:id="216"/>
            <w:r>
              <w:rPr>
                <w:rFonts w:ascii="arial" w:eastAsia="arial" w:hAnsi="arial" w:cs="arial"/>
                <w:color w:val="000000"/>
                <w:sz w:val="20"/>
                <w:lang w:val="en-US" w:eastAsia="en-US" w:bidi="ar-SA"/>
              </w:rPr>
              <w:t>HELD: The petition was successful.</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was held that the issue of the duty to defend was properly heard on this application and not in third-party proceedings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Neither the plaintiff nor the defendant in the underlying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had any status to enter appearances to the petition. Only obligations between the insured and insurer were at issue. Section 24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did not give any legal or equitable right in the outcome of the coverage issue. The insured's entitlement to indemnity could not be determined at this time, but could only be determined at the conclusion of the underlying action.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exclusionary clause did apply to this claim. The vehicle was being operated on a roadway, an ordinary and well-known activity to which automobiles are put. The insured's negligent use of the vehicle led directly to the accident and the injuries suffered by the plaintiff. The homeowner's policy was clearly not intended to provide personal liability coverage for the type of claim brought against the insured in this case.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7" w:name="Counsel_31"/>
      <w:bookmarkEnd w:id="2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8"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J.M. Moshonas and J.A. Vamplew for the petitioner; A.M. Mersey, M. Bolda and K.L. Prockiw for the respondents.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8" w:name="Judgment_32"/>
      <w:bookmarkEnd w:id="218"/>
      <w:r>
        <w:pict>
          <v:line id="_x0000_s1189" style="position:absolute;z-index:25179443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9" w:name="CHAMBERLIST J."/>
            <w:bookmarkEnd w:id="219"/>
            <w:r>
              <w:rPr>
                <w:rFonts w:ascii="arial" w:eastAsia="arial" w:hAnsi="arial" w:cs="arial"/>
                <w:b/>
                <w:color w:val="000000"/>
                <w:sz w:val="30"/>
                <w:lang w:val="en-US" w:eastAsia="en-US" w:bidi="ar-SA"/>
              </w:rPr>
              <w:t>CHAMBERLIST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action number S000602, Vancouver Registry, the petitioner Axa Pacific Insurance Company/Axa Pacifique Compagnie D'Assurance ("Axa") has filed a notice of hearing setting April 14, 2000 for the hearing of its petition filed in these proceedings. Axa seeks orders as follows in its petition:</w:t>
      </w:r>
      <w:r>
        <w:rPr>
          <w:rFonts w:ascii="arial" w:eastAsia="arial" w:hAnsi="arial" w:cs="arial"/>
          <w:sz w:val="20"/>
          <w:lang w:val="en-US" w:eastAsia="en-US" w:bidi="ar-SA"/>
        </w:rPr>
        <w:cr/>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Petitioner is not obligated to defend the Respondent [Caroline Elwood, also known as Caroline Mundell ("Elwood")], or alternatively that the Petitioner is not obligated to pay the Respondent's costs under the Petitioner's policy of insurance No. HP8708337 with respect to the claims made against the Respondent in the Supreme Court of British Columbia, Vancouver Registry, Action No. B972731;</w:t>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Petitioner is not obligated to indemnify the Respondent under the Petitioner's policy of insurance No. HP 8708337 with respect to the claims made against the Respondent in the Supreme Court of British Columbia, Vancouver Registry, Action No. B972731;</w:t>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Respondent pay the Petitioner's costs of this proceeding, pursuant to Rules 5(22), 10(1), and 57;</w:t>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this Honourable Court stay the Third Party proceedings commenced by way of Third Party Notice filed April 3, 1998 by Caroline Elwood, an infant by her Guardians ad Litem, Hugh Elwood and Elizabeth Elwood, against Axa Pacific Insurance Company/Axa Pacifique Compagnie d'Assurance in Supreme Court of British Columbia, Vancouver Registry Action No. B972731;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Upon the petition being set for hearing, certain parties in Action No. B972731 being the plaintiff Ana Brzovic, an infant by her mother and guardian ad litem Milenka Brzovic ("Brzovic"), the defendant Elwood and the defendant Garcia all entered appearances to the petition. Thereafter, Brzovic filed a notice of motion with respect to the petition and with respect to Action B972731 and likewise Garcia also filed a notice of motion with respect to the petition herein and a notice of motion with respect of Action B972731. Thereafter, the defendant Elwood filed a notice of motion pursuant to Rule 18A. The motions by the plaintiff and the defendant Garcia in action B972731, were to be returnable April 14, 2000 as was the 18A application of Elwood.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essential elements of each of the applications of the plaintiff Brzovic and the defendant Garcia are that the hearing of the petition be heard at trial, or alternatively, with the third party proceedings in Action B972731. Also inherent in the applications by Garcia and Brzovic is that they wish to be joined as parties in the petition commenced by Axa. When this matter came on for hearing on April 14th I was advised that Axa objected to the applications of Brzovic and Garcia being heard on the same day their petition was scheduled to be heard on the basis that the petition deals with issues of contractual rights and obligations arising from a contract of insurance and that these issues are not relevant to the issues in Action No. B972731 and that Garcia and Brzovic are not parties to that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Garcia initially suggested that the insurance coverage dispute involving whether or not Axa owes the defence to Elwood in Action No. B972731 cannot be determined in the context of the petition because the court first had to determine the factual matrix involving Ms. Elwood's alleged tortious activity. Brzovic's initial position was that by virtue of s. 24 of the Insurance Act, </w:t>
      </w:r>
      <w:hyperlink r:id="rId687" w:history="1">
        <w:r>
          <w:rPr>
            <w:rFonts w:ascii="arial" w:eastAsia="arial" w:hAnsi="arial" w:cs="arial"/>
            <w:i/>
            <w:color w:val="0077CC"/>
            <w:sz w:val="20"/>
            <w:u w:val="single"/>
            <w:shd w:val="clear" w:color="auto" w:fill="FFFFFF"/>
            <w:lang w:val="en-US" w:eastAsia="en-US" w:bidi="ar-SA"/>
          </w:rPr>
          <w:t>R.S.B.C. 1996, c. 226</w:t>
        </w:r>
      </w:hyperlink>
      <w:r>
        <w:rPr>
          <w:rFonts w:ascii="arial" w:eastAsia="arial" w:hAnsi="arial" w:cs="arial"/>
          <w:color w:val="000000"/>
          <w:sz w:val="20"/>
          <w:lang w:val="en-US" w:eastAsia="en-US" w:bidi="ar-SA"/>
        </w:rPr>
        <w:t>, it ought to be given status to respond to the petitioner's position by virtue of R. 15(5) of the Rules of Court. Brzovic seeks to be heard and be added to the petition because, they say, they have an interest in whether or not the petitioner's homeowner's insurance policy (the "Axa policy") in question provides coverage to the defendant Elwood. They say the infant plaintiff Ana Brzovic has suffered catastrophic, severe and permanent injury and loss as a result of a motor vehicle accident wherein the defendant Elwood was negligent when she grabbed the steering wheel of the automobile then being driven by the defendant Garcia. Brzovic maintains that a determination of the factual matrix in which the alleged negligent activity occurred is vital to the determination as whether or not the coverage under the Axa policy applies and whether or not the defendant Elwood is entitled to indemnification and/or a defence under the policy issued by Axa.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Brzovic argues that lack of privity of contract is not a bar to its interest in the petition commenced by Axa. They rely on s. 24 of the Insurance Act and say that by virtue of that provision they have a direct right of action against the petitioner if there is coverage available to the defendant Elwood and any judgment obtained by Brzovic against Elwood is not satisfied to the extent of any unpaid amount of judgment up to the value of the Axa policy. Secondly, Brzovic relies on the decision of the Supreme Court of Canada in Fraser River Pile and Dredge Ltd. v. Can-Dive Services Ltd. </w:t>
      </w:r>
      <w:hyperlink r:id="rId688" w:history="1">
        <w:r>
          <w:rPr>
            <w:rFonts w:ascii="arial" w:eastAsia="arial" w:hAnsi="arial" w:cs="arial"/>
            <w:i/>
            <w:color w:val="0077CC"/>
            <w:sz w:val="20"/>
            <w:u w:val="single"/>
            <w:shd w:val="clear" w:color="auto" w:fill="FFFFFF"/>
            <w:lang w:val="en-US" w:eastAsia="en-US" w:bidi="ar-SA"/>
          </w:rPr>
          <w:t>(1999), 67 B.C.L.R. (3d) 213</w:t>
        </w:r>
      </w:hyperlink>
      <w:r>
        <w:rPr>
          <w:rFonts w:ascii="arial" w:eastAsia="arial" w:hAnsi="arial" w:cs="arial"/>
          <w:color w:val="000000"/>
          <w:sz w:val="20"/>
          <w:lang w:val="en-US" w:eastAsia="en-US" w:bidi="ar-SA"/>
        </w:rPr>
        <w:t>. In that judgment, the respondent Can-Dive was recognized as a third party beneficiary to the appellant's insurance policy. Brzovic argues in its application here that they too are potential third party beneficiaries pursuant to s. 24 of the Insurance Act and that the ultimate ability of Brzovic to utilize s. 24 should they succeed in the main action entitles them to be joined as parties in the petition. Brzovic relies on R. 5(8) of the Rules of Court on the basis that common claims, disputes and relationships exist between the parties and that these claims, disputes and relationships are so interwoven as to make separate trials at different times before different judges undesirable and fraught with problems and economic expense. They point to the fact that Axa is a third party in the underlying action and that third party proceedings exist in order to determine the very issues that are sought to be determined in Axa's petition presently before the court. This, says Brzovic, reveals the interwoven nature of the petition in the main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Finally, Brzovic maintains that trying the petition and the main action at the same time would avoid the possibility of inconsistent results to the prejudice of Brzovic's ability to pursue Axa as Elwood's insurer pursuant to s. 24 of the Insurance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Axa's response to the attempts of all parties other than Elwood to become involved in the petition proceeding is simply that the subject matter of the petition is the contractual rights and obligations existing between Axa and Elwood arising from a policy of insurance issued by Axa to Ms. Elwood's parents. No other persons are parties to the contract, nor do the applicants seek to be included as unnamed insureds pursuant to the terms of the contract. Axa says that the applicants have no interest which will be affected by the declaration sought in the petition and that there is no question or issue between Axa on the one hand and parties other than Elwood which is related to or connected with the relief or subject matter of the petition. As such, Axa submits that it is not proper to add parties to a petition where no relief is claimed against them and in which the relief which is claimed turns upon the construction of a contract to which none of the proposed new parties was privy. (Rivtow Straits Ltd. v. Commonwealth Insurance Co. </w:t>
      </w:r>
      <w:hyperlink r:id="rId689" w:history="1">
        <w:r>
          <w:rPr>
            <w:rFonts w:ascii="arial" w:eastAsia="arial" w:hAnsi="arial" w:cs="arial"/>
            <w:i/>
            <w:color w:val="0077CC"/>
            <w:sz w:val="20"/>
            <w:u w:val="single"/>
            <w:shd w:val="clear" w:color="auto" w:fill="FFFFFF"/>
            <w:lang w:val="en-US" w:eastAsia="en-US" w:bidi="ar-SA"/>
          </w:rPr>
          <w:t>(1990), 52 B.C.L.R. (2d) 208</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response to the reference to R. 15(5) of the Rules of Court and s. 24 of the Insurance Act, Axa maintains that for a person to be joined as a party to a proceeding that person must have a legal or equitable interest in the subject matter of the proceeding. The only possible interest which the applicants may have in the petition is a commercial interest which is not sufficient to permit the applicants to be joined as parties. (Schiffscommerz GmbH. i.L. v. "Moraca" (The) </w:t>
      </w:r>
      <w:hyperlink r:id="rId690" w:history="1">
        <w:r>
          <w:rPr>
            <w:rFonts w:ascii="arial" w:eastAsia="arial" w:hAnsi="arial" w:cs="arial"/>
            <w:i/>
            <w:color w:val="0077CC"/>
            <w:sz w:val="20"/>
            <w:u w:val="single"/>
            <w:shd w:val="clear" w:color="auto" w:fill="FFFFFF"/>
            <w:lang w:val="en-US" w:eastAsia="en-US" w:bidi="ar-SA"/>
          </w:rPr>
          <w:t>(1994), 99 B.C.L.R. (2d) 102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indicated earlier, the petitioner not only opposed the applications in principle but objected to the applications of any of Elwood, Garcia or Brzovic being heard on April 14,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the hearing I indicated that I would hear all submissions because all counsel were present and determine the issues after hearing submissions. The issues I have identified and which I propose to answer are -</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 any of the parties other than Elwood have status to enter an appearance and oppose the relief sought in the petition?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decision with respect to whether or not Axa is required to provide a defence for Elwood in Action No. B972731 more properly made in third party proceedings in that action, or, is it more properly dealt with in the petition filed by Axa in Action No. S000602?</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petitioner, Axa, obligated to defend Caroline Elwood with respect to the claims made against her in the Supreme Court of British Columbia, Vancouver Registry Action No. B972731?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A single car motor vehicle accident occurred on or about March 15, 1997, at the intersection of Kingsway and Gladstone Street, in the City of Vancouver ("the accident"). The driver of the vehicle was Lisa Anne Garcia. Caroline Elwood was a passenger in the front right seat of the vehicle and Ana Brzovic was a rear seat passenger in the vehicle. Brzovic was injured when the vehicle impacted with a lamp standard. By the amended statement of claim it is alleged that Brzovic suffered injuries including injury to her skull resulting in pathological injury to the brain with the effects of those injuries including cognitive and memory dysfunction and a permanent vegetative state. The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set out in the amended statement of claim, as against Garcia and Elwood, is contained in para. 10:</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said collision occurred when the infant Defendant, LISA ANNE GARCIA, lost control of the motor vehicle whereby it collided with a pole, and or, alternatively, the infant Defendant, LISA ANNE GARCIA, lost control of the motor vehicle, by the negligent act of the infant Defendant, CAROLINE ELWOOD in her deliberate, intentional, and careless moving or pulling or bumping of the steering wheel of the said motor vehicle, while LISA ANNE GARCIA was operating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Vancouver police department motor vehicle accident information sheet describes the accident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Single Vehicle MVA. Vehicle Westbound on Kingsway at a speed in excess of the speed limit. The Passenger in the right front seat pulled the steering wheel to the right. The driver corrected to the left and may have over-corrected, lost control, yawed towards the North curb, mounted the curb and struck a tree on the boulevard. This impact deflected the vehicle to the West, rotated clockwise and struck a lamp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amended statement of claim, with particular reference to Caroline Elwood,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13A. Particulars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infant Defendant, CAROLINE ELWOOD, are as follows: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negligently interfering with the driving of the Defendant Lisa Anne Garcia;</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distracting the Defendant, Lisa Anne Garcia from her driving;</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grabbing the steering wheel from the Defendant, Lisa Anne Garcia;</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entering a motor vehicle while she was intoxicated and when she knew, or ought to have known, from her own past history, that she would interfere with the driving of the Defendant, Lisa Anne Garcia.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is some disagreement between Elwood and Garcia concerning the factual circumstances existing immediately prior to the collision. Elwood's version of the events are described in her statement to the police dated April 4, 1997 where at p. 4 of that statement she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We were in the lane closest to the yellow line and I would estimate that we were travelling about 80 Kph. One of the people in the car noticed Flavio's car pulling back onto the street. I think it was Liza, but I didn't see the car myself. I was focusing on the car in front of us. Liza started to change lanes to the right. When we were only part way into the next lane, I saw a car in the lane and I saw the tail lights were bright like the brakes were on. I thought we were going to hit the back of the car so I reached over and grabbed the steering wheel and pushed it to the left to put the car back into the lane we were coming from. I remember screaming at Liza and asking her what she was doing as I grabbed the wheel. I couldn't move the wheel much because she had hold of it and she yelled at me. The last thing I remember is pushing the steering wheel and it feeling like it was locked.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Elwood was examined for discovery and provided the following answers to the questions of the discoverer: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642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from your perspective, you grabbed the wheel because you thought what?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we were going to hit the back of another car.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643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where was this car when you first saw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I first saw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644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 in the lane beside us.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645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Which would be the middle lane?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Or the curb lane. Whichever - because I'm not sure if we were in - which lane we were in. We weren't in the curb lane. There was a lane beside us. Whether there's a lane on the other side, I'm not a hundred percent positive.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646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car - it was slightly in front of us in the lane beside us on the passenger's side.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647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the lane to your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was a lane beside us. Whether there's a lane on the other side, I'm not a hundred percent positive.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653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just what you did?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654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take it there wasn't much time for reflection on there [sic]? It was pretty instantaneous, would that be a fair way of putting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yeah - well, yeah, I didn't have time to - like there wasn't enough time for me to say anything - I don't know. I don't - it was really fast. I don't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By contrast, Garcia did not acknowledge the presence of another vehicle and the possibility of imminent collision. She too was examined for discovery. She maintained that Elwood grabbed the steering wheel and turned it to the right for no reason. She indicated she was going straight when Elwood pulled the steering wheel to the right resulting in her pulling it to the left to get back into her lane and then steering again to the right when the accident happened. She adopted various parts of a statement that she had given to the Vancouver City Police including a response given in her statement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[Elwood] was just fooling around.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INSURANCE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parents of Caroline Elwood, Hugh and Elizabeth Elwood, were insured under a homeowner's policy of personal insurance issued by Axa. That policy was in effect from February 4, 1997 to February 3, 1998 and thus included the date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is common ground and rightfully conceded by Axa that at the time of the accident Caroline Elwood's parents were insured under the homeowner's policy of personal insurance issued by Axa and that Caroline Elwood, as a minor at the time, was an insured within the provisions of that policy and that her coverage extended for legal liability in certain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policy under Coverage E - Legal Liability,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COVERAGE E - Legal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will pay all sums which you become legally liable to pay as compensatory damages because of bodily injury or property damage.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are insured for claims made against you arising from:</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Personal Liability - legal liability arising out of your personal actions anywhere in the world.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You are not insured for claims made against you arising from:</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ownership, use or operation of any motorized vehicle, trailer or watercraft, except those for which coverage is shown in this form;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Section 2 of Coverage E contains the following defence clause, at p.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Defence, Settlement, Supplementary Payments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will defend you against any suit which makes claims against you for which you are insured under COVERAGE E and which alleges bodily injury or property damage and seeks compensatory damages, even if it is groundless, false or fraudulent. We reserve the right to investigate, negotiate and settle any claim or suit if we decide this appropriate.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to the limit of insurance under COVERAGE E, we will pay:</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expenses which we incur;</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costs charged against you in any suit insured under COVERAGE E;</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interest accruing after judgment on that part of the judgment which is within the amount of insurance of COVERAGE E;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Caroline Elwood has signed and delivered a proof of loss to Axa in the required format. Axa has refused to provide a defence or agree to indemnify Caroline Elwood on the basis of the exclusion clause found under COVERAGE E - Legal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 OF ISSUES</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 any of the parties other than Elwood have status to enter an appearance and oppose the relief sought in the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 have determined that neither the plaintiff Brzovic nor the defendant Garcia have any status or standing to enter appearances to the petition or to make submissions respecting the relief sought in the petition. The petition itself involves the question of what contractual rights and obligations exist between Axa and Elwood as a named insured arising from the policy of insurance issued by Axa to Hugh and Elizabeth Elwood. More specifically, the petition seeks to have resolved, by this court, the question of whether Axa has a duty to provide a defence to Caroline Elwood in the underlying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brought by Brzovic against inter alia Garcia and Elwood. They are not parties to the policy of insurance and thus have no legal or equitable interest in the outcome of the coverage issue which is sought to be answered by the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appearances filed by Brzovic and by Garcia are nullities. A person who is not named as a party in a petition cannot add himself or herself as a party to the proceeding merely by filing an appearance. (Skrastins v. Kelowna (City) (1992), 5 C.P.C. (3d) 225 (B.C.S.C.).) Similarly, I find that Brzovic and Garcia should not be added as parties pursuant to R. 15(5)(a) of the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subject matter of the petition is the contractual rights and obligations existing between Axa and Caroline Elwood arising from the policy of insurance in existence between Axa and her parents. Neither Brzovic nor Garcia are parties to this contract. Essentially, Garcia and Brzovic have no "interest" which would be affected by the declarations sought in the petition being granted by the court. There is simply no question or issue between Axa on the one hand and Brzovic and/or Garcia on the other hand which is related to or connected with the relief or subject matter of the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relief claimed in the petition turns upon the construction of a contract to which none of the proposed new parties was privy. A similar conclusion was reached in Rivtow Straits Ltd. v. Commonwealth Insurance Co., supra, where a chambers judge made an order adding three insurance companies as respondents to a petition. The petition had been issued by Rivtow against its insurer Canadian Indemnity. The petition sought declaratory relief respecting the construction of a policy of insurance between Rivtow and Canadian Indemnity. In setting aside the order adding the other insurers as respondents the court said, at p. 209: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order ought not to have been made. It was not a proper exercise of discretion to add parties to an originating instrument wherein no relief was claimed against them and in which the relief which was claimed turned upon construction of a contract to which none of the added parties was privy.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For a person to be joined as a party to a proceeding, that person must have a legal or equitable interest in the subject matter of the proceeding. A commercial interest is not sufficient to permit a person to be joined as a party. In Schiffscommerz GmbH. i.L. v. "Moraca" (The), supra, the plaintiff held a mortgage against the ship The Moraca and brought an action in British Columbia seeking to have the ship sold and monies applied to the mortgage. In a separate proceeding before the Federal Court of Canada, Maruba, who had chartered the Moraca from its owners, commenced an action for damages alleging that the charter agreement had been breached. Maruba then sought to be added as a party to the B.C. action. On the question of whether Maruba could be added under R. 15(5), Madam Justice Southin agreed with the chambers judge when he wrote (at p. 104):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Maruba has no ownership interest in the vessel. It is not secured as against the vessel in any sense. It is not a party to the mortgage contract between the plaintiff and the vessel owners. It is not a judgment holder. It has no claim in debt and its only interest is a possible future interest that might arise from an arbitration award.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find the necessary nexus required under R. 15(5)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Further, on the question of whether Maruba could intervene in the B.C. action, Madam Justice Southin wrote, at p. 108: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to intervention, I am of the opinion that such ought not to be permitted when the would-be intervenor seeks to advance a purely private commercial interest in circumstances where the Rules of Court do not enable him to be added as a party. To permit such an intervention would be to subvert the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 similar result was achieved in British Columbia Development Corp. v. Spun Cast Industries Ltd., </w:t>
      </w:r>
      <w:hyperlink r:id="rId691" w:history="1">
        <w:r>
          <w:rPr>
            <w:rFonts w:ascii="arial" w:eastAsia="arial" w:hAnsi="arial" w:cs="arial"/>
            <w:i/>
            <w:color w:val="0077CC"/>
            <w:sz w:val="20"/>
            <w:u w:val="single"/>
            <w:shd w:val="clear" w:color="auto" w:fill="FFFFFF"/>
            <w:lang w:val="en-US" w:eastAsia="en-US" w:bidi="ar-SA"/>
          </w:rPr>
          <w:t>[1977] B.C.J. No. 54</w:t>
        </w:r>
      </w:hyperlink>
      <w:r>
        <w:rPr>
          <w:rFonts w:ascii="arial" w:eastAsia="arial" w:hAnsi="arial" w:cs="arial"/>
          <w:color w:val="000000"/>
          <w:sz w:val="20"/>
          <w:lang w:val="en-US" w:eastAsia="en-US" w:bidi="ar-SA"/>
        </w:rPr>
        <w:t xml:space="preserve"> (B.C.S.C.) where the court refused to add the Shaw group of companies as a party because it had only a commercial interest in the action. That case involved a motion by the receiver to approve the sale of an asset of the defendant company. Shaw sought to be added as a party pursuant to R. 15(5) because it had made an offer on the asset and wanted to delay the sale in order to have time to perfect its own offer. At para. 3, the court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Shaw group of companies has no legal interest in the litigation at bar. It has a commercial interest, but that is not, in my view, sufficient to bring it within the rule. . . . No order made in this action will result in any legal liability being imposed on the Shaw group, and no claim can be made against them on the strength of any such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 have concluded generally with respect to Brzovic and Garcia that all they have is an interest in the outcome of the petition filed by Axa. That interest is not a factor that the court should take into consideration. I conclude that the only interest which Ms. Brzovic has in the outcome of the petition is a financial interest, that interest being to ensure that Caroline Elwood does have insurance coverage in the event that Ms. Elwood is subsequently held liable for damages following the trial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against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do not accept that s. 24 of the Insurance Act provides any interest in the relief sought in the petition. Section 24 of the Insurance Act provides:</w:t>
      </w:r>
      <w:r>
        <w:rPr>
          <w:rFonts w:ascii="arial" w:eastAsia="arial" w:hAnsi="arial" w:cs="arial"/>
          <w:sz w:val="20"/>
          <w:lang w:val="en-US" w:eastAsia="en-US" w:bidi="ar-SA"/>
        </w:rPr>
        <w:cr/>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judgment has been granted against a person in respect of a liability against which the person is insured and the judgment has not been satisfied, the judgment creditor may recover by action against the insurer the lesser of</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unpaid amount of the judgment, and</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that the insurer would have been liable under the policy to pay to the insured had the insured satisfied the judgment.</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of a judgment creditor against an insurer under subsection (1) is subject to the same equities as would apply in favour of the insurer had the judgment been satisfied by the insured.</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section does not apply in the case of a contract of automobile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a plain reading of this section of the Insurance Act it does not create for Ms. Brzovic a legal or equitable interest in the outcome of the petition. Section 24 does not give a direct right of action against the petitioner, at best it only creates a possible financial interest which may arise in the future if certain events occur, namely -</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a trial, Ms. Elwood is held liable for Ms. Brzovic injuries and a judgment is entered against her;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Elwood is held to have coverage for indemnity from Axa Pacific;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Axa Pacific has refused to satisfy the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Fraser River Pile and Dredge Ltd. v. Can-Dive Services Ltd., supra, the respondent Can-Dive was recognized as a third party beneficiary to the appellant's insurance policy. But that, with respect, is not equivalent to a contingent right which may arise in the future only if certain events occur as set out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Similar considerations apply to Ms. Garcia. She too only has a financial interest. She was the driver of the vehicle involved in the accident. She is being defended by counsel appointed by her automobile insurer and her interest in the outcome of the coverage issue between Axa and Caroline Elwood is simply to ensure the coverage for indemnity is afforded to Caroline Elwood so that there is another potential source of money to share in satisfying any judgment which Ms. Brzovic may obtain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As a result, I find that there is no status accruing either to Garcia or Brzovic to appear or make submissions at the hearing of the petition of Axa.</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decision with respect to whether or not Axa is required to provide a defence for Elwood in Action No. B972731 more properly made in third party proceedings in that action, or, is it more properly dealt with in the petition filed by Axa in Action No. S000602?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For the following reasons I have concluded that the proper forum for determining the duty to defend as between Axa and Ms. Elwood is within the petition commenced by Axa and not within the third party proceedings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Bliefernich v. Freeman </w:t>
      </w:r>
      <w:hyperlink r:id="rId692" w:history="1">
        <w:r>
          <w:rPr>
            <w:rFonts w:ascii="arial" w:eastAsia="arial" w:hAnsi="arial" w:cs="arial"/>
            <w:i/>
            <w:color w:val="0077CC"/>
            <w:sz w:val="20"/>
            <w:u w:val="single"/>
            <w:shd w:val="clear" w:color="auto" w:fill="FFFFFF"/>
            <w:lang w:val="en-US" w:eastAsia="en-US" w:bidi="ar-SA"/>
          </w:rPr>
          <w:t>(1989), 38 B.C.L.R. (2d) 128</w:t>
        </w:r>
      </w:hyperlink>
      <w:r>
        <w:rPr>
          <w:rFonts w:ascii="arial" w:eastAsia="arial" w:hAnsi="arial" w:cs="arial"/>
          <w:color w:val="000000"/>
          <w:sz w:val="20"/>
          <w:lang w:val="en-US" w:eastAsia="en-US" w:bidi="ar-SA"/>
        </w:rPr>
        <w:t xml:space="preserve"> (B.C.C.A.), the plaintiff Bliefernich sought damages arising from a motorcycle accident. Bliefernich had been riding as a passenger on a motorcycle driven by Freeman. Bliefernich commenced an action against Freeman and I.C.B.C. added itself as third party to the action on the basis that Freeman had been impaired by alcohol, was unlicenced and was thus uninsured at the time of the accident. At trial, after apportioning liability between Freeman and the plaintiff, the trial judge, at the request of the parties, went on to address the issue of the uninsured motorist claim under s. 20 of the Insurance (Motor Vehicle) Act. On appeal, Madam Justice Southin held that the issue of insurance coverage should not be dealt with in the underlying action for damages but rather should be dealt with in a separate proceeding. Her Ladyship determined that the issue of liability and the issue of insurance coverage under s. 20 were two distinct causes of action. At p. 130, Madam Justice Southin noted that this was "legally impermissible". At p. 138, her Ladyship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of course, open to an alleged tortfeasor to claim indemnity from the insurer by bringing third party proceedings against the insurer under R. 22(1):</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it is not, under this rule, or any other rule or statute, open to the insurer to have coverage issues determined in the victim's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parties to this action had kept all this firmly in mind, this action would not be in the muddle it is now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 similar conclusion was reached in East Kootenay Realty Ltd. v. Gestas Inc. </w:t>
      </w:r>
      <w:hyperlink r:id="rId693" w:history="1">
        <w:r>
          <w:rPr>
            <w:rFonts w:ascii="arial" w:eastAsia="arial" w:hAnsi="arial" w:cs="arial"/>
            <w:i/>
            <w:color w:val="0077CC"/>
            <w:sz w:val="20"/>
            <w:u w:val="single"/>
            <w:shd w:val="clear" w:color="auto" w:fill="FFFFFF"/>
            <w:lang w:val="en-US" w:eastAsia="en-US" w:bidi="ar-SA"/>
          </w:rPr>
          <w:t>(1986), 21 C.C.L.I. 230</w:t>
        </w:r>
      </w:hyperlink>
      <w:r>
        <w:rPr>
          <w:rFonts w:ascii="arial" w:eastAsia="arial" w:hAnsi="arial" w:cs="arial"/>
          <w:color w:val="000000"/>
          <w:sz w:val="20"/>
          <w:lang w:val="en-US" w:eastAsia="en-US" w:bidi="ar-SA"/>
        </w:rPr>
        <w:t xml:space="preserve"> (B.C.S.C.), where Bouck J., suggested that in circumstances involving a determination of the insurer's duty to defend, a petition is the proper procedure. At p. 240 Justice Bouck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great utility from the standpoint of the petitioner to launch a petition rather than commence the claim by way of a writ of summons. If the latter course were taken, then the question as to whether the respondent is required to defend the action would probably come on for hearing at or about the same time as the claim by the customer against the petitioner. In the interval, the petitioner would have to pay the cost and expense of defending the customer's action in the hope it could eventually recover these from the respondent.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Some twelve years later, in Kirkpatrick v. Budget Rent-A-Car of Victoria Ltd. </w:t>
      </w:r>
      <w:hyperlink r:id="rId694" w:history="1">
        <w:r>
          <w:rPr>
            <w:rFonts w:ascii="arial" w:eastAsia="arial" w:hAnsi="arial" w:cs="arial"/>
            <w:i/>
            <w:color w:val="0077CC"/>
            <w:sz w:val="20"/>
            <w:u w:val="single"/>
            <w:shd w:val="clear" w:color="auto" w:fill="FFFFFF"/>
            <w:lang w:val="en-US" w:eastAsia="en-US" w:bidi="ar-SA"/>
          </w:rPr>
          <w:t>(1998), 4 C.C.L.I. (3d) 121</w:t>
        </w:r>
      </w:hyperlink>
      <w:r>
        <w:rPr>
          <w:rFonts w:ascii="arial" w:eastAsia="arial" w:hAnsi="arial" w:cs="arial"/>
          <w:color w:val="000000"/>
          <w:sz w:val="20"/>
          <w:lang w:val="en-US" w:eastAsia="en-US" w:bidi="ar-SA"/>
        </w:rPr>
        <w:t xml:space="preserve"> (B.C.S.C.), Justice Bouck had to contend with an 18A Application brought within the context of third party proceedings wherein Budget, as defendant, brought a R. 18A application against I.C.B.C. as a third party. Although his Lordship was then dealing with a R. 33 stated case application respecting I.C.B.C.'s duty to defend, Mr. Justice Bouck wrote, at p. 129: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Budget then filed and served a Third Party Notice on ICBC under Rule 22 claiming indemnity from ICBC as its insurer. Later, Budget, as a defendant, brought a Rule 18A application against ICBC as a third party. It asked for a declaration that ICBC be compelled to defend Budget in the Kirkpatrick action. I dismissed Budget's application for the reasons stated in my judgment of 18 March 1998. Rule 18A only applies to proceedings brought in an action commenced by a writ of summons. Budget could not invoke Rule 18A because it commenced its proceedings against ICBC by way of a third party notice, not by a writ of summons.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 am mindful of the decision of our court in Wear v. Robertson </w:t>
      </w:r>
      <w:hyperlink r:id="rId695" w:history="1">
        <w:r>
          <w:rPr>
            <w:rFonts w:ascii="arial" w:eastAsia="arial" w:hAnsi="arial" w:cs="arial"/>
            <w:i/>
            <w:color w:val="0077CC"/>
            <w:sz w:val="20"/>
            <w:u w:val="single"/>
            <w:shd w:val="clear" w:color="auto" w:fill="FFFFFF"/>
            <w:lang w:val="en-US" w:eastAsia="en-US" w:bidi="ar-SA"/>
          </w:rPr>
          <w:t>(1996), 27 B.C.L.R. (3d) 192</w:t>
        </w:r>
      </w:hyperlink>
      <w:r>
        <w:rPr>
          <w:rFonts w:ascii="arial" w:eastAsia="arial" w:hAnsi="arial" w:cs="arial"/>
          <w:color w:val="000000"/>
          <w:sz w:val="20"/>
          <w:lang w:val="en-US" w:eastAsia="en-US" w:bidi="ar-SA"/>
        </w:rPr>
        <w:t xml:space="preserve"> (B.C.S.C.), in which Madam Justice Downs allowed an application by a defendant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against its third party insurer relative to the order sought that the defendant have exclusive right to select and instruct counsel of his choice. I note however that neither Bliefernich, East Kootenay Realty or Kirkpatrick appear to have been cited to her Ladyship and obviously no objection was made by the defendant insurer to the appropriateness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being used as the forum for constructing the contract of insurance. I do not feel obligated to follow the decision in Wear.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Because I find that the issue of Axa's obligation to defend Ms. Elwood has properly been brought within the context of the petition, it is both inappropriate and unnecessary for Ms. Elwood to seek to amend her third party notice to include a claim that she is owed a defence by Axa Pacific. Likewise, it is also inappropriate and unnecessary for Ms. Elwood to have filed her 18A application within the context of the third party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note in passing that Ms. Elwood seeks judgment for both defence and indemnity. The question of the defence will be answered in examining the last remaining issue. The question of her entitlement to indemnity as raised in her 18A application of course cannot be dealt with at this time and could only be determined at the conclusion of the underlying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Nichols v. American Home Assurance Co., </w:t>
      </w:r>
      <w:hyperlink r:id="rId525" w:history="1">
        <w:r>
          <w:rPr>
            <w:rFonts w:ascii="arial" w:eastAsia="arial" w:hAnsi="arial" w:cs="arial"/>
            <w:i/>
            <w:color w:val="0077CC"/>
            <w:sz w:val="20"/>
            <w:u w:val="single"/>
            <w:shd w:val="clear" w:color="auto" w:fill="FFFFFF"/>
            <w:lang w:val="en-US" w:eastAsia="en-US" w:bidi="ar-SA"/>
          </w:rPr>
          <w:t>[1990] 1 S.C.R. 801</w:t>
        </w:r>
      </w:hyperlink>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68 D.L.R. (4th) 321</w:t>
        </w:r>
      </w:hyperlink>
      <w:r>
        <w:rPr>
          <w:rFonts w:ascii="arial" w:eastAsia="arial" w:hAnsi="arial" w:cs="arial"/>
          <w:color w:val="000000"/>
          <w:sz w:val="20"/>
          <w:lang w:val="en-US" w:eastAsia="en-US" w:bidi="ar-SA"/>
        </w:rPr>
        <w:t>, at p. 325, Madam Justice McLachlin (as she then was)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the duty to defend arises where the claim alleges acts or omissions falling within the policy coverage, while the duty to indemnify arises only where such allegations are proven at trial. But it does not follow that the duty to defend is so broad that it arises with respect to allegations which are clearly beyond the scope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the end result, I have concluded that the petition is the proper forum for determining the issue of the obligation of Axa to defend Elwood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As such, the motions and various orders sought by the respondent Elwood in this proceeding and in Action No. B972731 must, of necessity, be dismissed.</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petitioner, Axa, obligated to defend Caroline Elwood with respect to the claims made against her in the Supreme Court of British Columbia, Vancouver Registry Action No. B972731?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above question, given the concession by Axa that Caroline Elwood is an insured within the meaning of the policy, requires an analysis of whether or not the claims made against her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are excluded from coverage by virtue of policy exclusion 1(a) set out in S. 2, Coverage E, because the claims against her arise from the use or operation of any motorized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An insurer's duty to defend is governed by the pleadings. An insurer will only be required to defend its insured against those claims, which if proven, would fall within the coverage of the policy. If the claims, if proven, would clearly fall within a policy exclusion, then the insurer does not owe a defence to the insured. This principle was set out by McEachern J. (as he then was) in Bacon v. McBride </w:t>
      </w:r>
      <w:hyperlink r:id="rId696" w:history="1">
        <w:r>
          <w:rPr>
            <w:rFonts w:ascii="arial" w:eastAsia="arial" w:hAnsi="arial" w:cs="arial"/>
            <w:i/>
            <w:color w:val="0077CC"/>
            <w:sz w:val="20"/>
            <w:u w:val="single"/>
            <w:shd w:val="clear" w:color="auto" w:fill="FFFFFF"/>
            <w:lang w:val="en-US" w:eastAsia="en-US" w:bidi="ar-SA"/>
          </w:rPr>
          <w:t>(1984), 51 B.C.L.R. 228</w:t>
        </w:r>
      </w:hyperlink>
      <w:r>
        <w:rPr>
          <w:rFonts w:ascii="arial" w:eastAsia="arial" w:hAnsi="arial" w:cs="arial"/>
          <w:color w:val="000000"/>
          <w:sz w:val="20"/>
          <w:lang w:val="en-US" w:eastAsia="en-US" w:bidi="ar-SA"/>
        </w:rPr>
        <w:t xml:space="preserve"> (B.C.S.C.) where at p. 232 His Lordship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pleadings govern the duty to defend - not the insurer's view of the validity or nature of the claim or of the possible outcome of the litigation. If the claim alleges a state of facts which, if proven, would fall within the coverage of the policy the insurer is obliged to defend the suit regardless of the truth or falsity of such allegations. If the allegations do not come within the policy coverage the insurer has no such obligation . . . In this respect the duty to defend may well be broader than the insurer's obligation to indemnify the insured for liability imposed by law. The insurer's obligation to defend arises when notice of the claim is received and continues as long as it is outstanding even though the insurer may consider the allegation to be groundless.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This test was confirmed by the New Brunswick Court of Appeal in Opron Maritimes Construction Ltd. v. Canadian Indemnity Co. </w:t>
      </w:r>
      <w:hyperlink r:id="rId697" w:history="1">
        <w:r>
          <w:rPr>
            <w:rFonts w:ascii="arial" w:eastAsia="arial" w:hAnsi="arial" w:cs="arial"/>
            <w:i/>
            <w:color w:val="0077CC"/>
            <w:sz w:val="20"/>
            <w:u w:val="single"/>
            <w:shd w:val="clear" w:color="auto" w:fill="FFFFFF"/>
            <w:lang w:val="en-US" w:eastAsia="en-US" w:bidi="ar-SA"/>
          </w:rPr>
          <w:t>(1986), 19 C.C.L.I. 168</w:t>
        </w:r>
      </w:hyperlink>
      <w:r>
        <w:rPr>
          <w:rFonts w:ascii="arial" w:eastAsia="arial" w:hAnsi="arial" w:cs="arial"/>
          <w:color w:val="000000"/>
          <w:sz w:val="20"/>
          <w:lang w:val="en-US" w:eastAsia="en-US" w:bidi="ar-SA"/>
        </w:rPr>
        <w:t xml:space="preserve"> (N.B.C.A.) and by the Supreme Court of Canada in Nichols v. American Home Assurance Co., supra, where at pages 325 and 327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The duty to defend arises where the claim alleges acts or omissions falling within the policy coverage, while the duty to indemnify arises only where such allegations are proven at trial. But it does not follow that the duty to defend is so broad that it arises with respect to allegations which are clearly beyond the scope of the policy.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general principles relating to the construction of insurance contracts support the conclusion that the duty to defend arises only where the pleadings raise claims which would be payable under the agreement to indemnify in the insurance contract. Courts have frequently stated that "[t]he pleadings govern the duty to defend": Bacon v. McBride . . . Where it is clear from the pleadings that the suit falls outside the coverage of the policy by reasons of an exclusion cause, the duty to defend has been held not to arise: Opron Maritimes Construction Ltd. v. Canadian Indemnity Co.,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same time, it is not necessary to prove that the obligation to indemnity will in fact arise in order to trigger the duty to defend. The mere possibility that a claim within the policy may succeed suffices. In this sense, as noted earlier, the duty to defend is broader than the duty to indemnify.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relation to the "pleadings test" as set out in Nichols, supra, concern has been expressed by some courts that the insured, in seeking coverage under a policy of insurance, is at the mercy of the individual who drafted the pleadings. As a result the so-called "underlying facts exception" has been developed as a means to allow the court to look beyond the pleadings and consider additional evidence when deciding the issue of whether a defence is owed to an insured under the terms of the policy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A review of the Vancouver Police Department's motor vehicle accident information sheet (para.13), the signed statement provided by Caroline Elwood on April 4, 1997 (para.14) and the answers given by Ms. Elwood at her discover (para.15) confirm that the material facts pled by the plaintiff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are true, namely that while riding as a passenger in the Garcia vehicle Ms. Elwood intentionally grabbed the steering wheel in an effort to alter the path of the Garcia vehicle. While there may be, as pointed out in the material filed by the respondent and by the plaintiff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some conflict in the evidence of Garcia and Elwood as to why the grabbing took place, the fact remains that the insured has herself repeatedly stated that the grabbing of the steering wheel by her was an attempt by her to alter the path of the Garcia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 have previously set forth the relevant policy provisions in para. 19. In addition, I have set out paras. 10 and 13A of the amended statement of claim which refer to the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specified against Ms. Elwood in the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INTERPRETATION OF THE PHRASE "ARISING FROM THE USE OR OPERATION" AS USED IN SECTION 2 OF THE AXA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Amos v. Insurance Corp. of British Columbia </w:t>
      </w:r>
      <w:hyperlink r:id="rId698" w:history="1">
        <w:r>
          <w:rPr>
            <w:rFonts w:ascii="arial" w:eastAsia="arial" w:hAnsi="arial" w:cs="arial"/>
            <w:i/>
            <w:color w:val="0077CC"/>
            <w:sz w:val="20"/>
            <w:u w:val="single"/>
            <w:shd w:val="clear" w:color="auto" w:fill="FFFFFF"/>
            <w:lang w:val="en-US" w:eastAsia="en-US" w:bidi="ar-SA"/>
          </w:rPr>
          <w:t>(1995), 10 B.C.L.R. (3d) 1</w:t>
        </w:r>
      </w:hyperlink>
      <w:r>
        <w:rPr>
          <w:rFonts w:ascii="arial" w:eastAsia="arial" w:hAnsi="arial" w:cs="arial"/>
          <w:color w:val="000000"/>
          <w:sz w:val="20"/>
          <w:lang w:val="en-US" w:eastAsia="en-US" w:bidi="ar-SA"/>
        </w:rPr>
        <w:t>, the Supreme Court of Canada examined the language of s. 79(1) of the Insurance (Motor Vehicle) Act and established a two-part test to be applied in determining whether an injury "arises out of the ownership, use or operation of a vehicle". The relevant provision of the Insurance (Motor Vehicle) Act, Revised Regulations(1984) reads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79.1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 . The corporation shall pay benefits to an insured in respect of death or injury caused by an accident that arises out of the ownership, use or operation of a vehicle . .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Amos a gentleman driving in California was shot and injured by one of a group of assailants attempting to gain entry to his vehicle. The plaintiff sought Part VII "no fault" benefits for his injuries. The Supreme Court of Canada was asked to determine whether Mr. Amos' injury arose out of the ownership, use or operation of a vehicle as is required for coverage under Part VII. The court established a two-part test to be applied in determining whether an injury arises out of the ownership, use or operation of a vehicle. Major J. said at para. 17, p.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two-part test to be applied in interpreting this section is:</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accident result from the ordinary and well known activities to which automobiles are put?</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some nexus or cause or relationship (not necessarily a direct or proximate cause or relationship) between the appellant's injuries and the ownership, use or operation of his vehicle, or is the connection between the injuries and the ownership, use or operation of the vehicle merely incidental or fortuitous?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two-part test summarizes the case law interpreting the phrase "arising out of the ownership, use or operation of a vehicle", and encompasses both the "purpose" and "causation" tests posited in the jurisprudence.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At p. 10 of Amos, the court indicated that the words "arising from" must be given a broad meaning and interpreted in a liberal manner. The court held that the phrase "arising out of" is broader than the phrase "caused by", and that it means "incident to" or "having connection with" the use of the automobile. The court, in reviewing the history of s. 79(1) concluded that relative to public/monopoly systems of insurance, prior jurisprudence concerning whether an injury arises out of the ownership, use or operation of a vehicle was useful in interpreting the provisions of s. 79(1) of the regulation.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At p. 11, Major J. also noted that with respect to the phrase "arising out of the use or operation" it is the injury which must arise out of the use or operation of the vehicle. His Lordship thereafter referred to the decision of the High Court of Australia in Dickinson v. Motor Vehicle Insurance Trust (1987), 61 A.L.J.R. 553, and then went on to include the following in his reasons for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court reasoned that under the "wide formula", as expressed by the wording "arising out of", it is the injury which must be caused by or arise out of the use of the motor vehicle.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fault in the use or operation of a motor vehicle does not need to be the cause of the injury. The liability for the injury may arise from a tortious act other than the negligent use of a motor vehicle. This is an important distinction.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the pre Amos decision of Shelton v. Insurance Corp. of British Columbia </w:t>
      </w:r>
      <w:hyperlink r:id="rId699" w:history="1">
        <w:r>
          <w:rPr>
            <w:rFonts w:ascii="arial" w:eastAsia="arial" w:hAnsi="arial" w:cs="arial"/>
            <w:i/>
            <w:color w:val="0077CC"/>
            <w:sz w:val="20"/>
            <w:u w:val="single"/>
            <w:shd w:val="clear" w:color="auto" w:fill="FFFFFF"/>
            <w:lang w:val="en-US" w:eastAsia="en-US" w:bidi="ar-SA"/>
          </w:rPr>
          <w:t>(1993), 103 D.L.R. (4th) 283</w:t>
        </w:r>
      </w:hyperlink>
      <w:r>
        <w:rPr>
          <w:rFonts w:ascii="arial" w:eastAsia="arial" w:hAnsi="arial" w:cs="arial"/>
          <w:color w:val="000000"/>
          <w:sz w:val="20"/>
          <w:lang w:val="en-US" w:eastAsia="en-US" w:bidi="ar-SA"/>
        </w:rPr>
        <w:t xml:space="preserve"> (B.C.C.A.), the issue was whether the automobile exclusion in a homeowner's policy excluded coverage for liability arising out of a fire which was caused by the insured while draining gasoline from the fuel tank of his motorcycle in the basement of the insured premises. After reviewing the relevant exclusion clause which was identical in its terms of exclusion 1(a) of the policy in question, Mr. Justice Taylor concluded, at p. 286: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"Use" in the context of the last clause, has to mean something more than "operation" of the vehicle; "use" plainly is not restricted to using the machine as an operating motor 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contract of insurance under analysis of course is a private policy of insurance and is subject to unique rules of interpretation. These rules were identified by McLachlin J. (as she then was) in Reid Crowther &amp; Partners Ltd. v. Simcoe &amp; Erie General Insurance Co., </w:t>
      </w:r>
      <w:hyperlink r:id="rId524" w:history="1">
        <w:r>
          <w:rPr>
            <w:rFonts w:ascii="arial" w:eastAsia="arial" w:hAnsi="arial" w:cs="arial"/>
            <w:i/>
            <w:color w:val="0077CC"/>
            <w:sz w:val="20"/>
            <w:u w:val="single"/>
            <w:shd w:val="clear" w:color="auto" w:fill="FFFFFF"/>
            <w:lang w:val="en-US" w:eastAsia="en-US" w:bidi="ar-SA"/>
          </w:rPr>
          <w:t>[1993] 1 S.C.R. 252</w:t>
        </w:r>
      </w:hyperlink>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13 C.C.L.I. (2d) 161</w:t>
        </w:r>
      </w:hyperlink>
      <w:r>
        <w:rPr>
          <w:rFonts w:ascii="arial" w:eastAsia="arial" w:hAnsi="arial" w:cs="arial"/>
          <w:color w:val="000000"/>
          <w:sz w:val="20"/>
          <w:lang w:val="en-US" w:eastAsia="en-US" w:bidi="ar-SA"/>
        </w:rPr>
        <w:t xml:space="preserve"> at 176:</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 proferentem rule;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the principle that coverage provisions should be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construed broadly and exclusion clauses narrowly; and</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desirability, at least where the policy is ambiguous, of giving effect to the reasonable expectations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Although Amos, supra, dealt with a question of statutory interpretation, the meaning given to the words "arising out of the use or operation of a vehicle" by the Supreme Court of Canada applies equally to the interpretation of those words found in a private insurance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Chan v. I.C.B.C. </w:t>
      </w:r>
      <w:hyperlink r:id="rId700" w:history="1">
        <w:r>
          <w:rPr>
            <w:rFonts w:ascii="arial" w:eastAsia="arial" w:hAnsi="arial" w:cs="arial"/>
            <w:i/>
            <w:color w:val="0077CC"/>
            <w:sz w:val="20"/>
            <w:u w:val="single"/>
            <w:shd w:val="clear" w:color="auto" w:fill="FFFFFF"/>
            <w:lang w:val="en-US" w:eastAsia="en-US" w:bidi="ar-SA"/>
          </w:rPr>
          <w:t>(1996), 33 C.C.L.I. (2d) 226</w:t>
        </w:r>
      </w:hyperlink>
      <w:r>
        <w:rPr>
          <w:rFonts w:ascii="arial" w:eastAsia="arial" w:hAnsi="arial" w:cs="arial"/>
          <w:color w:val="000000"/>
          <w:sz w:val="20"/>
          <w:lang w:val="en-US" w:eastAsia="en-US" w:bidi="ar-SA"/>
        </w:rPr>
        <w:t xml:space="preserve"> (B.C.C.A.), Mr. Justice Finch wrote at p. 234: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However, on the fundamental question of the meaning to be given to the words "arising out of the use or operation", I take the Court's pronouncement to be of general application.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Strickland v. Miller </w:t>
      </w:r>
      <w:hyperlink r:id="rId701" w:history="1">
        <w:r>
          <w:rPr>
            <w:rFonts w:ascii="arial" w:eastAsia="arial" w:hAnsi="arial" w:cs="arial"/>
            <w:i/>
            <w:color w:val="0077CC"/>
            <w:sz w:val="20"/>
            <w:u w:val="single"/>
            <w:shd w:val="clear" w:color="auto" w:fill="FFFFFF"/>
            <w:lang w:val="en-US" w:eastAsia="en-US" w:bidi="ar-SA"/>
          </w:rPr>
          <w:t>(1998), 8 C.C.L.I. (3d) 262</w:t>
        </w:r>
      </w:hyperlink>
      <w:r>
        <w:rPr>
          <w:rFonts w:ascii="arial" w:eastAsia="arial" w:hAnsi="arial" w:cs="arial"/>
          <w:color w:val="000000"/>
          <w:sz w:val="20"/>
          <w:lang w:val="en-US" w:eastAsia="en-US" w:bidi="ar-SA"/>
        </w:rPr>
        <w:t xml:space="preserve"> (Ont. Gen. Div.), the court had occasion to apply the two-part test in Amos to a private insurance policy. In that case the father had installed tires on his daughter's car. A tire came off the car and caused an accident to occur. The plaintiff brought action against the daughter and the daughter's automobile insurer caused third party proceedings to be initiated against the father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father then applied for a declaration that his insurer was obligated to defend the third party claim pursuant to his homeowner's insurance policy. His homeowner's policy contained the following exclusion clause: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are not insured for claims made against you arising from:</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ownership, use or operation of any motorized vehicle, trailer or watercraft, except those for which coverage is shown in this form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After analyzing "use and operation" and "arising out of" and the chain of causation test discussed in Amos, supra, the court concluded that it did not matter that the accident was not contemporaneous with Miller's "use" ie. the negligent repair or changing of the tire, because that repair did not break the chain of causation. The court concluded that the claim against Miller arose from his use of the vehicle and in the result fell within the exclusion clause provided for in the insurance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will deal with the purpose test and the causation test as those tests apply to the facts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PURPOSE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first part of the Amos test was a restatement of what had become known as the "purpose test", which has its roots in Stevenson v. Reliance Petroleum Ltd. </w:t>
      </w:r>
      <w:hyperlink r:id="rId702" w:history="1">
        <w:r>
          <w:rPr>
            <w:rFonts w:ascii="arial" w:eastAsia="arial" w:hAnsi="arial" w:cs="arial"/>
            <w:i/>
            <w:color w:val="0077CC"/>
            <w:sz w:val="20"/>
            <w:u w:val="single"/>
            <w:shd w:val="clear" w:color="auto" w:fill="FFFFFF"/>
            <w:lang w:val="en-US" w:eastAsia="en-US" w:bidi="ar-SA"/>
          </w:rPr>
          <w:t>(1956), 5 D.L.R. (2d) 673</w:t>
        </w:r>
      </w:hyperlink>
      <w:r>
        <w:rPr>
          <w:rFonts w:ascii="arial" w:eastAsia="arial" w:hAnsi="arial" w:cs="arial"/>
          <w:color w:val="000000"/>
          <w:sz w:val="20"/>
          <w:lang w:val="en-US" w:eastAsia="en-US" w:bidi="ar-SA"/>
        </w:rPr>
        <w:t xml:space="preserve"> (S.C.C.). As stated previously, the first part of the Amos test is "did the accident result from the ordinary and well known activities to which automobiles are put?" The statement of claim alleges that the accident occurred while the vehicle driven by the defendant Garcia was being operated upon a roadway. This is an ordinary and well known activity to which automobiles are put. Specifically, the allegations respecting how the accident was caused is set out in para. 10 of the statement of claim previously set forth at para. 11. In my view the allegations made against Caroline Elwood satisfy the purpose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CAUSATION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second part of the Amos test is a restatement of what had become known as the "causation test" which had its roots in Law Union &amp; Rock Insurance Co. v. Moore's Taxi Ltd. </w:t>
      </w:r>
      <w:hyperlink r:id="rId703" w:history="1">
        <w:r>
          <w:rPr>
            <w:rFonts w:ascii="arial" w:eastAsia="arial" w:hAnsi="arial" w:cs="arial"/>
            <w:i/>
            <w:color w:val="0077CC"/>
            <w:sz w:val="20"/>
            <w:u w:val="single"/>
            <w:shd w:val="clear" w:color="auto" w:fill="FFFFFF"/>
            <w:lang w:val="en-US" w:eastAsia="en-US" w:bidi="ar-SA"/>
          </w:rPr>
          <w:t>(1960), 22 D.L.R. (2d) 264</w:t>
        </w:r>
      </w:hyperlink>
      <w:r>
        <w:rPr>
          <w:rFonts w:ascii="arial" w:eastAsia="arial" w:hAnsi="arial" w:cs="arial"/>
          <w:color w:val="000000"/>
          <w:sz w:val="20"/>
          <w:lang w:val="en-US" w:eastAsia="en-US" w:bidi="ar-SA"/>
        </w:rPr>
        <w:t xml:space="preserve"> (S.C.C.). In that case the Supreme Court of Canada formulated the causation test at p. 268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It is sufficient to say that the words "claims arising out of . . . the ownership, use or operation . . . of any motor vehicle" as used in this exclusion can only be construed as referring to claims based upon circumstances in which it is possible to trace a continuous chain of causation unbroken by the interposition of a new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stretching between the negligent use and operation of a motor vehicle on the one hand and the injuries sustained by the complainant on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This causation test was restated in Amos, supra, in the following terms at p. 8:</w:t>
      </w:r>
      <w:r>
        <w:rPr>
          <w:rFonts w:ascii="arial" w:eastAsia="arial" w:hAnsi="arial" w:cs="arial"/>
          <w:sz w:val="20"/>
          <w:lang w:val="en-US" w:eastAsia="en-US" w:bidi="ar-SA"/>
        </w:rPr>
        <w:cr/>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accident result from the ordinary and well-known activities to which automobiles are put?</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some nexus or causal relationship (not necessarily a direct or proximate causal relationship) between the appellant's injuries and the ownership, use or operation of his vehicle, or is the connection between the injuries and the ownership, use or operation of the vehicle merely incidental or fortuitous?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With respect to this issue there appears to be conflicting authorities. I have already referred to Strickland, supra, as a case applying Amos which found that some nexus or causal relationship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to the accident was sufficient to bring the insured within the exclusion clause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Wilkie v. Economical Mutual Insurance Co. </w:t>
      </w:r>
      <w:hyperlink r:id="rId704" w:history="1">
        <w:r>
          <w:rPr>
            <w:rFonts w:ascii="arial" w:eastAsia="arial" w:hAnsi="arial" w:cs="arial"/>
            <w:i/>
            <w:color w:val="0077CC"/>
            <w:sz w:val="20"/>
            <w:u w:val="single"/>
            <w:shd w:val="clear" w:color="auto" w:fill="FFFFFF"/>
            <w:lang w:val="en-US" w:eastAsia="en-US" w:bidi="ar-SA"/>
          </w:rPr>
          <w:t>(1996), 40 C.C.L.I. (2d) 211</w:t>
        </w:r>
      </w:hyperlink>
      <w:r>
        <w:rPr>
          <w:rFonts w:ascii="arial" w:eastAsia="arial" w:hAnsi="arial" w:cs="arial"/>
          <w:color w:val="000000"/>
          <w:sz w:val="20"/>
          <w:lang w:val="en-US" w:eastAsia="en-US" w:bidi="ar-SA"/>
        </w:rPr>
        <w:t xml:space="preserve"> (Ont.Gen.Div.), a single vehicle accident occurred killing the driver and injuring the passenger. The family of the driver brought an action for damages against the passenger, alleging that she had caused the accident by, among other things, interfering with the operation of the vehicle, physically assaulting the driver, and placing her hands upon the steering wheel. The passenger subsequently brought an application against her automobile insurer seeking a declaration that the insurer owed a duty to defend and indemnify her in the underlying action. The automobile policy contained a standard clause requiring the insurer to defend the insured for all actions brought for loss or damage to person or property. The insuring provision itself provided the following coverage: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The insurer agrees to indemnify the insured and, in the same manner and to the same extent as if named in this Policy as the insured, every other person who . . . is an occupant of the automobile, against the liability imposed by law upon the insured or upon such other person for loss or damage arising from the ownership, or directly or indirectly from the use or operation of the automobile, and resulting from bodily injury to or death of any person or damage to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court considered the application of the words "use or operation". It concluded that the passenger's conduct in grabbing the steering wheel constituted a use or operation of the vehicle and thus the automobile insurer was obliged to provide a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Based on the Amos test, the court felt that there would be coverage under the automobile policy if there was a nexus between the conduct of the passenger and the damages occasioned by the use or operation of the vehicle. At p. 223, Wilkins J., suggested a three-step test to be employed, which if all questions were answered in the affirmative, the passenger's conduct would be deemed to have arisen from the use or operation of the vehicle, and in the case of that policy, the insurer would owe a duty to defend. The court asked these questions at p. 223:</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there damages which were occasioned by the use or operation of a motor vehicle?</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there allegations of liability for those damages made against an occupant of that motor vehicle?</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is there a possibility that, on the basis of the allegations in the pleadings, the insurer might be obliged to indemnify the occupant?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Justice Wilkins answered all questions in the affirmative and found that the passenger's conduct of grabbing the steering wheel was therefore held to have arisen from the use or operation of the vehicle and the automobile insurer there was obliged to defend.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another post-Amos decision, the Ontario Court of Appeal, in Davis v. Guardian Insurance Co. of Canada </w:t>
      </w:r>
      <w:hyperlink r:id="rId705" w:history="1">
        <w:r>
          <w:rPr>
            <w:rFonts w:ascii="arial" w:eastAsia="arial" w:hAnsi="arial" w:cs="arial"/>
            <w:i/>
            <w:color w:val="0077CC"/>
            <w:sz w:val="20"/>
            <w:u w:val="single"/>
            <w:shd w:val="clear" w:color="auto" w:fill="FFFFFF"/>
            <w:lang w:val="en-US" w:eastAsia="en-US" w:bidi="ar-SA"/>
          </w:rPr>
          <w:t>(1996), 31 O.R. (3d) 145</w:t>
        </w:r>
      </w:hyperlink>
      <w:r>
        <w:rPr>
          <w:rFonts w:ascii="arial" w:eastAsia="arial" w:hAnsi="arial" w:cs="arial"/>
          <w:color w:val="000000"/>
          <w:sz w:val="20"/>
          <w:lang w:val="en-US" w:eastAsia="en-US" w:bidi="ar-SA"/>
        </w:rPr>
        <w:t xml:space="preserve"> (Gen.Div.), reversed on other grounds </w:t>
      </w:r>
      <w:hyperlink r:id="rId706" w:history="1">
        <w:r>
          <w:rPr>
            <w:rFonts w:ascii="arial" w:eastAsia="arial" w:hAnsi="arial" w:cs="arial"/>
            <w:i/>
            <w:color w:val="0077CC"/>
            <w:sz w:val="20"/>
            <w:u w:val="single"/>
            <w:shd w:val="clear" w:color="auto" w:fill="FFFFFF"/>
            <w:lang w:val="en-US" w:eastAsia="en-US" w:bidi="ar-SA"/>
          </w:rPr>
          <w:t>(1997), 44 C.C.L.I. (2d) 246</w:t>
        </w:r>
      </w:hyperlink>
      <w:r>
        <w:rPr>
          <w:rFonts w:ascii="arial" w:eastAsia="arial" w:hAnsi="arial" w:cs="arial"/>
          <w:color w:val="000000"/>
          <w:sz w:val="20"/>
          <w:lang w:val="en-US" w:eastAsia="en-US" w:bidi="ar-SA"/>
        </w:rPr>
        <w:t xml:space="preserve"> (C.A.), reached a similar conclusion. Two actions were brought against Davis in which it was alleged that Davis, while riding as a passenger in a vehicle driven by Jess, grabbed the steering wheel, thus causing the vehicle to go out of control. There were three insurers involved in the matter, all of whom denied a defence to Davis. The first insurer (Allinz) insured the Jess vehicle. The second insurer (Guardian) had issued an automobile policy with respect to a vehicle owned by Davis' parents, and for which Davis was named as a secondary driver. The third insurer (Dominion) had issued a homeowner's policy to Davis' parents. Although the wording of the Dominion homeowner's policy is not set out in the reasons for judgment, it is clear from those reasons that the policy contained an exclusion to the effect that there was no coverage for claims arising from the use or operation of a vehicle. The automobile insurer (Guardian) took the position that the conduct of Davis did not constitute use or operation of a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court held that had the Amos case not been decided, it would have held that Davis' conduct did not constitute the use or operation of the vehicle. However, the court found that Amos put that result in doubt and required the court to have a "fresh look at the factual situation". From a reading of the case the court did not delve into the factual situation but simply concluded that the issue of whether Davis' conduct constituted a use or operation of the vehicle was "an open question". Nevertheless, in the result, the trial judge did find that only the automobile insurer, Guardian, was required to provide a defence to Davis. The Ontario Court of Appeal reversed this specific finding on the basis that Davis was not an insured under the policy. The Court of Appeal did not address the trial judge's finding with respect to Dominion.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 was referred to other decisions in the course of argument which have held that the act of a passenger grabbing the steering wheel of a moving vehicle does not constitute a use or operation of a vehicle. These cases include, Milligan v. Dryburgh, </w:t>
      </w:r>
      <w:hyperlink r:id="rId707" w:history="1">
        <w:r>
          <w:rPr>
            <w:rFonts w:ascii="arial" w:eastAsia="arial" w:hAnsi="arial" w:cs="arial"/>
            <w:i/>
            <w:color w:val="0077CC"/>
            <w:sz w:val="20"/>
            <w:u w:val="single"/>
            <w:shd w:val="clear" w:color="auto" w:fill="FFFFFF"/>
            <w:lang w:val="en-US" w:eastAsia="en-US" w:bidi="ar-SA"/>
          </w:rPr>
          <w:t>[1985] 1 I.L.R. 1</w:t>
        </w:r>
      </w:hyperlink>
      <w:r>
        <w:rPr>
          <w:rFonts w:ascii="arial" w:eastAsia="arial" w:hAnsi="arial" w:cs="arial"/>
          <w:color w:val="000000"/>
          <w:sz w:val="20"/>
          <w:lang w:val="en-US" w:eastAsia="en-US" w:bidi="ar-SA"/>
        </w:rPr>
        <w:t xml:space="preserve">-1960 (Ont.S.C.), Momney v. R. </w:t>
      </w:r>
      <w:hyperlink r:id="rId708" w:history="1">
        <w:r>
          <w:rPr>
            <w:rFonts w:ascii="arial" w:eastAsia="arial" w:hAnsi="arial" w:cs="arial"/>
            <w:i/>
            <w:color w:val="0077CC"/>
            <w:sz w:val="20"/>
            <w:u w:val="single"/>
            <w:shd w:val="clear" w:color="auto" w:fill="FFFFFF"/>
            <w:lang w:val="en-US" w:eastAsia="en-US" w:bidi="ar-SA"/>
          </w:rPr>
          <w:t>(1972), 25 D.L.R. (3d) 129</w:t>
        </w:r>
      </w:hyperlink>
      <w:r>
        <w:rPr>
          <w:rFonts w:ascii="arial" w:eastAsia="arial" w:hAnsi="arial" w:cs="arial"/>
          <w:color w:val="000000"/>
          <w:sz w:val="20"/>
          <w:lang w:val="en-US" w:eastAsia="en-US" w:bidi="ar-SA"/>
        </w:rPr>
        <w:t xml:space="preserve"> (Ont.H.C.J.), Co-operative Fire and Casualty Company v. Doiron </w:t>
      </w:r>
      <w:hyperlink r:id="rId709" w:history="1">
        <w:r>
          <w:rPr>
            <w:rFonts w:ascii="arial" w:eastAsia="arial" w:hAnsi="arial" w:cs="arial"/>
            <w:i/>
            <w:color w:val="0077CC"/>
            <w:sz w:val="20"/>
            <w:u w:val="single"/>
            <w:shd w:val="clear" w:color="auto" w:fill="FFFFFF"/>
            <w:lang w:val="en-US" w:eastAsia="en-US" w:bidi="ar-SA"/>
          </w:rPr>
          <w:t>(1979), 108 D.L.R. (3d) 107</w:t>
        </w:r>
      </w:hyperlink>
      <w:r>
        <w:rPr>
          <w:rFonts w:ascii="arial" w:eastAsia="arial" w:hAnsi="arial" w:cs="arial"/>
          <w:color w:val="000000"/>
          <w:sz w:val="20"/>
          <w:lang w:val="en-US" w:eastAsia="en-US" w:bidi="ar-SA"/>
        </w:rPr>
        <w:t xml:space="preserve"> (N.B.C.A.) and McKenzie v. Western Assurance Co. (1954), </w:t>
      </w:r>
      <w:hyperlink r:id="rId710" w:history="1">
        <w:r>
          <w:rPr>
            <w:rFonts w:ascii="arial" w:eastAsia="arial" w:hAnsi="arial" w:cs="arial"/>
            <w:i/>
            <w:color w:val="0077CC"/>
            <w:sz w:val="20"/>
            <w:u w:val="single"/>
            <w:shd w:val="clear" w:color="auto" w:fill="FFFFFF"/>
            <w:lang w:val="en-US" w:eastAsia="en-US" w:bidi="ar-SA"/>
          </w:rPr>
          <w:t>[1955] 1 D.L.R. 271</w:t>
        </w:r>
      </w:hyperlink>
      <w:r>
        <w:rPr>
          <w:rFonts w:ascii="arial" w:eastAsia="arial" w:hAnsi="arial" w:cs="arial"/>
          <w:color w:val="000000"/>
          <w:sz w:val="20"/>
          <w:lang w:val="en-US" w:eastAsia="en-US" w:bidi="ar-SA"/>
        </w:rPr>
        <w:t xml:space="preserve"> (Ont.H.C.).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All of these cases are cases decided before Amos and to some extent the factual situations in each of the cases are different from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For these reasons I have determined that they need not be considered by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One pre Amos case and one post Amos case however do require comment as both decisions are decisions of our Court of Appeal. They are Paulus v. Robinson </w:t>
      </w:r>
      <w:hyperlink r:id="rId711" w:history="1">
        <w:r>
          <w:rPr>
            <w:rFonts w:ascii="arial" w:eastAsia="arial" w:hAnsi="arial" w:cs="arial"/>
            <w:i/>
            <w:color w:val="0077CC"/>
            <w:sz w:val="20"/>
            <w:u w:val="single"/>
            <w:shd w:val="clear" w:color="auto" w:fill="FFFFFF"/>
            <w:lang w:val="en-US" w:eastAsia="en-US" w:bidi="ar-SA"/>
          </w:rPr>
          <w:t>(1991), 60 B.C.L.R. (2d) 116</w:t>
        </w:r>
      </w:hyperlink>
      <w:r>
        <w:rPr>
          <w:rFonts w:ascii="arial" w:eastAsia="arial" w:hAnsi="arial" w:cs="arial"/>
          <w:color w:val="000000"/>
          <w:sz w:val="20"/>
          <w:lang w:val="en-US" w:eastAsia="en-US" w:bidi="ar-SA"/>
        </w:rPr>
        <w:t xml:space="preserve"> (C.A.) and Jove v. Palalunga, </w:t>
      </w:r>
      <w:hyperlink r:id="rId712" w:history="1">
        <w:r>
          <w:rPr>
            <w:rFonts w:ascii="arial" w:eastAsia="arial" w:hAnsi="arial" w:cs="arial"/>
            <w:i/>
            <w:color w:val="0077CC"/>
            <w:sz w:val="20"/>
            <w:u w:val="single"/>
            <w:shd w:val="clear" w:color="auto" w:fill="FFFFFF"/>
            <w:lang w:val="en-US" w:eastAsia="en-US" w:bidi="ar-SA"/>
          </w:rPr>
          <w:t>[1997] B.C.J. No. 1931</w:t>
        </w:r>
      </w:hyperlink>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[1997] I.L.R. I-3485</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Paulus, supra, the interpretation of "motorist" within the context of s. 19(1) of the Insurance (Motor Vehicle) Act was involved. This provision deals with uninsured motorist claims. The case arose from a single vehicle accident in which Paulus was the driver and her boyfriend Robinson was the front seat passenger. At trial, the court found that the accident was caused by Robinson grabbing and turning the steering wheel. The court further held that Robinson was an uninsured motorist at the time of the accident and thus Paulus was able to claim against I.C.B.C. as nominal defendant pursuant to the uninsured motorist provisions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Court of Appeal reversed the finding of the trial judge and held that the passenger Robinson was not a "motorist" at the time of the accident. While finding nothing unreasonable in the trial judge's analysis of the issue, Madam Justice Southin stated that she did not agree with it. At p. 120, Madam Justice Southin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it makes too much of "use or operate", especially the latter, and too little of "motorist" which colours the definition and which takes its own colouring from the concept underlying s.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Section 19(1)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"Uninsured motorist" means a person who uses or operates a motor vehicle on a highway in the province when he is not insured under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the present case I find Paulus to be distinguishable on the basis that the language of exclusion 1(a) in the policy does not refer at all to the concept of "motorist". As Madam Justice Southin noted, the use of the term "motorist" in the Paulus case coloured the meaning of the phrase "use or operate". The lack of the term "motorist" in the Axa policy is equally significant. I have concluded that because "motorist" does not appear in exclusion 1(a), it is possible for a person to be using or operating a vehicle without being a "motorist".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Jove decision was factually nearly identical to the facts in Paulus. In Jove the court held that the case was indistinguishable from those in Paulus and found that the case was not affected or overruled by Amos,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other words, the passenger's act of grabbing the steering wheel did not render him a "motorist" within the meaning of s. 19 of the Insurance (Motor Vehicle)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For the same reasoning that I do not consider Paulus to be of any assistance I also am of the opinion that Jove is of no assistance given the specific wording in s. 19(1) and the use of the word "motorist" in the statute whilst no reference to motorist is found in the exclusion clause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claims against Caroline Elwood are based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are set out in paras. 10 and 13A of the amended statement of claim. In accordance with the Supreme Court of Canada's decision in Nichols v. American Home Assurance Co., supra, an insurer's duty to defend arises only where the claims against the insured allege acts or omissions which may be argued to fall under the policy. The widest latitude should be given to the allegations in the pleadings in determining whether they raise a claim within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addition, as stated by Madam Justice Newbury in Continental Insurance Co. v. Dia Met Minerals Ltd. </w:t>
      </w:r>
      <w:hyperlink r:id="rId714" w:history="1">
        <w:r>
          <w:rPr>
            <w:rFonts w:ascii="arial" w:eastAsia="arial" w:hAnsi="arial" w:cs="arial"/>
            <w:i/>
            <w:color w:val="0077CC"/>
            <w:sz w:val="20"/>
            <w:u w:val="single"/>
            <w:shd w:val="clear" w:color="auto" w:fill="FFFFFF"/>
            <w:lang w:val="en-US" w:eastAsia="en-US" w:bidi="ar-SA"/>
          </w:rPr>
          <w:t>(1996), 20 B.C.L.R. (3d) 331</w:t>
        </w:r>
      </w:hyperlink>
      <w:r>
        <w:rPr>
          <w:rFonts w:ascii="arial" w:eastAsia="arial" w:hAnsi="arial" w:cs="arial"/>
          <w:color w:val="000000"/>
          <w:sz w:val="20"/>
          <w:lang w:val="en-US" w:eastAsia="en-US" w:bidi="ar-SA"/>
        </w:rPr>
        <w:t xml:space="preserve"> (B.C.C.A), at p. 338: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Any uncertainty is resolved in the insured's favor, and even if it is only "possible" that an allegation made against the insured falls within the coverage of the policy, the insurer must defend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This mere possibility was repeated again in Ellett Industries Ltd. v. Laurentian P &amp; C Insurance Co. </w:t>
      </w:r>
      <w:hyperlink r:id="rId527" w:history="1">
        <w:r>
          <w:rPr>
            <w:rFonts w:ascii="arial" w:eastAsia="arial" w:hAnsi="arial" w:cs="arial"/>
            <w:i/>
            <w:color w:val="0077CC"/>
            <w:sz w:val="20"/>
            <w:u w:val="single"/>
            <w:shd w:val="clear" w:color="auto" w:fill="FFFFFF"/>
            <w:lang w:val="en-US" w:eastAsia="en-US" w:bidi="ar-SA"/>
          </w:rPr>
          <w:t>(1967), 17 B.C.L.R. (3d) 201</w:t>
        </w:r>
      </w:hyperlink>
      <w:r>
        <w:rPr>
          <w:rFonts w:ascii="arial" w:eastAsia="arial" w:hAnsi="arial" w:cs="arial"/>
          <w:color w:val="000000"/>
          <w:sz w:val="20"/>
          <w:lang w:val="en-US" w:eastAsia="en-US" w:bidi="ar-SA"/>
        </w:rPr>
        <w:t xml:space="preserve"> (B.C.C.A.) and in Sansalone v. Wawanesa Mutual Insurance Co. </w:t>
      </w:r>
      <w:hyperlink r:id="rId715" w:history="1">
        <w:r>
          <w:rPr>
            <w:rFonts w:ascii="arial" w:eastAsia="arial" w:hAnsi="arial" w:cs="arial"/>
            <w:i/>
            <w:color w:val="0077CC"/>
            <w:sz w:val="20"/>
            <w:u w:val="single"/>
            <w:shd w:val="clear" w:color="auto" w:fill="FFFFFF"/>
            <w:lang w:val="en-US" w:eastAsia="en-US" w:bidi="ar-SA"/>
          </w:rPr>
          <w:t>(1998), 48 B.C.L.R. (3d) 143</w:t>
        </w:r>
      </w:hyperlink>
      <w:r>
        <w:rPr>
          <w:rFonts w:ascii="arial" w:eastAsia="arial" w:hAnsi="arial" w:cs="arial"/>
          <w:color w:val="000000"/>
          <w:sz w:val="20"/>
          <w:lang w:val="en-US" w:eastAsia="en-US" w:bidi="ar-SA"/>
        </w:rPr>
        <w:t xml:space="preserve"> (B.C.C.A.). However, an insurer of course does not have an obligation to defend with respect to those allegations clearly beyond the scope of the policy. Thus, where the pleadings allege claims which fall within the scope of an exclusion clause in the policy, an insurer will owe no duty to defend an insured against those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Using both the purpose test and the causation test enunciated by the Supreme Court of Canada in Amos, supra, the phrase "arising from the use or operation" as used in exclusion 1(a) does, I find, encompass all of the claims advanced against Caroline Elwood in the underlying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purpose tests asks whether the accident resulted from the ordinary and well known activities to which automobiles are put. The amended statement of claim alleges that the accident occurred while the vehicle was being operated upon a roadway. This obviously is an ordinary and well known activity to which automobiles are put.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second part of the Amos test being the causation test asks whether a continuous chain of causation exists between the negligent use or operation of a vehicle on the one hand and the injuries sustained by the claimant on the other hand. Again, the amended statement of claim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pleads that Caroline Elwood either grabbed the steering wheel or interfered with the operation of the vehicle and that this action led directly to the vehicle being involved in an accident, resulting in injuries to the plaintiff in the underlying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conclude that her actions, which are confirmed by Ms. Elwood in her statement to the Vancouver City Police and the answers given at her examination for discovery, did constitute a use and operation of the motor vehicle in question. There was no intervening act, independent of Ms. Elwood's use of the vehicle, which broke the chain of causation between the use of the vehicle on the one hand and the injuries sustained by the plaintiff Brzovic.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policy issued by Axa to Hugh and Elizabeth Elwood was a homeowner's policy of insurance. It was intended to provide coverage for property damage as well as personal liability coverage for the insured's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subject to certain exclusions. By virtue of exclusion 1(a) the policy was never intended to provide liability coverage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out of the use or operation of a licenced motor vehicle. Although not previously set forth, the policy does clearly provide coverage for personal liability arising from the use or operation of vehicles which one would not commonly expect to be licenced and operated on a roadway. There is under the Axa policy coverage respecting liability arising from the insured's use or operation of -</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self-propelled lawnmower, snowblower or garden tractor owned by the insured, provided it is operated on the insured's property;</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motorized golf cart, owned by the insured, while in use on a golf course;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motorized wheelchair owned by the insured;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unlicenced automobiles or motorcycles being used within B.C., whether owned or not owned by the insured;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unlicenced self propelled land vehicle designed primarily for off-road use which is not owned by the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As such, when read as a whole, and on a literal interpretation of the language used in exclusion 1(a), it is abundantly clear that the policy was not intended to provide personal liability coverage for the types of claims made against Caroline Elwood in the underlying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thus declare that Axa is not obligated to defend Caroline Elwood also known as Caroline Mundell in Vancouver Registry Action No. B972731 nor is Axa obligated to pay Elwood's costs under the Axa policy of insurance, Number HP8708337, with respect to the claims made against her in the aforesaid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There will also be an order staying the third party proceedings commenced by way of third party notice filed April 3, 1999 by Caroline Elwood, by her Guardians Ad Litem, against Axa in Supreme Court of British Columbia, Vancouver Registry Action No. B972731.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Unless the parties otherwise wish to address the issue of costs, Axa shall have its costs of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CHAMBERLIST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0" style="position:absolute;z-index:2518446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16"/>
          <w:headerReference w:type="default" r:id="rId717"/>
          <w:footerReference w:type="even" r:id="rId718"/>
          <w:footerReference w:type="default" r:id="rId719"/>
          <w:headerReference w:type="first" r:id="rId720"/>
          <w:footerReference w:type="first" r:id="rId72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22" w:history="1">
        <w:r>
          <w:rPr>
            <w:rFonts w:ascii="arial" w:eastAsia="arial" w:hAnsi="arial" w:cs="arial"/>
            <w:b/>
            <w:bCs/>
            <w:i/>
            <w:color w:val="0077CC"/>
            <w:kern w:val="32"/>
            <w:sz w:val="28"/>
            <w:szCs w:val="32"/>
            <w:u w:val="single"/>
            <w:shd w:val="clear" w:color="auto" w:fill="FFFFFF"/>
            <w:lang w:val="en-US" w:eastAsia="en-US" w:bidi="ar-SA"/>
          </w:rPr>
          <w:t>British Columbia (Workers' Compensation Board) v. Flanagan Enterprises (Nevada) Inc., [2017] B.C.J. No. 97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J.C. Grauer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5-8, 11-15, 18-22, 25-28, July 7-8,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23,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S105434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99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Workers' Compensation Board of British Columbia, Plaintiff, and Flanagan Enterprises (Nevada) Inc., Bill Dause, Attorney General of Canada and Gary Wendell Johnson, Defendants, and Flanagan Enterprises (Nevada) Inc. and Bill Dause,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(212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1"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0" w:name="Keywords_33"/>
      <w:bookmarkEnd w:id="220"/>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Causation — Action by Worker's Compensation Board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among other things, dismissed — Forest, an employee of Pacific Skydivers, was injured when pilot, the principal of Pacific Skydivers, responded incorrectly to engine failure and aircraft crash landed — American aircraft owner abided by domestic maintenance regulations — Transport Canada did not owe duty of care to injured employee — Mechanic was liable as he ought to have observed and reported signs of wear and corrosion — While evidence established that RMA fell below reasonable standard of care, it did not establish causative link between breach and accident.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Air transportation — Liability — Civil actions — Action by Worker's Compensation Board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among other things dismissed — Forest, an employee of Pacific Skydivers, was injured when pilot, the principal of Pacific Skydivers, responded incorrectly to engine failure and aircraft crash landed — American aircraft owner abided by domestic maintenance regulations — Transport Canada did not owe duty of care to injured employee — Mechanic was liable as he ought to have observed and reported signs of wear and corrosion — While evidence established that RMA fell below reasonable standard of care, it did not establish causative link between breach and accident.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1" w:name="Case Summary_31"/>
            <w:bookmarkEnd w:id="22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Worker's Compensation Board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among other things. Pacific Skydivers operated a skydiving operation. Flanagan, was the principle of Pacific Skydivers and was also the pilot. Forest was employed by Pacific Skydivers to take photographs of clients during their jumps. During a flight, the aircraft, which was registered in the US, lost power in the left engine. Flanagan thought the problem concerned the right engine and he shut it off, resulting in a total loss of power. Flanagan was unable to restart either engine and crashed landed the aircraft in a cranberry field. Forest was badly injured in the crash. The left engine, which was used, was manufactured by Pratt &amp; Whitney Canada Corp and installed by Rocky Mountain Aircraft ("RMA"). The engine lost power because of excessive wear in the fuel pump. The fuel pump was manufactured by Hamilton Sundstrand Corporation. The US-based mechanic who last inspected the aircraft was Johnson. In 2000, Transport Canada suspended the aircraft's certificate of authorization. It was reinstated in 2001 once certain deficiencies were addressed and thereafter was renewed annually. Flanagan admitted he was negligent in his response to the engine failure. He conceded that had he followed proper emergency protocol, he would have correctly identified the problem and brought the aircraft to a safe landing. Because Forest was a worker injured in the course of his employment, neither he nor the WCB could recover damages from Flanagan or Pacific Skydivers. As a result, the claim focused on Johnson, the American mechanic, the American company owned by Flanagan (Flanagan Nevada) which owned the aircraft, RMA and Transport Canada as the regulator of aeronautics.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2" w:name="Holdings of Court_28"/>
            <w:bookmarkEnd w:id="222"/>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failed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Flanagan Nevada and Dause. Flanagan Nevada was not set up to get around Canadian Law and neither Flanagan nor Dause failed to abide the maintenance requirements of the domestic state as required. Transport Canada did not owe a duty of care to Forest. While the requirement of foreseeability was established, proximity was not. Transport Canada had no relationship with an identified group of persons exposed to a risk of harm. Furthermore, it had no duty to inspect the aircraft although it had a statutory duty to ground the aircraft if it considered the aircraft unsafe. Consequently, while the applicable regulatory framework imposed public duties on Transport Canada, there was no basis for concluding that they gave rise to a private law duty of care. However, the plaintiff had proven liability on the part of Johnson. Signs of wear and corrosion ought to have been visible had he properly inspected the engine. He ought to have observed and reported it so appropriate steps could be taken before the aircraft was returned to service. While the evidence established that RMA fell below a reasonable standard of care, it did not establish any causative link between that breach and the accident that occurred. Fault was apportioned equally with 50 per cent to Flanagan and Pacific Skydiver and 50 per cent to Johnson.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3" w:name="Legislation Cited_23"/>
      <w:bookmarkEnd w:id="22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2"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Aeronautics Act, </w:t>
      </w:r>
      <w:hyperlink r:id="rId723" w:history="1">
        <w:r>
          <w:rPr>
            <w:rFonts w:ascii="arial" w:eastAsia="arial" w:hAnsi="arial" w:cs="arial"/>
            <w:i/>
            <w:color w:val="0077CC"/>
            <w:sz w:val="20"/>
            <w:u w:val="single"/>
            <w:shd w:val="clear" w:color="auto" w:fill="FFFFFF"/>
            <w:lang w:val="en-US" w:eastAsia="en-US" w:bidi="ar-SA"/>
          </w:rPr>
          <w:t>RSC 1985, c. A-2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Canadian Aviation Regulations, </w:t>
      </w:r>
      <w:r>
        <w:rPr>
          <w:rFonts w:ascii="arial" w:eastAsia="arial" w:hAnsi="arial" w:cs="arial"/>
          <w:i/>
          <w:color w:val="000000"/>
          <w:sz w:val="20"/>
          <w:lang w:val="en-US" w:eastAsia="en-US" w:bidi="ar-SA"/>
        </w:rPr>
        <w:t>SOR/96-433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Convention on International Civil Aviation,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Federal Aviation Regulations, Title 14 CFR, s. 91.409(f), s. 91.409(f)(3)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Workers Compensation Act, RSBC 1996, c. 492, s. 10, s. 10(7)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4" w:name="Counsel_32"/>
      <w:bookmarkEnd w:id="22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3" style="position:absolute;z-index:251795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Joe Fiorante, Q.C., Jamie Thornback, Marc Kazimirski, Mike Huot.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Attorney General of Canada: Monika Bittel, BJ Wray, Kayla Baldwin, Billie Attig.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and Third Party Flanagan Enterprises (Nevada) Inc. by its Director: Ian Flanagan.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5" w:name="Judgment_33"/>
      <w:bookmarkEnd w:id="225"/>
      <w:r>
        <w:pict>
          <v:line id="_x0000_s1194" style="position:absolute;z-index:2518456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 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2.0 THE REGULATORY CONTEXT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Civil Aviation Authorities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2.2 NAFTA and Specialty Air Services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2.3 The Applicable Regulatory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 THE EVENTS OF 2000-2001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Context: Maintenance and Inspection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3.1.1 Time Before Overhaul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3.1.2 N17SA's Inspection Program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Prologue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3.3 N256TA comes to Canada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3.4 The Suspension of N256TA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3.5 The Return of N256TA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3.6 Epilogue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3.6.1 Annual renewals and the addition of N17SA 3.6.2 Inspections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3.6.3 Compliance with maintenance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 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The Claim against Transport Canada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4.1.1 Did Transport Canada owe a prima facie duty of care?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4.1.1.1 Principles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4.1.1.2 Precedent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4.1.1.3 Foreseeability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4.1.1.4 Proximity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4.1.2 Did Transport Canada Breach Any Duty of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The Claims against Flanagan Nevada and Bill Dause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4.3 The Claim against Gary Johnson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4.4 The Claim against Rocky Mountain Aircraft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4.5 The Claim against Transport Canada Redux</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4.6 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 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6" w:name="J.C. GRAUER J._0"/>
            <w:bookmarkEnd w:id="226"/>
            <w:r>
              <w:rPr>
                <w:rFonts w:ascii="arial" w:eastAsia="arial" w:hAnsi="arial" w:cs="arial"/>
                <w:b/>
                <w:color w:val="000000"/>
                <w:sz w:val="30"/>
                <w:lang w:val="en-US" w:eastAsia="en-US" w:bidi="ar-SA"/>
              </w:rPr>
              <w:t>J.C. GRAUER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1.0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claim arises out of the crash of a twin-engine Beech "King Air" A90 aircraft near Pitt Meadows Airport on August 3, 2008. The aircraft, registered in the United States, was being used for commercial skydiving purposes by Pacific Skydivers Ltd., a B.C. company. The pilot was Ian Flanagan, principal of Pacific Skydivers. Also on board were seven parachutists including J.P. Forest, an experienced skydiving enthusiast who was hired by Pacific Skydivers to take photographs of its clients during their jump. Mr. Forest was badly injured in the crash, and the Workers' Compensation Board ("WCB") is subrogated to his claim. This trial was about liability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direct cause of the crash is not in doubt. The aircraft, to which I will refer by its registration number, N17SA, ran into trouble when its left engine lost power as it climbed to approximately 3800 feet. That loss, by itself, did not doom the plane because it was perfectly capable of landing safely on one engine. Unfortunately, Mr. Flanagan did not immediately appreciate that the problem concerned the left engine. He thought there had been a catastrophic failure of the right engine, and he switched it off. As a result, N17SA lost all of its power. Mr. Flanagan was unable to restart either engine, and glided the plane to a crash landing in a cranberry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After the aircraft came to earth relatively unscathed, it skidded into a raised roadway, jumped over it, spun 180degree and landed backwards. The passengers were unrestrained. Mr. Forest was thrown to the rear of the plane with other passengers thrown on top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It is not disputed that the left engine, manufactured by Pratt &amp; Whitney Canada Corp. ("PWC"), lost power because of excessive wear on the drive splines of its fuel pump. The fuel pump was manufactured by Hamilton Sundstrand Corporation ("Hamilton"). The engine, a used one, was installed by Ashe Enterprises Ltd. doing business as Rocky Mountain Aircraft Ltd. ("RMA") of Alberta. The U.S.-based mechanic who last inspected that engine was the defendant Gary Johnson.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Although PWC and Hamilton were originally included as defendants in this case, those claims were resolved, and no fault was alleged against them by the time this matter proceeded to trial. The plaintiff reached a settlement with RMA subject to a "BC Ferries" agreement by which the plaintiff waived its right to recover from the remaining defendants or any other party any portion of its losses attributable to the fault or liability of RMA or its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pilot, Mr. Flanagan, freely admits that he was negligent in his response to the engine failure. He concedes, and I find, that had he followed proper emergency protocol, he would have correctly identified the problem, would not have shut down the right engine, and would have brought the aircraft to a safe landing at Pitt Meadows Airport.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Because Mr. Forest was a worker injured in the course of his employment, however, neither he nor the WCB can recover any damages from Mr. Flanagan or Pacific Skydivers due to the provisions of section 10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492</w:t>
      </w:r>
      <w:r>
        <w:rPr>
          <w:rFonts w:ascii="arial" w:eastAsia="arial" w:hAnsi="arial" w:cs="arial"/>
          <w:color w:val="000000"/>
          <w:sz w:val="20"/>
          <w:lang w:val="en-US" w:eastAsia="en-US" w:bidi="ar-SA"/>
        </w:rPr>
        <w:t xml:space="preserve">. Indeed, the Workers Compensation Appeal Tribunal certified that any action or conduct of Mr. Flanagan which caused the alleged breach arose out of and in the course of his employment with Pacific Skydivers, and that Pacific Skydivers was the employer of Mr. Forest for the purposes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claim, then, focused on the liability of parties who are not within the scope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and who therefore fall outside of that Act's protection. These are: Mr. Johnson, the American mechanic; Flanagan Enterprises (Nevada) Inc. ("Flanagan Nevada"), a Nevada company owned by Mr. Flanagan and the registered owner of N17SA; Bill Dause, a California resident who leased N17SA from Flanagan Nevada and then leased it to Pacific Skydivers; RMA; and Transport Canada, represented by the Attorney General of Canada, as Canada's Civil Aviation Authority and regulator of aeronautics. To the extent any of them is found liable, then by section 10(7)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no damages are recoverable from them for that portion of the loss caused by the protected parties, Mr. Flanagan and Pacific Skydivers. It follows that liability must be apportioned among all those whose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found to have contributed to the injury, whether or not they are protected by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Johnson did not participate in this litigation, and default judgment was taken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plaintiff's primary focus was on Transport Canada. In its opening, the plaintiff described the central issue in the case as "whether Transport Canada was negligent in knowingly permitting an unsafe aircraft and operator to operate in Canada". But for this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alleges, Mr. Flanagan would not have been allowed to use N17SA for skydiving in Canada due to what is said to have been the unsafe condition of its left engine, the inadequacy of its maintenance program, and irregularities in its ownership and leasing arrangements.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this regard, the plaintiff relies heavily on what Transport Canada learned in 2000 about another U.S.-registered Beech King Air Model 90 aircraft, N256TA, that Mr. Dause leased to Mr. Flanagan's Canadian skydiving business under circumstances similar to those involving the lease of N17SA. This knowledge gave rise to concerns about the maintenance of N256TA and its operation and control. The essence of the plaintiff's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Transport Canada is that it continued to issue certificates allowing Mr. Dause to operate these two aircraft in Canada without properly resolving these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But the primary issue to be determined in considering this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whether, in law, Transport Canada, as regulator, owed a duty of care to Mr. Forest. Only if it did does the question arise of whether Transport Canada breached that duty of care in the way the plaintiff alleges. The fact remains that the question of breach of duty of care is often difficult to segregate completely from the question of whether a duty of care existed. Both are informed by the particular regulatory context that applied to N17SA and N256TA, which involves the </w:t>
      </w:r>
      <w:r>
        <w:rPr>
          <w:rFonts w:ascii="arial" w:eastAsia="arial" w:hAnsi="arial" w:cs="arial"/>
          <w:i/>
          <w:color w:val="000000"/>
          <w:sz w:val="20"/>
          <w:lang w:val="en-US" w:eastAsia="en-US" w:bidi="ar-SA"/>
        </w:rPr>
        <w:t>North American Free Trade Agreement</w:t>
      </w:r>
      <w:r>
        <w:rPr>
          <w:rFonts w:ascii="arial" w:eastAsia="arial" w:hAnsi="arial" w:cs="arial"/>
          <w:color w:val="000000"/>
          <w:sz w:val="20"/>
          <w:lang w:val="en-US" w:eastAsia="en-US" w:bidi="ar-SA"/>
        </w:rPr>
        <w:t xml:space="preserve"> ("NAFTA").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For the reasons that follow, I have concluded that, in the circumstances of this case, Transport Canada did not owe a duty of care to Mr. Forest. I have also concluded that the plaintiff has failed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Flanagan Nevada and Mr. Dause, but has proven liability on the part of Gary Johnson. While the evidence establishes that RMA fell below a reasonable standard of care, it does not establish any causative link between that breach and the accident that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 THE REGULATORY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2.1 </w:t>
      </w:r>
      <w:r>
        <w:rPr>
          <w:rFonts w:ascii="arial" w:eastAsia="arial" w:hAnsi="arial" w:cs="arial"/>
          <w:b/>
          <w:color w:val="000000"/>
          <w:sz w:val="20"/>
          <w:u w:val="single"/>
          <w:lang w:val="en-US" w:eastAsia="en-US" w:bidi="ar-SA"/>
        </w:rPr>
        <w:t>Civil Aviation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Aviation safety in Canada is governed primarily by the </w:t>
      </w:r>
      <w:r>
        <w:rPr>
          <w:rFonts w:ascii="arial" w:eastAsia="arial" w:hAnsi="arial" w:cs="arial"/>
          <w:i/>
          <w:color w:val="000000"/>
          <w:sz w:val="20"/>
          <w:lang w:val="en-US" w:eastAsia="en-US" w:bidi="ar-SA"/>
        </w:rPr>
        <w:t>Aeronautics Act</w:t>
      </w:r>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RSC 1985, c A-2</w:t>
        </w:r>
      </w:hyperlink>
      <w:r>
        <w:rPr>
          <w:rFonts w:ascii="arial" w:eastAsia="arial" w:hAnsi="arial" w:cs="arial"/>
          <w:color w:val="000000"/>
          <w:sz w:val="20"/>
          <w:lang w:val="en-US" w:eastAsia="en-US" w:bidi="ar-SA"/>
        </w:rPr>
        <w:t xml:space="preserve">, together with the </w:t>
      </w:r>
      <w:r>
        <w:rPr>
          <w:rFonts w:ascii="arial" w:eastAsia="arial" w:hAnsi="arial" w:cs="arial"/>
          <w:i/>
          <w:color w:val="000000"/>
          <w:sz w:val="20"/>
          <w:lang w:val="en-US" w:eastAsia="en-US" w:bidi="ar-SA"/>
        </w:rPr>
        <w:t>Canadian Aviation Regulations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SOR/96-433</w:t>
      </w:r>
      <w:r>
        <w:rPr>
          <w:rFonts w:ascii="arial" w:eastAsia="arial" w:hAnsi="arial" w:cs="arial"/>
          <w:color w:val="000000"/>
          <w:sz w:val="20"/>
          <w:lang w:val="en-US" w:eastAsia="en-US" w:bidi="ar-SA"/>
        </w:rPr>
        <w:t xml:space="preserve"> ("CARs"). Authority for administering this legislation is vested in the Minister of Transport (the "Minister") and his or her Ministry. The Ministry of Transport is better known as Transport Canada, and, as Canada's Civil Aviation Authority, is responsible for administering and enforcing all aviation rules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Minister has delegated authority to various persons employed in specific positions at Transport Canada, one of the most important of whom is the Director General, Civil Aviation, a position now split between two officers: the Director General of Aviation Safety Oversight and Transformation; and the Director General of Aviation Regulation. Among the Director Generals' specific delegated responsibilities are establishing regulatory policy and granting exemptions from the CARs.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CARs conform to the standards set by the International Civil Aviation Organization ("ICAO"), except where Canada has filed a "difference" that indicates a departure from the standards. ICAO is a United Nations agency in which membership is voluntary. It does not make regulations, but it does provide standards for member countries to consider when making their own regulations. As an example, Annex 2 to the </w:t>
      </w:r>
      <w:r>
        <w:rPr>
          <w:rFonts w:ascii="arial" w:eastAsia="arial" w:hAnsi="arial" w:cs="arial"/>
          <w:i/>
          <w:color w:val="000000"/>
          <w:sz w:val="20"/>
          <w:lang w:val="en-US" w:eastAsia="en-US" w:bidi="ar-SA"/>
        </w:rPr>
        <w:t>Convention on International Civil Aviation</w:t>
      </w:r>
      <w:r>
        <w:rPr>
          <w:rFonts w:ascii="arial" w:eastAsia="arial" w:hAnsi="arial" w:cs="arial"/>
          <w:color w:val="000000"/>
          <w:sz w:val="20"/>
          <w:lang w:val="en-US" w:eastAsia="en-US" w:bidi="ar-SA"/>
        </w:rPr>
        <w:t>, "Rules of Air", sets out international standards with respect to the avoidance of collisions, flight plans, visual flight rules, instrument flight rules, and so on. Annex 6 sets out standards for safe operating practices, while Annex 8 sets out airworthiness standards. All ICAO members have agreed to adhere to these as minimum standards, but of course are free to develop more stringent national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the United States, the Civil Aviation Authority is the Federal Aviation Agency ("FAA") of the U.S. Department of Transport. The applicable aviation safety standards are set out in the </w:t>
      </w:r>
      <w:r>
        <w:rPr>
          <w:rFonts w:ascii="arial" w:eastAsia="arial" w:hAnsi="arial" w:cs="arial"/>
          <w:i/>
          <w:color w:val="000000"/>
          <w:sz w:val="20"/>
          <w:lang w:val="en-US" w:eastAsia="en-US" w:bidi="ar-SA"/>
        </w:rPr>
        <w:t>Federal Aviation Regulations</w:t>
      </w:r>
      <w:r>
        <w:rPr>
          <w:rFonts w:ascii="arial" w:eastAsia="arial" w:hAnsi="arial" w:cs="arial"/>
          <w:color w:val="000000"/>
          <w:sz w:val="20"/>
          <w:lang w:val="en-US" w:eastAsia="en-US" w:bidi="ar-SA"/>
        </w:rPr>
        <w:t>, Title 14 CFR ("FARs"), which, like the CARs, conform to or exceed ICAO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this case concerns a United States-registered aircraft operating in Canada, both jurisdictions are involved. What brings them together is NAFTA.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2.2 </w:t>
      </w:r>
      <w:r>
        <w:rPr>
          <w:rFonts w:ascii="arial" w:eastAsia="arial" w:hAnsi="arial" w:cs="arial"/>
          <w:b/>
          <w:color w:val="000000"/>
          <w:sz w:val="20"/>
          <w:u w:val="single"/>
          <w:lang w:val="en-US" w:eastAsia="en-US" w:bidi="ar-SA"/>
        </w:rPr>
        <w:t>NAFTA and Specialty Air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NAFTA was signed by the Governments of Canada, the United States of America and the United Mexican States on December 17, 1992, and was ratified on January 1, 1994. It establishes a free-trade area with the object of, among other things, eliminating barriers to facilitate the cross-border movement of goods and services among the territories of the three 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Chapter 12 of NAFTA deals specifically with cross-border trade in services and prohibits parties from discriminating against service providers from the other states. Air services are excluded from this with limited exceptions, including "Specialty Air Services" ("SAS").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essence, SAS are services that do not transport passengers or cargo from one airport to another, but rather involve relatively short flights that take off from and return to the same airport. They include parachute jumping, and other services such as crop dusting, sightseeing, aerial surveying, flight training and aerial advertising. Where there are passengers, they are limited in number and participate voluntarily in what is essentially a recreational activity, as opposed to having to travel from, say, Vancouver to Toronto for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advantage to Canada of including SAS in cross-border trade is obvious. A provider of parachute jumping services, for instance, would not be confined to the Canadian summer, but could take advantage of the warm winter skies of our southern neighbours.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question became how to accomplish the realization of NAFTA's full benefits in a manner that ensured all SAS operators would be adequately equipped and able to conduct a safe commercial service, given the different regulatory regimes in each country. How this question was resolved is important to the plaintiff's claim. The evidence established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NAFTA process was intended to establish an equivalency in safety among the three national regulatory regimes, so that a U.S.-registered aircraft providing a Specialty Air Service in Canada under NAFTA would offer an equivalent (not identical) level of safety to that of a Canadian-registered aircraft operating in Canada under the CARs. The plaintiff alleges that after information came to light in 2000, it should have been evident to Transport Canada that this was not the case, at least insofar as the operators in question were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trilateral implementation process began with a meeting of government officials from the three nations in December of 1993, which proposed the creation of a working group, to be led by the three Civil Aviation Authorities. At a North American Transportation Summit held in Washington, D.C., in April 1994, the three governments committed to accomplishing implementation of the NAFTA SAS provisions in a timely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To that end, representatives from each country's Civil Aviation Authority met in Fort Worth, Texas, in June 1994 to establish an appropriate process. Canada was represented by the Director General of Aviation Regulation. They developed terms of reference that established a two-phase review process and three working groups: Licensing; Airworthiness; and Flight Operations. Each working group consisted of persons from each NAFTA Civil Aviation Authority who were technical experts in the area covered by the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Phase I, the working groups met to review and compare the relevant standards of the three Civil Aviation Authorities, and identify any "significant differences". A steering committee, comprised of representatives from each Civil Aviation Authority, served as the focal point for the working groups, and provided leadership during the process. A difference would be considered "significant" if any member of the working group believed it to be crucial. If such "significant differences" survived further scrutiny, they were elevated to the steering committee for a final determination in Phase 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was the steering committee's task to review any identified significant differences. A difference would remain "significant" if, after its review, the committee determined that a major policy or a new or amended rule was required to make the requirements compatible across the three Civil Aviation Authorities. If only a minor change was required to achieve this compatibility, the difference was no longer considered to be "significant". Identical requirements were not the objective; rather, the goal was to work the differences to the most harmonious level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carrying out its task, the steering committee adopted four basic assumptions: first, without exception, safety and security requirements would not be eroded in resolving differences among the three countries; second, upon the identification of a significant difference, every attempt would be made to recognize compatible requirements without the need to make them identical; third, where possible, differences would be made compatible through policy changes rather than the regulatory changes; and fourth, each Civil Aviation Authority agreed to publish the standards, process and requirements of the other two members for the benefit of its SAS operators who wished to conduct cross-border operations under NAFTA.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definition of "safety and security" received considerable attention because of differences between the English and Spanish languages. "Safety" was defined as "reducing the risk of damage or injury and/or the prevention of accidents in civil aviation".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Of 172 significant differences that were forwarded to the steering committee from the working groups, over 90% were reduced or eliminated through this process. The 18 significant differences that could not be resolved without regulatory or major policy changes were addressed in Phase II, once again with the assistance of three technical working groups covering the areas of licensing, airworthiness and flight operations and personal licensing, under the leadership of a steering committee. The focus remained on reconciling the significant differences so that, in the end, the levels of safety were equivalent.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What emerged from this NAFTA SAS implementation process was a fundamental concept of importance to this case: each SAS operator would be certified for operation under NAFTA by its domestic Civil Aviation Authority, and that certification would be accepted by each NAFTA partner as the basis for permitting the SAS operation in its respective country. Thus, for example, Transport Canada would accept a NAFTA SAS authorization issued by the FAA as the basis for authorizing a U.S.-registered aircraft to operate a Specialty Air Service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Similarly, aircraft used in cross-border SAS operations were required to be maintained and inspected in accordance with the requirements of the state of registry (the "domestic state"), not the state of operation (the "host state"). Accordingly, regulatory responsibility remained primarily with the Civil Aviation Authority of the domestic state (in this case the FAA), rather than transferring to the Civil Aviation Authority of the host state (in this case Transport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effect was this. The operator of a U.S.-registered SAS aircraft who wished to conduct parachute jumping operations in Canada would apply to Transport Canada for a Free Trade Agreement Air Operating Certificate ("FTA AOC"). In support of that application, Transport Canada required three certificates from the FAA: a Certificate of Registration (establishing valid registration in the United States); a Certificate of Airworthiness (indicating that the aircraft was safe to fly); and a NAFTA Certificate of Authorization (certifying satisfaction of all U.S. requirements for the conduct of parachute jumping operations). To obtain a Certificate of Authorization the operator had to apply to the local FAA Flight Standards District Office, which reviewed the application, conducted an aircraft check to ensure airworthiness, and ensured that all pilots named on the application were qualified to conduct the SAS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issuing an FTA AOC, Transport Canada would rely upon and accept the FAA's Certificate of Authorization as indicating that the operator was qualified to conduct the SAS in accordance with the conditions and limitations in the NAFTA implementation process. The plaintiff asserts that in the particular circumstances of this case, Transport Canada could not reasonably have continued to rely upon the FAA's Certificate of Authorization in relation to N17SA.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An FTA AOC issued by Transport Canada is valid for one year. It contains general and specific conditions, and permits the Minister to suspend or cancel the certificate at any time for noncompliance. Among the general conditions are the following:</w:t>
      </w:r>
      <w:r>
        <w:rPr>
          <w:rFonts w:ascii="arial" w:eastAsia="arial" w:hAnsi="arial" w:cs="arial"/>
          <w:sz w:val="20"/>
          <w:lang w:val="en-US" w:eastAsia="en-US" w:bidi="ar-SA"/>
        </w:rPr>
        <w:cr/>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foreign air operator shall maintain its aircraft in accordance with the </w:t>
      </w:r>
      <w:r>
        <w:rPr>
          <w:rFonts w:ascii="arial" w:eastAsia="arial" w:hAnsi="arial" w:cs="arial"/>
          <w:i/>
          <w:color w:val="000000"/>
          <w:sz w:val="20"/>
          <w:lang w:val="en-US" w:eastAsia="en-US" w:bidi="ar-SA"/>
        </w:rPr>
        <w:t>Airworthiness Requirements of the State of the foreign air operator</w:t>
      </w:r>
      <w:r>
        <w:rPr>
          <w:rFonts w:ascii="arial" w:eastAsia="arial" w:hAnsi="arial" w:cs="arial"/>
          <w:color w:val="000000"/>
          <w:sz w:val="20"/>
          <w:lang w:val="en-US" w:eastAsia="en-US" w:bidi="ar-SA"/>
        </w:rPr>
        <w:t xml:space="preserve"> and any maintenance in Canada shall be performed at an Approved Maintenance Organization (AMO) [emphasis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foreign air operator shall conduct a safe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To implement this negotiated process, it was necessary to modify the application of the existing Canadian regulatory regime. This is because certain provisions in the CARs regulating domestic SAS operations conflicted with the agreed-upon procedures for authorizing NAFTA SAS operations in Canada. Accordingly, in 1998, the Minister, through his delegate, the Director General, Civil Aviation, issued exemptions from those sections of the CARs and the Commercial Air Service Standards concerning the authorization to operate specialty air services under NAFTA and the operation of specialty air services domestically, pending amendment of those provisions to align them with the NAFTA implementation process as finalized.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2.3 </w:t>
      </w:r>
      <w:r>
        <w:rPr>
          <w:rFonts w:ascii="arial" w:eastAsia="arial" w:hAnsi="arial" w:cs="arial"/>
          <w:b/>
          <w:color w:val="000000"/>
          <w:sz w:val="20"/>
          <w:u w:val="single"/>
          <w:lang w:val="en-US" w:eastAsia="en-US" w:bidi="ar-SA"/>
        </w:rPr>
        <w:t>The Applicable Regulatory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Effectively, then, I find that the applicable regulatory framework established through the NAFTA process comprised 10 relevant features:</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ministerial exemptions exempted NAFTA SAS operators from the subparts of Part VII of the CARs concerning the authorization to operate SAS under NAFTA, and governing generally the operation of SAS in Canada;</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applicable maintenance requirements were those of the domestic state (in this case, set out in the FARs), which was also responsible for their enforcement;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airworthiness was to be determined by the domestic state;</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technical competency, including the ability to conduct safe operations, was to be determined by the domestic state;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pilot qualification and licensing was governed by the domestic state;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certification to operate in the host state was to be based on the regulatory certification of the domestic state, without an independent evaluation of whether those certification requirements were met;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terms and conditions of the host state certification (here, Transport Canada's FTA AOC) were agreed through NAFTA Phase II; Transport Canada could not amend, add to or delete these conditions except through a trilateral consultation process;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Transport Canada added three conditions as agreed through the NAFTA implementation process. The foreign operator had to carry proof of insurance on board the aircraft, provide the name of a Canadian Approved Maintenance Organization ("AMO") that would undertake any maintenance work performed in Canada, and indicate the type of inspection program it employed for the aircraft in accordance with the requirements of its domestic state.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applicable flight rules (Rules of the Air) were those of the host state, based on ICAO standards;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process generally, and enforcement procedures specifically, were governed by Transport Canada's </w:t>
      </w:r>
      <w:r>
        <w:rPr>
          <w:rFonts w:ascii="arial" w:eastAsia="arial" w:hAnsi="arial" w:cs="arial"/>
          <w:i/>
          <w:color w:val="000000"/>
          <w:sz w:val="20"/>
          <w:lang w:val="en-US" w:eastAsia="en-US" w:bidi="ar-SA"/>
        </w:rPr>
        <w:t>Foreign (FTA) Air Operator Certification Procedures Manual</w:t>
      </w:r>
      <w:r>
        <w:rPr>
          <w:rFonts w:ascii="arial" w:eastAsia="arial" w:hAnsi="arial" w:cs="arial"/>
          <w:color w:val="000000"/>
          <w:sz w:val="20"/>
          <w:lang w:val="en-US" w:eastAsia="en-US" w:bidi="ar-SA"/>
        </w:rPr>
        <w:t>. The enforcement procedures differed from those applicable to Canadian registered aircraft because they involved consultation with the domestic Civil Aviation Authority; they did not, however, preclude Transport Canada inspectors from issuing a Notice of Detention "where there is an immediate threat to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With respect to oversight and inspection, Transport Canada employed a risk-based program, ensuring that its limited resources were allocated to provide the fullest oversight of the highest risk activities and operators. SAS operators were generally considered by Transport Canada to be low risk operators because of the nature of the services they provided, which involved low passenger volume largely in a recreational context. NAFTA SAS operators were considered an even lower priority because their respective Civil Aviation Authorities inspected their aircraft, certified that their aircraft were airworthy, certified their pilots, and certified that their operations were safe, all on a basis determined through the implementation process to yield an equivalent level of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As a result, Transport Canada conducted inspections of NAFTA SAS aircraft only if there were a "trigger" such as complaint or information provided under its Civil Aviation Daily Occurrence Reporting System (CADORS), or on opportunity. Inspections were not regularly scheduled.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plaintiff did not argue that the NAFTA implementation process was unreasonable, and did not contest Transport Canada's position that the process represented a core policy decision that is immune from challenge on the basis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agree with that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further conceded that, in the normal course, the decision to accept FAA certification as indicating an equivalent level of safety was a policy decision immune from challenge, as was Transport Canada's approach to the allocation of its resources in terms of inspections. But, the plaintiff asserts, this was not the normal course after the events of 2000, when information came to light that Mr. Dause and Mr. Flanagan were apparently failing to meet appropriate safety standards. Then, the plaintiff argues, the matter was no longer within the realm of policy, but rather concerned operational activity in which Transport Canada must, like any actor, answer for a failure to act with reasonable care in response to that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As I indicated above, the questions of duty of care and standard of care are often difficult to separate entirely. I consider it helpful to the analysis of whether a duty of care existed to consider, contextually, both what is alleged to have given rise to that duty, and what is said to have constituted a breach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 THE EVENTS OF 2000-2001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As noted, it is these events that, in the submission of the plaintiff, took the question of Transport Canada's dealings in relation to N256TA and N17SA out of the ordinary course, and gave rise both to a duty of care and a breach of that duty. My findings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3.1 </w:t>
      </w:r>
      <w:r>
        <w:rPr>
          <w:rFonts w:ascii="arial" w:eastAsia="arial" w:hAnsi="arial" w:cs="arial"/>
          <w:b/>
          <w:color w:val="000000"/>
          <w:sz w:val="20"/>
          <w:u w:val="single"/>
          <w:lang w:val="en-US" w:eastAsia="en-US" w:bidi="ar-SA"/>
        </w:rPr>
        <w:t>Context: Maintenance and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3.1.1 </w:t>
      </w:r>
      <w:r>
        <w:rPr>
          <w:rFonts w:ascii="arial" w:eastAsia="arial" w:hAnsi="arial" w:cs="arial"/>
          <w:b/>
          <w:i/>
          <w:color w:val="000000"/>
          <w:sz w:val="20"/>
          <w:lang w:val="en-US" w:eastAsia="en-US" w:bidi="ar-SA"/>
        </w:rPr>
        <w:t>Time Before Overhaul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N17SA was powered by twin Pratt &amp; Whitney PT6A-20 turbo-prop engines, of which only the left engine is pertinent to this case. RMA replaced the left engine in July of 2005. At the time, RMA was not only a Transport Canada-approved maintenance organization, but was also a Pratt &amp; Whitney-recognized maintenance facility for its PT6 engines. The replacement engine was a used PT6A-20 that had been removed from a German-registered aircraft in December 2004. Issues of RMA's liability arising from this replacement will be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engine's logbook information indicates, and I find, that at the time of its installation, the replacement left-hand engine had accumulated 3766 hours in service since its last overhaul. By the time of the accident in August 2008, that engine had operated for 4435 hours since its last overhaul. At the material time, PWC recommended a time before overhaul ("TBO") of 3600 hours for its PT6A-20 engine. This excess of time during which the engine was operated beyond the recommended TBO is really the foundation of the plaintiff's claim against Transport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failure to overhaul the engines (and its fuel pump) as recommended by PWC, the plaintiff submits, represented a major departure from the regulatory standards that would apply to Canadian SAS operations in accordance with the CARs. The result, the plaintiff contends, was an unsafe condition that could not be masked by the deemed "equivalent level of safety" inherent in the NAFTA operating certificate, once information came to light concerning the operation of Mr. Dause and Mr. Flanagan in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3.1.2 </w:t>
      </w:r>
      <w:r>
        <w:rPr>
          <w:rFonts w:ascii="arial" w:eastAsia="arial" w:hAnsi="arial" w:cs="arial"/>
          <w:b/>
          <w:i/>
          <w:color w:val="000000"/>
          <w:sz w:val="20"/>
          <w:lang w:val="en-US" w:eastAsia="en-US" w:bidi="ar-SA"/>
        </w:rPr>
        <w:t>N17SA's Inspection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hours on the engine in excess of the recommended TBO are, submit Mr. Flanagan and Transport Canada, irrelevant.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First, the problem here was not engine failure,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but rather failure of the fuel pump, which is subject to its own service and inspection schedule. Second, they assert, the inspection program adopted for N17SA was one approved by the FAA and permitted by the FARs as a "current inspection program recommended by the aircraft manufacturer", being the Beechcraft Alternate Phase Inspection Program. That indeed was, I find, the inspection program followed for both N256TA and N17SA.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Flanagan and Transport Canada further say, correctly as far as it goes, that PWC's recommended TBO was optional but not mandatory, and was not followed in many cases, particularly for low utilization aircraft. If the Beechcraft Alternate Phase Inspection Program had been executed properly by the qualified mechanic employed for that purpose, they contend, it would have disclosed the wear on the drive splines of the left fuel pump that caused the pump to fail, and the left engine to lose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3.2 </w:t>
      </w:r>
      <w:r>
        <w:rPr>
          <w:rFonts w:ascii="arial" w:eastAsia="arial" w:hAnsi="arial" w:cs="arial"/>
          <w:b/>
          <w:color w:val="000000"/>
          <w:sz w:val="20"/>
          <w:u w:val="single"/>
          <w:lang w:val="en-US" w:eastAsia="en-US" w:bidi="ar-SA"/>
        </w:rPr>
        <w:t>Prologue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This case begins, as it ends, with Mr. Flanagan, who acted on his own behalf. I found him to be a credible and reliable witness. He gave his evidence in a straightforward and open manner free of prevarication, responded fairly and directly to questions put to him in cross-examination, and did not hesitate to acknowledge his shortcomings.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Flanagan obtained his pilot's license in August 1973, shortly before his 18th birthday. He has been skydiving since November 1973, and bought his first aircraft in April 1975. He is not new to this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Flanagan graduated from the University of British Columbia's Faculty of Law in 1982, and qualified for his commercial pilot's license while he was articling. He then attended the London School of Economics where he obtained his LL.M. and a diploma in Air and Space Law. It was while he was in England that he was first employed flying skydivers.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He continued to fly skydivers, or "jumpers" as he calls them, upon his return from England, and started flying jumpers from Pitt Meadows in August 1985. He obtained his multi-engine aircraft rating in 1986, and his Airline Transport Pilot Licences in both Canada and the United States in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his time as a jumper, Mr. Flanagan has made 4,626 jumps in 14 countries, including 2,291 in the United States at 26 different drop zones in nine different states. As of the time he testified, he had flown 6,154 hours, including 10,644 flights with jumpers, and had flown 1,425.9 hours in the Beech A90 type of aircraft.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1977, Mr. Flanagan met Mr. Bill Dause, who had run a skydiving operation since the mid-1960s. Mr. Flanagan spent the university summer breaks of 1978 and 1979 working for Mr. Dause in Pope Valley, California. They then parted ways, with Mr. Flanagan spending the summer of 1980 as a civilian parachute instructor for the Canadian Armed Forces in Baden-Baden, Germany, and Mr. Dause moving his operation to Texas.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1981, Mr. Dause moved his operation again, this time to a drop centre in Lodi, California, where he has remained ever since. Mr. Flanagan visited Mr. Dause and the Lodi drop centre regularly thereafter. They were long-time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1996, Mr. Dause wanted to get out of the business of owning aircraft. He preferred to lease and operate aircraft that were owned by others. Leasing, of course, is a common arrangement in air transportation, from major international airlines down to private aircraft.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Flanagan incorporated Flanagan Nevada in October 1996. In early 1997, Flanagan Nevada purchased two aircraft, including N256TA, which he bought from another Nevada company that, like his, was owned by Canadians. He leased these to Mr. Dause, and they were used entirely in California. But that is not all Flanagan Nevada did. It also facilitated American operations for a business he had operated with his cousin, under the name of ACG Installations, which specialized in the provision of temporary electrical power for special events. All the while, Mr. Flanagan continued to practice law in Vancouver, but gave that up in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Over the years, Flanagan Nevada has owned 15 or 16 aircraft, and never operated any of them. All were leased to Mr. Dause.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the summer of 1999, Mr. Dause was operating two aircraft leased from Flanagan Nevada, a DHC Twin Otter, and N256TA (a Beech King Air B90). The Twin Otter was the larger plane, and was used more. Mr. Dause therefore suggested to Mr. Flanagan that N256TA go to Canada for the summers, where it would be busier than in Lodi, and return to Lodi for the other seasons where it would be busier than in Canada. Mr. Flanagan investigated how this could be accomplished on Mr. Dause's behalf, and took a look at NAFTA, with which he was familiar as a result of work in the United States undertaken for ACG Installations. And that is how it came to pass that Mr. Dause applied to Transport Canada for an FTA AOC for N256TA in the year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3.3 </w:t>
      </w:r>
      <w:r>
        <w:rPr>
          <w:rFonts w:ascii="arial" w:eastAsia="arial" w:hAnsi="arial" w:cs="arial"/>
          <w:b/>
          <w:color w:val="000000"/>
          <w:sz w:val="20"/>
          <w:u w:val="single"/>
          <w:lang w:val="en-US" w:eastAsia="en-US" w:bidi="ar-SA"/>
        </w:rPr>
        <w:t>N256TA comes to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Dause's first application for an FTA AOC was rejected because it failed to include a Certificate of Authorization from the FAA. It appeared to rely instead upon a lease agreement by which Mr. Dause leased the aircraft to Flanagan Enterprises Inc., the B.C. company. The application was resubmitted after the FAA issued a Certificate of Authorization to Mr. Dause, and Transport Canada issued an FTA AOC valid from May 12, 2000 to March 31, 2001 (matching the term of the FAA Certificate of Authorization).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It should be noted that in 2000, the entire process around NAFTA SAS operations was new, not only to Bill Dause and Ian Flanagan, but also to the employees of Transport Canada. Consequently, as matters unfolded with respect to N256TA, there was a good deal of discussion among Transport Canada personnel as they worked their way through an entirely new model.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Transport Canada's Director General of Civil Aviation (Aviation Safety Oversight and Transformation), Mr. Denis Guindon, was Chief of Transport Canada's Foreign Inspection Division in 2000. In that capacity, he and his staff were responsible for certifying and overseeing foreign carriers coming into and out of Canada, as well as FTA AOCs. Mr. Guindon was a most impressive witness. He testified that the </w:t>
      </w:r>
      <w:r>
        <w:rPr>
          <w:rFonts w:ascii="arial" w:eastAsia="arial" w:hAnsi="arial" w:cs="arial"/>
          <w:i/>
          <w:color w:val="000000"/>
          <w:sz w:val="20"/>
          <w:lang w:val="en-US" w:eastAsia="en-US" w:bidi="ar-SA"/>
        </w:rPr>
        <w:t>Foreign (FTA) Air Operator Certification Procedures Manual</w:t>
      </w:r>
      <w:r>
        <w:rPr>
          <w:rFonts w:ascii="arial" w:eastAsia="arial" w:hAnsi="arial" w:cs="arial"/>
          <w:color w:val="000000"/>
          <w:sz w:val="20"/>
          <w:lang w:val="en-US" w:eastAsia="en-US" w:bidi="ar-SA"/>
        </w:rPr>
        <w:t xml:space="preserve"> was their Bible, but in addition, he visited regional offices to explain the program and how to approach issues with NAFTA SAS operators. On March 31, 2000, he met with regional managers in Vancouver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Concerns about N256TA were first raised by a Transport Canada inspector, Richard Mackereth, on August 30, 2000, after he had inspected N256TA while auditing Mr. Flanagan's B.C. company at Pitt Meadows. Mr. Mackereth had found several deficiencies in his inspection, but raised two larger concerns with respect to which he required assistance from his colleagues in understanding how the NAFTA rules applied. These were the absence of an approved maintenance schedule, and the fact that the engines were well beyond their recommended TBO with no evidence of a condition trend monitoring program. The difficulty was that the maintenance requirements for NAFTA SAS operators were those set out in the American FARs, Part 91, rather than the CARs. Mr. Mackereth discussed the situation with other Transport Canada colleagues, and determined to follow-up with the FAA. His colleague Bob Nicholson, Manager of Certification in Transport Canada's Foreign Inspection Division, followed up with a conversation with Mr. Dause in California.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These matters were also brought to the attention of Mr. Cliff Neudorf, then an airworthiness inspector in the Foreign Inspection Division. Mr. Neudorf expressed concerns then which he continued to have right through to this trial, where the plaintiff tendered him as an expert witness. Canada objected to the admissibility of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reasons for judgment indexed as </w:t>
      </w:r>
      <w:r>
        <w:rPr>
          <w:rFonts w:ascii="arial" w:eastAsia="arial" w:hAnsi="arial" w:cs="arial"/>
          <w:i/>
          <w:color w:val="000000"/>
          <w:sz w:val="20"/>
          <w:lang w:val="en-US" w:eastAsia="en-US" w:bidi="ar-SA"/>
        </w:rPr>
        <w:t>Workers' Compensation Board of British Columbia v Flanagan Enterprises (Nevada) Inc</w:t>
      </w:r>
      <w:r>
        <w:rPr>
          <w:rFonts w:ascii="arial" w:eastAsia="arial" w:hAnsi="arial" w:cs="arial"/>
          <w:color w:val="000000"/>
          <w:sz w:val="20"/>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2016 BCSC 650</w:t>
        </w:r>
      </w:hyperlink>
      <w:r>
        <w:rPr>
          <w:rFonts w:ascii="arial" w:eastAsia="arial" w:hAnsi="arial" w:cs="arial"/>
          <w:color w:val="000000"/>
          <w:sz w:val="20"/>
          <w:lang w:val="en-US" w:eastAsia="en-US" w:bidi="ar-SA"/>
        </w:rPr>
        <w:t>, I ruled that Mr. Neudorf was qualified to express an expert opinion in some (but not all) of the areas for which the plaintiff sought to qualify him, subject to weight. I also found substantial portions of his report to be inadmissible, but ordered that the report be admitted after those portions were excised.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On September 13, 2000, Mr. Neudorf responded via email to advice from Mr. Nicholson about Mr. Nicholson's conversation with Bill Dause. Mr. Neudorf put forward a theory then that he maintained at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Bob, I guess your conversation lends support to my theory that Canadians will go under NAFTA to great lengths (possibly to the extent of setting up U.S. front offices for registering and operating aircraft) in order to get around Canadian law in order to save money. It is my understanding that the aircraft is registered to a company that bears the same name as the Canadian pilot of the aircraft. Is this a coincidence? I think not. I am sure the FAA are well aware of the paper trail but then again they are only interested in safety in accordance with their standards. I am sure that it would not bother them that a Canadian would be using the American system (legally) to get around Canadian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concept, addressed by Mr. Neudorf at trial and relied upon by the plaintiff in its claim, was that Mr. Flanagan and Mr. Dause manipulated the system in order to be able to operate in Canada through an FTA AOC, thereby avoiding application of the allegedly more stringent safety standards of the CARs. They did this, it was suggested, through a sham lease arrangement.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reject that proposition. On this question, Mr. Neudorf was wrong then and he is wrong now. Indeed, his persistence in the face of evidence to the contrary leads me to give little weight to his opinions. This is not to say that he was wrong to raise the concern; others did as well. But his "theory" was one that became something of a hobbyhorse notwithstanding its inapplicability to the circumstances of this case. This remained so even after Mr. Neudorf followed up with the FAA, whose inspector was "satisfied with the operation of this [King Air] by Bill Dause".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As Mr. Flanagan testified, and I accept, Flanagan Nevada was not set up to get around Canadian law, but to accomplish various business purposes in the United States including the leasing of aircraft to Mr. Dause for his use in California. The suggestion that N256TA be used in Canada in the summer months came, I find, from Mr. Dause, for the benefit of both him and Mr. Flanagan. In this regard, I prefer Mr. Flanagan's clear and logical evidence to the contextually more ambiguous evidence given by Mr. Dause on discovery (the transcript of his discovery evidence was admitted into evidence at trial by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issue raised by the plaintiff of Mr. Flanagan being the true "operator" of N256TA and N17SA, as opposed to Mr. Dause, is, I find, a red herring. The meaning of "operator", like the meaning of most words, varies according to context. While it is true that Mr. Flanagan was the "operator" in the general sense of being responsible for the day-to-day operation of the aircraft in Canada, he was not the "operator" in the context of both the FAA and Transport Canada certification requirements. Accordingly, I find no inconsistency between Mr. Flanagan's use of the word in his affidavit before the Worker's Compensation Appeal Tribunal, wherein he described Pacific Skydivers as the operator of N17SA, in the former sense, and his position at trial that Mr. Dause was the operator, in the latter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Dause exercised sufficient control, I find, including responsibility for maintenance, to satisfy the certification requirements. In this, I accept the evidence of the Director General. I also accept the evidence of Shanti Mendis, an airworthiness inspector in Transport Canada's Foreign Inspection Division, in the context of the lease arrangement he reviewed in 2001. That commercial arrangement was not relevant to the status of Mr. Dause as operator. Similarly, Mr. Flanagan's role as agent for Mr. Dause was not relevant given my finding that this was not, as suggested by Mr. Neudorf, some sort of conspiracy to make an end run around the Canadian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3.4 </w:t>
      </w:r>
      <w:r>
        <w:rPr>
          <w:rFonts w:ascii="arial" w:eastAsia="arial" w:hAnsi="arial" w:cs="arial"/>
          <w:b/>
          <w:color w:val="000000"/>
          <w:sz w:val="20"/>
          <w:u w:val="single"/>
          <w:lang w:val="en-US" w:eastAsia="en-US" w:bidi="ar-SA"/>
        </w:rPr>
        <w:t>The Suspension of N256TA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We come now to the nub of what occurred in 2000. I do not propose to go through all of the steps that ultimately led Mr. Guindon to prepare a draft Notice of Suspension of the FTA AOC issued to Mr. Dause in relation to N256TA, dated December 7, 2000. They are not directly relevant to the claim in relation to N17SA. Suffice to say that the steps included: Mr. Mackereth's ramp inspection; a Letter of Notification requiring steps to be taken to remedy observed deficiencies; correspondence and discussions with Mr. Flanagan and Mr. Dause; a good deal of internal discussion; follow-up with the FAA; a further ramp inspection carried out by Mr. Mackereth and Mr. Mendis on November 6, 2000; and a detailed letter from Mr. Guindon to Mr. Dause dated November 20, 2000, warning that Transport Canada was contemplating action to suspend the FTA AOC because of the concerns therein set out. Corrective action was to be demonstrated by December 3,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On November 29, 2000, Mr. Dause responded to Mr. Guindon's warning letter of November 20, 2000. Mr. Guindon did not consider the response to be entirely satisfactory, and asked Mr. Neudorf to review it. Mr. Mendis was out of the office, but reviewed Mr. Dause's response and Mr. Neudorf's assessment on his return. While Mr. Mendis accepted that Mr. Dause had addressed some of Transport Canada's concerns, he considered that Mr. Dause had failed to address several others adequately.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Mendis concluded that this was an appropriate situation for the delivery of a Notice of Suspension, suspending N256TA's FTA AOC until Mr. Dause had complied with a series of conditions specified for reinstatement. But this was not an ordinary situation as the air operating certificate was a NAFTA certificate, and the FAA had a role to 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Accordingly, while Mr. Mendis prepared an initial draft of the Notice of Suspension, Mr. Nicholson had discussions with Robert Barton, the FAA's Manager, Operations and Safety, in Washington, DC. Mr. Barton was already aware of the warning letter of November 20, 2000, and asked to see all of the issues that remained of concern to Transport Canada so that the FAA could review them and take appropriate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draft Notice of Suspension was therefore accompanied by a list of Conditions for Reinstatement that required Mr. Dause to provide to Transport Canada written confirmation from the FAA that the various concerns were either addressed or in accordance with FAA requirements. Although addressed to Mr. Dause as part of the draft Notice of Suspension, they were in fact intended for the information and attention of the FAA. This followed the model created by the NAFTA implementation process of placing enforcement responsibility on the domestic Civil Aviation Authority, while maintaining Transport Canada's oversight role. The conditions were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"Bill Dause" shall provide to Transport Canada:</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aircraft bearing registration N256TA, the Free Trade Agreement (FTA) Air Operator "Bill Dause" shall provide to Transport Canada written confirmation from the Federal Aviation Administration (FAA) that: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aircraft maintenance records identify the program being utilized for the inspection of the aircraft (FAR 91.409(f) refers);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aircraft's maintenance records confirm the current airworthiness status of the aircraft;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engines installed on the aircraft have been overhauled and the hot section inspections have been performed in accordance with the program identified by the engine manufacturer;</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installed aircraft components have exceeded their inspection or overhaul interval limits;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aircraft components inspection or overhaul interval have been subjected to an inspection or interval escalation except in accordance with an approved condition monitoring system;</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aircraft was airworthy when, as indicated in the aircraft "Airtime and Engineering Record," it was operated from June 15, 2000 to September 27, 2000, with the right and left-hand fuel tanks disconnected; the fuel system re-routed to provide for right and left hand nacelle fuel use only; and the right and left-hand fuel check valves capped;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aircraft is equipped with all essential emergency equipment as required by the Federal Aviation Regulations (FARs). (Note: a ramp inspection conducted on September 09, 2000 found neither a fire extinguisher nor a first-aid kit);</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Free Trade Agreement (FTA) Air Operator "Bill Dause" shall identify the approval authority for, and provide to Transport Canada, a complete description of any condition monitoring system employed to manage the inspection, overhaul or replacement intervals of the aircraft's engines or components.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As the Director General explained, it was not possible for inspectors from either Transport Canada or the FAA to have the same understanding of all of the intricacies of the other's regulations as they would have of their own. So in setting out the Conditions for Reinstatement, he and Mr. Mendis were concerned to make it clear to the FAA what they felt on their side needed to be addressed. The FAA could then consider how it all fit in with its own set of regulations, and take such enforcement steps as it considers appropriate. The FAA, for instance, was better equipped to investigate and determine whether Mr. Dause's maintenance program met all the FAA's requirements. The point was to give the FAA the opportunity to take action before Transport Canada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That is indeed what happened, and it happened quickly. On or shortly after December 7, 2000, the Draft Notice of Suspension and Conditions of Reinstatement were faxed to Mr. Barton in Washington, together with copies of correspondence between Flanagan/Dause and Transport Canada. On December 14, 2000, Mr. Barton faxed a letter to Mr. Dause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Effective immediately, the U.S. Department of Transportation, Federal Aviation Administration (FAA) suspends the North American Free Trade Certification of Authorization number 00FS00SAS0037, issued to Bill Dause on May 12, 2000.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suspension shall remain in effect until FAA is able to investigate irregularities surfaced by Transport Canada officials as well as discrepancies uncovered by FAA Washington Headquarters, issuing authority, and the Oakland Flight Standards District Office, issuer of the original 7711-2, Application for Certificate of Waiver or Authorization.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time, it is unclear in what geographical region the Beechcraft 65-A90, N256TA, is actually based. It is recommended that you immediately contact this office and let us know where the aircraft is based and we will forward the information package to the FSDO nearest the aircraft's base for investigation and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Transport Canada's Draft Notice of Suspension was thus superseded, as the concerns it raised were now in the hands of the FAA. In the meantime, the FAA had removed the underpinning of the FTA AOC issued by Transport Canada, being the FAA's Certificate of Authorization. Transport Canada therefore prepared a new Notice of Suspension (no longer draft) effective December 19, 2000, setting out as the ground the FAA's suspension of its NAFTA Certificate of Authorization. The stated Condition for Reinstatement was now the FAA's reinstatement of that Certificate. This was sent to Mr. Dause by fax on its effective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 took exception to the fact that this Notice of Suspension did not list the same Conditions for Reinstatement that were on the draft notice, and therefore did not set parameters for the future. Mr. Guindon explained that all of the concerns had been delineated to the FAA, and both the FAA's Certificate of Authorization, and the Transport Canada FTA AOC had been suspended. They were thus back in the normal process. If, with its awareness of the concerns and after conducting its investigation, the FAA were to reissue a certificate of authorization, then that would indicate that the aircraft met the airworthiness and competence conditions necessary to support the issuance of a new FTA AOC by Transport Canada. If and when the aircraft returned, Mr. Nicholson's office was tasked with having a look at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3.5 </w:t>
      </w:r>
      <w:r>
        <w:rPr>
          <w:rFonts w:ascii="arial" w:eastAsia="arial" w:hAnsi="arial" w:cs="arial"/>
          <w:b/>
          <w:color w:val="000000"/>
          <w:sz w:val="20"/>
          <w:u w:val="single"/>
          <w:lang w:val="en-US" w:eastAsia="en-US" w:bidi="ar-SA"/>
        </w:rPr>
        <w:t>The Return of N256TA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Dause did indeed reapply in 2001. After an initial false start, the application was completed with two important documents: a new FAA Certificate of Authorization valid from May 10, 2001 to April 30, 2002, and a Conformity Inspection Report from the FAA. That report, from the FAA Oakland Flight Standards District Office, provided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May 3, 2001, inspectors from this office completed a conformity inspection of the referenced aircraft in consideration of your request to operate the aircraft under the provisions of specialty air services (SAS) of the North American Free Trade Agreement (NAFTA) between Canada and the United States. Our inspection of the aircraft was conducted with regulatory guidance outlined in FAA Order 8300.10. The inspection consisted of a review of aircraft maintenance records, and an inspection of the aircraft. Our findings are noted below:</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Chafe guard missing from clamp supporting a wire bundle on upper NLG drag brace.</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Electrical connector on fuel heater solenoid valve on NLG overhead bulkhead has exposed wires.</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bare, exposed wire noted on terminal strip in NLG wheel well, right hand bulkhead.</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Two missing fasteners noted on left-hand lower engine cowel scoop.</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Two missing fasteners noted on right-hand lower engine cowel scoop.</w:t>
      </w:r>
    </w:p>
    <w:p>
      <w:pPr>
        <w:numPr>
          <w:numId w:val="2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Dent noted in left-hand, outboard flap segment at inboard edge, upper surface.</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landing gear strut pistons very dirty.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list of the discrepancies was provided to you, and corrective actions immediately taken.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review of aircraft records finds that the aircraft at the time of inspection meets the conformity requirements of applicable Federal Aviation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Flanagan testified, and I accept, that two FAA inspectors had spent a day carrying out this conformity inspection. One inspector took all of the technical records for the aircraft and spent hours going through them. The other conducted a thorough physical inspection. They had a list of the questions that Transport Canada had raised. So extensive an inspection was unusual in Mr. Flanagan's experience. Indeed, according to Mr. Mendis, this receipt of a Conformity Inspection Report in support of a NAFTA SAS application was unique.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these circumstances, the Foreign Inspection Division lifted the Notice of Suspension it had issued on December 19, 2000, as the Condition for Reinstatement had been satisfied. All of the paperwork was in order, and in accordance with the NAFTA process, the Foreign Inspection Division issued an FTA AOC for N256TA on May 10, 2001, valid until April 30, 2002. Transport Canada did not make any independent assessment of whether the concerns listed in the earlier draft Notice of Suspension had been addressed. For that, it relied upon the new FAA Certificate of Authorization with supporting documentation, and the FAA Conformity Inspection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Neudorf attempted, in a portion of his expert report that I found to be inadmissible, to interpret the FAA Conformity Inspection Report in a manner that supported his contention that Transport Canada ought not to have relied upon it. He had no special expertise in such interpretation, and indeed seemed to be going well beyond the bounds of proper expert opinion. For my part, I accept the evidence of Mr. Mendis to the effect that these documents signified that the FAA had inspected the aircraft, had deemed it airworthy, had reviewed the aircraft's records including its maintenance program, and had confirmed that the operation met all of the requirements under NAFTA.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This was not, then, a case of Transport Canada fettering its discretion by accepting FAA certification blindly as a matter of policy. Rather, it had put its mind to the specific circumstances of this case and had, I find, taken into account relevant factors. It engaged with the FAA specifically to address those factors and received a satisfactory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On August 24, 2001, while in the Pacific region on other business, Mr. Mendis visited the Pitt Meadows Airport with Ross Hubbard, a regional inspector, and together, they carried out a ramp inspection of N256TA.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Mendis testified, and I accept, that he observed on this inspection that N256TA was in "way better shape" than what he had seen when he inspected it in 2000. In the result, he and Mr. Hubbard identified eight "snags", or observed deficiencies. None of these impaired the aircraft's airworthiness, and none was among the list of discrepancies set out in the FAA's Conformity Inspection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These snags were the subject of a Letter of Notification to Mr. Dause that formed part of the Aircraft Surveillance Report Mr. Hubbard prepared following the inspection. A response was requested by September 24, 2001, indicating what steps had been made to correct each snag. The plane returned to Lodi for repairs, and Mr. Dause signed off on the response on September 3, 2001. Transport Canada received it on September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3.6 </w:t>
      </w:r>
      <w:r>
        <w:rPr>
          <w:rFonts w:ascii="arial" w:eastAsia="arial" w:hAnsi="arial" w:cs="arial"/>
          <w:b/>
          <w:color w:val="000000"/>
          <w:sz w:val="20"/>
          <w:u w:val="single"/>
          <w:lang w:val="en-US" w:eastAsia="en-US" w:bidi="ar-SA"/>
        </w:rPr>
        <w:t>Epilogue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3.6.1 </w:t>
      </w:r>
      <w:r>
        <w:rPr>
          <w:rFonts w:ascii="arial" w:eastAsia="arial" w:hAnsi="arial" w:cs="arial"/>
          <w:b/>
          <w:i/>
          <w:color w:val="000000"/>
          <w:sz w:val="20"/>
          <w:lang w:val="en-US" w:eastAsia="en-US" w:bidi="ar-SA"/>
        </w:rPr>
        <w:t>Annual renewals and the addition of N17SA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Thereafter, Mr. Dause continued to apply annually for FTA AOCs for N256TA, adding N17SA beginning in 2003. His applications were routinely accompanied by new Certificates of Authorization issued by the FAA, and all other necessary supporting documentation. Each year, the FAA inspected both aircraft at Mr. Dause's base in Lodi before issuing its Certificate of Authorization.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3.6.2 </w:t>
      </w:r>
      <w:r>
        <w:rPr>
          <w:rFonts w:ascii="arial" w:eastAsia="arial" w:hAnsi="arial" w:cs="arial"/>
          <w:b/>
          <w:i/>
          <w:color w:val="000000"/>
          <w:sz w:val="20"/>
          <w:lang w:val="en-US" w:eastAsia="en-US" w:bidi="ar-SA"/>
        </w:rPr>
        <w:t>Inspections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addition to Pacific Skydivers, Mr. Flanagan's Canadian company, Flanagan Enterprises Inc., also operated the Niagara Skydive Centre in Dunnville, Ontario, where he used his own Canadian-registered aircraft, subject to the CARs. In 2004, regional inspectors conducted a base inspection of that operation while in Dunnville on another matter. These inspections focus on the business aspects of the operations, and include relatively brief inspections of any aircraft that are present. In this case, the inspector identified a problem with the weight and balance calculations and issued a Notice of Detection.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Where a problem was detected in a base inspection, Transport Canada risk management procedures required a follow-up base inspection within a year. If no further violations were detected, the next follow-up inspection was to be scheduled in two years, and thereafter, in the absence of any violation, the air operator was removed from the risk-management base inspection priority list altogether. That is what occurred here in relation to Mr. Flanagan's domestic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This further refutes the suggestion that Mr. Flanagan was using NAFTA registration in order to avoid Canadian regulation. His businesses included a number of Canadian-registered SAS aircraft, and compliance was not a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addition, at some point during this series of base inspections at Dunnville, the inspectors took the opportunity to inspect N17SA because it happened to be at the base and available. It was a brief inspection because maintenance work was being carried out, but the external inspection they conducted demonstrated no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Mendis inspected N256TA once again when on the West Coast on other business in July 2006. This, too, was an "on opportunity" inspection. While he could not remember whether he saw N256TA or N17SA, Mr. Flanagan's pilot's log shows that it was N256TA that was in Pitt Meadows at that time. There were no airworthiness concerns, and no defects were noted.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3.6.3 </w:t>
      </w:r>
      <w:r>
        <w:rPr>
          <w:rFonts w:ascii="arial" w:eastAsia="arial" w:hAnsi="arial" w:cs="arial"/>
          <w:b/>
          <w:i/>
          <w:color w:val="000000"/>
          <w:sz w:val="20"/>
          <w:lang w:val="en-US" w:eastAsia="en-US" w:bidi="ar-SA"/>
        </w:rPr>
        <w:t>Compliance with maintenance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As we have seen, Mr. Dause did not follow the TBO recommendation from PWC of overhauling the engines every 3600 hours. What he did follow was the Beech Alternate Phase Inspection Program. In the result, servicing that required an inspection of the engine fuel pump coupling was undertaken every 200 hours (inspection phases 2 and 4). These inspections were designed to identify the very problem of fretting wear that occurred here by detecting reddish-brown staining indicative of the corrosion that would accompany such wear. If such staining were detected (it was not), then the fuel pump had to be removed and inspected.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It is helpful to understand that ramp inspections such as those carried out by Transport Canada are not mechanical inspections, and would not disclose internal mechanical problems such as fretting wear and corrosion of the fuel pump drive splines.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June 2007, Pratt &amp; Whitney introduced a new 1800 hour periodic inspection of the fuel pump coupling. This recommended removal and inspection of the fuel pump after 1800 hours of use whether or not staining had been detected on a phase inspection. If staining indicative of corrosion were observed on this inspection, then the fuel pump was to be forwarded to an approved overhaul facility. There is no evidence that such an inspection was conducted in this case before the failure (which occurred less than 1800 hours after the engine was installed). The two inspections undertaken since June 2007 took place on November 29, 2007, and March 6, 2008. They are recorded as phase inspections.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this context, the evidence establishes that, as a basic proposition, Civil Aviation Authorities in general, and the FAA in particular, reserve to themselves the right to determine what standards are mandatory, as opposed to leaving it to the manufacturers. Under the FARs, a manufacturer's service recommendation will generally not be considered mandatory (depending in part on the timing of the recommendation in relation to the maintenance program selected by the operator) unless adopted as such by the FAA through an Airworthiness Directive.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Much time was devoted in this litigation, both before and during trial, to the question of whether the course of maintenance and inspections followed by Mr. Dause complied with the United States regulations as set out in the FARs. It should be remembered that the FAA inspected these aircraft annually. Initially, Transport Canada took the position that Mr. Dause had failed to comply with the FARs, but changed that position before trial when support was not forthcoming from the FAA: see </w:t>
      </w:r>
      <w:r>
        <w:rPr>
          <w:rFonts w:ascii="arial" w:eastAsia="arial" w:hAnsi="arial" w:cs="arial"/>
          <w:i/>
          <w:color w:val="000000"/>
          <w:sz w:val="20"/>
          <w:lang w:val="en-US" w:eastAsia="en-US" w:bidi="ar-SA"/>
        </w:rPr>
        <w:t>Workers' Compensation Board of British Columbia v Flanagan Enterprises (Nevada) Inc</w:t>
      </w:r>
      <w:r>
        <w:rPr>
          <w:rFonts w:ascii="arial" w:eastAsia="arial" w:hAnsi="arial" w:cs="arial"/>
          <w:color w:val="000000"/>
          <w:sz w:val="20"/>
          <w:lang w:val="en-US" w:eastAsia="en-US" w:bidi="ar-SA"/>
        </w:rPr>
        <w:t xml:space="preserve"> (26 January 2015), Vancouver S105434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Indeed, no witness from the FAA testified at this trial to assist in resolving this question, and the answer remained unclear--thus illustrating the wisdom of Transport Canada's position in 2001, discussed above, of leaving it to the FAA to determine the extent to which the problems identified by Transport Canada were in violation of the FARs, and what steps were required to correct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plaintiff led opinion evidence concerning maintenance and related matters from three expert witnesses: Cliff Neudorf, who, as we have seen, was an airworthiness inspector in Transport Canada's Foreign Inspection Division, and is a licensed Aircraft Maintenance Engineer; Robert Gordon Marshall, a specialist in aircraft maintenance and Canadian civil aviation regulatory requirements relating to maintenance (also formerly with Transport Canada); and William Andreychuk, an expert in aircraft maintenance including compliance in both Canada and the United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have already commented on some weaknesses in Mr. Neudorf's opinion evidence concerning the question of whether Mr. Dause was an "operator" in the context of certification requirements. One of the difficulties was that Mr. Neudorf had, to quote counsel for Transport Canada, a "pony in the race", in that he espoused personal opinions that had been an issue for him from the time of his personal involvement. I did not consider this to be a disqualifying bias, but I find it difficult to accord much weight to his opinions in the circumstances, given the factors I discussed in my ruling on the admissibility of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had difficulty also with Mr. Neudorf's conclusion that the maintenance requirements under the FARs were less safe than those under the CARs. It was highly subjective, and relied largely on a report on skydiving accidents in the United States published by the United States National Transportation Safety Board in September, 2008. The parameters of that report, as I read it, disqualify it from providing support for the conclusion that Mr. Neudorf drew.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Although I am sure Mr. Neudorf's opinions were honestly held, I conclude that his was not the sort of independent and objective expert evidence upon which I could safely 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found Mr. Marshall's report and evidence also to be of very limited assistance. First, his evidence addressed the maintenance requirements under part 702 of the CARs, which were not applicable to N17SA, although they may be relevant to the question of equivalence. I do accept his opinion that an operator governed by part 702 (Canadian commercial operators) would in most circumstances be required to follow the manufacturer's TBO program, which was not followed here, but that does not take us very far. It was not followed in many cases. I also accept his opinion that, under the CARs, an operator who wished to deviate from the manufacturer's recommendations would have to provide substantiation for the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Second, Mr. Marshall tended to use hyperbole and conclusory statements in his report that suggested a less than impartial approach. This suggestion was supported by what I found to be his begrudging manner in answering some fairly straightforward questions put to him in cross-examination. It was further supported by, for instance, his reference to Transport Canada's Maintenance and Manufacturing Staff Instructions, MSI 46, </w:t>
      </w:r>
      <w:r>
        <w:rPr>
          <w:rFonts w:ascii="arial" w:eastAsia="arial" w:hAnsi="arial" w:cs="arial"/>
          <w:i/>
          <w:color w:val="000000"/>
          <w:sz w:val="20"/>
          <w:lang w:val="en-US" w:eastAsia="en-US" w:bidi="ar-SA"/>
        </w:rPr>
        <w:t>Concerning Operational Airworthiness</w:t>
      </w:r>
      <w:r>
        <w:rPr>
          <w:rFonts w:ascii="arial" w:eastAsia="arial" w:hAnsi="arial" w:cs="arial"/>
          <w:color w:val="000000"/>
          <w:sz w:val="20"/>
          <w:lang w:val="en-US" w:eastAsia="en-US" w:bidi="ar-SA"/>
        </w:rPr>
        <w:t>. This document established policy and procedures for the suspension of Certificates of Airworthiness and Flight Permits. In his report, Mr. Marshall quoted a portion of the document out of context, omitting the section that indicated that the procedure to which he referred was not applicable to foreign registered aircraft. Once again, I was left with real concerns about his objectivity.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these circumstances, I am unable to put weight on his opinion that N17SA's operator "demonstrated a total disregard for regulatory and safety concerns." Apart from what I have just indicated, that conclusion is at odds with the evidence I accept from Mr. Flanagan, and with the approach of the FAA.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Andreychuk, unlike Mr. Marshall and Mr. Neudorf, has obtained aircraft maintenance qualifications in the United States as well as in Canada, and remained active in both countries. Part of his evidence was directed towards the role of RMA at the time of the installation of the left engine on N17SA. With respect to the maintenance of the engine thereafter, the thrust of Mr. Andreychuk's opinion was that Mr. Dause had not properly complied with the requirements of the applicable FARs, although he noted that (as Mr. Flanagan had maintained and I accept) the operation of a PT6A-20 engine beyond its Pratt &amp; Whitney-recommended TBO of 3600 hours is common in the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While I accept Mr. Andreychuk's opinion concerning the installation of the left engine, I found his report and evidence to be less helpful in resolving the question of whether Mr. Dause's maintenance efforts complied with the FARs, particularly after cross-examination. I was left with the impression that he had failed to consider the entire scope of the FARs.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Given the evidence of Mr. Flanagan, the approach taken by the FAA in its post-crash investigation into the maintenance performed on N17SA, and the position the FAA took in December 2008 including a recognition of a desire for clarification of the meaning of sec. 91.409(f)(3) of the FARs, which applied in this case, I conclude that the plaintiff has failed to establish on a balance of probabilities that Mr. Dause (or Mr. Flanagan) failed to abide by the maintenance requirements of the domestic state as required under the regulatory framework established through the NAFTA SAS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This leaves open the question of whether Transport Canada should have investigated further whether N256TA and N17SA were being operated in a manner that was unsafe (regardless of compliance with American regulations), and should ultimately have suspended N17SA. There is no doubt that if Transport Canada had concluded that N17SA was being operated unsafely, it had the power to suspend its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What is clear on the evidence is that the left engine had been operated beyond the recommended TBO, the fuel pump had not been removed and inspected, and although the recommended phase inspections had been conducted, the drive splines of the fuel pump coupling had nevertheless deteriorated to the point that the fuel pump ultimately failed.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the plaintiff's submission, the events concerning the suspension and return of N256TA gave rise to a duty of care on the part of Transport Canada owed to Mr. Forest and other members of the flying public. The problem, says the plaintiff, was the lack of proper maintenance. Transport Canada learned of this problem in 2000, when it noted that N256TA's engines had been run well beyond TBO, and that the maintenance program was questionable. Transport Canada was so concerned, notes the plaintiff, that it proceeded to secure the suspension of N256TA's Certificate of Authorization by the FAA. As it turned out, the plaintiff says, nothing changed thereafter. Mr. Dause and Mr. Flanagan continued to ignore the recommended TBO for the engines, and flew N17SA until the failure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Before considering further the factual question of the reasonableness of Transport Canada's actions in relation to N17SA, I turn to the question of law of whether Transport Canada owed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to Mr. Forest.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After dealing with the claim against Transport Canada, I will turn to the claims against the other relevant parties, being Flanagan Nevada, Mr. Dause, Mr. Johnson and RMA. Finally, I will deal with the apportionment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4.1 </w:t>
      </w:r>
      <w:r>
        <w:rPr>
          <w:rFonts w:ascii="arial" w:eastAsia="arial" w:hAnsi="arial" w:cs="arial"/>
          <w:b/>
          <w:color w:val="000000"/>
          <w:sz w:val="20"/>
          <w:u w:val="single"/>
          <w:lang w:val="en-US" w:eastAsia="en-US" w:bidi="ar-SA"/>
        </w:rPr>
        <w:t>The Claim against Transport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4.1.1 </w:t>
      </w:r>
      <w:r>
        <w:rPr>
          <w:rFonts w:ascii="arial" w:eastAsia="arial" w:hAnsi="arial" w:cs="arial"/>
          <w:b/>
          <w:i/>
          <w:color w:val="000000"/>
          <w:sz w:val="20"/>
          <w:lang w:val="en-US" w:eastAsia="en-US" w:bidi="ar-SA"/>
        </w:rPr>
        <w:t>Did Transport Canada owe a prima facie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4.1.1.1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This raises the difficult question of determining under what circumstances a public regulator owes a private law duty of care to a member of, in this case, the flying public, who is injured as the result of the acts or omissions of entities subject to the regulator's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Contextually, it will be recalled that the cause of Mr. Forest's injury was the admitted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pilot in responding to an emergency resulting from the failure of the fuel pump on N17SA's left engine, which failed due to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Johnson in inspecting the fuel pump,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Dause in maintaining N17SA's left engine,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RMA in installing the left engine, and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Transport Canada in failing to ensure that N17SA was operated and maintained in a safe condition. Transport Canada's alleged liability, therefore, is not for anything it did directly involving Mr. Forest or any other member of the flying public, but rather for failing to prevent the consequences of the acts or omissions of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Supreme Court of Canada has reviewed the applicable principles in a number of cases including: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involving economic loss on the part of investors affected by the regulatory activity of the Registrar of Mortgage Brokers (no duty); </w:t>
      </w:r>
      <w:r>
        <w:rPr>
          <w:rFonts w:ascii="arial" w:eastAsia="arial" w:hAnsi="arial" w:cs="arial"/>
          <w:i/>
          <w:color w:val="000000"/>
          <w:sz w:val="20"/>
          <w:lang w:val="en-US" w:eastAsia="en-US" w:bidi="ar-SA"/>
        </w:rPr>
        <w:t>Edwards v Law Society of Upper Canada</w:t>
      </w:r>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2001 SCC 80</w:t>
        </w:r>
      </w:hyperlink>
      <w:r>
        <w:rPr>
          <w:rFonts w:ascii="arial" w:eastAsia="arial" w:hAnsi="arial" w:cs="arial"/>
          <w:color w:val="000000"/>
          <w:sz w:val="20"/>
          <w:lang w:val="en-US" w:eastAsia="en-US" w:bidi="ar-SA"/>
        </w:rPr>
        <w:t xml:space="preserve">, involving economic loss on the part of investors depositing money into a solicitor's trust account as participants in a third-party business promotion (no duty); </w:t>
      </w:r>
      <w:r>
        <w:rPr>
          <w:rFonts w:ascii="arial" w:eastAsia="arial" w:hAnsi="arial" w:cs="arial"/>
          <w:i/>
          <w:color w:val="000000"/>
          <w:sz w:val="20"/>
          <w:lang w:val="en-US" w:eastAsia="en-US" w:bidi="ar-SA"/>
        </w:rPr>
        <w:t>Hill v Hamilton-Wentworth Regional Police Services Board</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2007 SCC 41</w:t>
        </w:r>
      </w:hyperlink>
      <w:r>
        <w:rPr>
          <w:rFonts w:ascii="arial" w:eastAsia="arial" w:hAnsi="arial" w:cs="arial"/>
          <w:color w:val="000000"/>
          <w:sz w:val="20"/>
          <w:lang w:val="en-US" w:eastAsia="en-US" w:bidi="ar-SA"/>
        </w:rPr>
        <w:t xml:space="preserve">, where the plaintiff was wrongfully convicted of a crime and claimed against the police for negligent investigation (duty found); </w:t>
      </w:r>
      <w:r>
        <w:rPr>
          <w:rFonts w:ascii="arial" w:eastAsia="arial" w:hAnsi="arial" w:cs="arial"/>
          <w:i/>
          <w:color w:val="000000"/>
          <w:sz w:val="20"/>
          <w:lang w:val="en-US" w:eastAsia="en-US" w:bidi="ar-SA"/>
        </w:rPr>
        <w:t>Fullowka v Pinkerton's of Canada Limited</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2010 SCC 5</w:t>
        </w:r>
      </w:hyperlink>
      <w:r>
        <w:rPr>
          <w:rFonts w:ascii="arial" w:eastAsia="arial" w:hAnsi="arial" w:cs="arial"/>
          <w:color w:val="000000"/>
          <w:sz w:val="20"/>
          <w:lang w:val="en-US" w:eastAsia="en-US" w:bidi="ar-SA"/>
        </w:rPr>
        <w:t xml:space="preserve">, involving claims arising out of the death of miners in a mine subject to safety regulation and inspection by the government (duty found); and </w:t>
      </w:r>
      <w:r>
        <w:rPr>
          <w:rFonts w:ascii="arial" w:eastAsia="arial" w:hAnsi="arial" w:cs="arial"/>
          <w:i/>
          <w:color w:val="000000"/>
          <w:sz w:val="20"/>
          <w:lang w:val="en-US" w:eastAsia="en-US" w:bidi="ar-SA"/>
        </w:rPr>
        <w:t>R v Imperial Tobacco Canada</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which concerned claims against Canada for contribution based on breach of its alleged duties of care to smokers (no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As the court noted in the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case, which turned on pleadings, not on facts found at trial, the first question is whether the facts pleaded bring the claims within a settled category that gives rise to duty of care (para 37). If so,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will be established. If not, then the analysis turns on whether the relationship between the plaintiff and the defendant disclose sufficient foreseeability and proximity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If either analysis results in a finding that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has been established, then it becomes necessary to consider whether there are any residual policy considerations which ought to negate or limit that duty of care: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at para 20; </w:t>
      </w:r>
      <w:r>
        <w:rPr>
          <w:rFonts w:ascii="arial" w:eastAsia="arial" w:hAnsi="arial" w:cs="arial"/>
          <w:i/>
          <w:color w:val="000000"/>
          <w:sz w:val="20"/>
          <w:lang w:val="en-US" w:eastAsia="en-US" w:bidi="ar-SA"/>
        </w:rPr>
        <w:t>Fullowka</w:t>
      </w:r>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In this case, the analysis turns on the nature of the relationship between the Mr. Forest, a member of the flying public, and Transport Canada, as Canada's aeronautics regulator. Has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already recognized liability in this kind of relationship? If not, does the relationship disclose sufficient foreseeability and proximity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4.1.1.2 Precedent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The plaintiff submits that the law has recognized liability in this kind of relationship, pointing to </w:t>
      </w:r>
      <w:r>
        <w:rPr>
          <w:rFonts w:ascii="arial" w:eastAsia="arial" w:hAnsi="arial" w:cs="arial"/>
          <w:i/>
          <w:color w:val="000000"/>
          <w:sz w:val="20"/>
          <w:lang w:val="en-US" w:eastAsia="en-US" w:bidi="ar-SA"/>
        </w:rPr>
        <w:t>Swanson Estate v Canada (Minister of Transport)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1 FC 408</w:t>
      </w:r>
      <w:r>
        <w:rPr>
          <w:rFonts w:ascii="arial" w:eastAsia="arial" w:hAnsi="arial" w:cs="arial"/>
          <w:color w:val="000000"/>
          <w:sz w:val="20"/>
          <w:lang w:val="en-US" w:eastAsia="en-US" w:bidi="ar-SA"/>
        </w:rPr>
        <w:t xml:space="preserve"> (CA), which arose out of a fatal aircraft accident. There, the Federal Court of Appeal upheld the trial judge's, </w:t>
      </w:r>
      <w:hyperlink r:id="rId726" w:history="1">
        <w:r>
          <w:rPr>
            <w:rFonts w:ascii="arial" w:eastAsia="arial" w:hAnsi="arial" w:cs="arial"/>
            <w:i/>
            <w:color w:val="0077CC"/>
            <w:sz w:val="20"/>
            <w:u w:val="single"/>
            <w:shd w:val="clear" w:color="auto" w:fill="FFFFFF"/>
            <w:lang w:val="en-US" w:eastAsia="en-US" w:bidi="ar-SA"/>
          </w:rPr>
          <w:t>[1990] F.C.J. No. 195</w:t>
        </w:r>
      </w:hyperlink>
      <w:r>
        <w:rPr>
          <w:rFonts w:ascii="arial" w:eastAsia="arial" w:hAnsi="arial" w:cs="arial"/>
          <w:color w:val="000000"/>
          <w:sz w:val="20"/>
          <w:lang w:val="en-US" w:eastAsia="en-US" w:bidi="ar-SA"/>
        </w:rPr>
        <w:t xml:space="preserve"> finding of liability against Transport Canada where its inspectors had become aware of safety infractions by the airline operator, but did nothing to enforce its regulations. The "settled category", submits the plaintiff, is the oversight of aviation safety to protect the flying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The difficulty with using this decision (which is unique in imposing liability on Transport Canada) as establishing a settled category giving rise to a duty of care in the sort of relationship we have here is twofold. First, it was decided before the line of cases beginning with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that made proximity an essential aspect of the duty of care analysis. No comparable proximity analysis was undertaken by the court in </w:t>
      </w:r>
      <w:r>
        <w:rPr>
          <w:rFonts w:ascii="arial" w:eastAsia="arial" w:hAnsi="arial" w:cs="arial"/>
          <w:i/>
          <w:color w:val="000000"/>
          <w:sz w:val="20"/>
          <w:lang w:val="en-US" w:eastAsia="en-US" w:bidi="ar-SA"/>
        </w:rPr>
        <w:t>Swanson</w:t>
      </w:r>
      <w:r>
        <w:rPr>
          <w:rFonts w:ascii="arial" w:eastAsia="arial" w:hAnsi="arial" w:cs="arial"/>
          <w:color w:val="000000"/>
          <w:sz w:val="20"/>
          <w:lang w:val="en-US" w:eastAsia="en-US" w:bidi="ar-SA"/>
        </w:rPr>
        <w:t xml:space="preserve">. A number of courts have declined to regard </w:t>
      </w:r>
      <w:r>
        <w:rPr>
          <w:rFonts w:ascii="arial" w:eastAsia="arial" w:hAnsi="arial" w:cs="arial"/>
          <w:i/>
          <w:color w:val="000000"/>
          <w:sz w:val="20"/>
          <w:lang w:val="en-US" w:eastAsia="en-US" w:bidi="ar-SA"/>
        </w:rPr>
        <w:t>Swanson</w:t>
      </w:r>
      <w:r>
        <w:rPr>
          <w:rFonts w:ascii="arial" w:eastAsia="arial" w:hAnsi="arial" w:cs="arial"/>
          <w:color w:val="000000"/>
          <w:sz w:val="20"/>
          <w:lang w:val="en-US" w:eastAsia="en-US" w:bidi="ar-SA"/>
        </w:rPr>
        <w:t xml:space="preserve"> as establishing a duty of care category for this reason: see, for instance, </w:t>
      </w:r>
      <w:r>
        <w:rPr>
          <w:rFonts w:ascii="arial" w:eastAsia="arial" w:hAnsi="arial" w:cs="arial"/>
          <w:i/>
          <w:color w:val="000000"/>
          <w:sz w:val="20"/>
          <w:lang w:val="en-US" w:eastAsia="en-US" w:bidi="ar-SA"/>
        </w:rPr>
        <w:t>Attis v Canada (Minister of Health)</w:t>
      </w:r>
      <w:r>
        <w:rPr>
          <w:rFonts w:ascii="arial" w:eastAsia="arial" w:hAnsi="arial" w:cs="arial"/>
          <w:color w:val="000000"/>
          <w:sz w:val="20"/>
          <w:lang w:val="en-US" w:eastAsia="en-US" w:bidi="ar-SA"/>
        </w:rPr>
        <w:t xml:space="preserve">, </w:t>
      </w:r>
      <w:hyperlink r:id="rId727" w:history="1">
        <w:r>
          <w:rPr>
            <w:rFonts w:ascii="arial" w:eastAsia="arial" w:hAnsi="arial" w:cs="arial"/>
            <w:i/>
            <w:color w:val="0077CC"/>
            <w:sz w:val="20"/>
            <w:u w:val="single"/>
            <w:shd w:val="clear" w:color="auto" w:fill="FFFFFF"/>
            <w:lang w:val="en-US" w:eastAsia="en-US" w:bidi="ar-SA"/>
          </w:rPr>
          <w:t>2008 ONCA 660</w:t>
        </w:r>
      </w:hyperlink>
      <w:r>
        <w:rPr>
          <w:rFonts w:ascii="arial" w:eastAsia="arial" w:hAnsi="arial" w:cs="arial"/>
          <w:color w:val="000000"/>
          <w:sz w:val="20"/>
          <w:lang w:val="en-US" w:eastAsia="en-US" w:bidi="ar-SA"/>
        </w:rPr>
        <w:t xml:space="preserve"> at para 44, and </w:t>
      </w:r>
      <w:r>
        <w:rPr>
          <w:rFonts w:ascii="arial" w:eastAsia="arial" w:hAnsi="arial" w:cs="arial"/>
          <w:i/>
          <w:color w:val="000000"/>
          <w:sz w:val="20"/>
          <w:lang w:val="en-US" w:eastAsia="en-US" w:bidi="ar-SA"/>
        </w:rPr>
        <w:t>Drady v Canada (Minister of Health)</w:t>
      </w:r>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2008 ONCA 659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Chadwick v Canada (Attorney General)</w:t>
      </w:r>
      <w:r>
        <w:rPr>
          <w:rFonts w:ascii="arial" w:eastAsia="arial" w:hAnsi="arial" w:cs="arial"/>
          <w:color w:val="000000"/>
          <w:sz w:val="20"/>
          <w:lang w:val="en-US" w:eastAsia="en-US" w:bidi="ar-SA"/>
        </w:rPr>
        <w:t xml:space="preserve">, </w:t>
      </w:r>
      <w:hyperlink r:id="rId729" w:history="1">
        <w:r>
          <w:rPr>
            <w:rFonts w:ascii="arial" w:eastAsia="arial" w:hAnsi="arial" w:cs="arial"/>
            <w:i/>
            <w:color w:val="0077CC"/>
            <w:sz w:val="20"/>
            <w:u w:val="single"/>
            <w:shd w:val="clear" w:color="auto" w:fill="FFFFFF"/>
            <w:lang w:val="en-US" w:eastAsia="en-US" w:bidi="ar-SA"/>
          </w:rPr>
          <w:t>2010 BCSC 1744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Ratt v 101004597 Saskatchewan Ltd</w:t>
      </w:r>
      <w:r>
        <w:rPr>
          <w:rFonts w:ascii="arial" w:eastAsia="arial" w:hAnsi="arial" w:cs="arial"/>
          <w:color w:val="000000"/>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2012 SKQB 532</w:t>
        </w:r>
      </w:hyperlink>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The Los Angeles Salad Inc v Canadian Food Inspection Agency</w:t>
      </w:r>
      <w:r>
        <w:rPr>
          <w:rFonts w:ascii="arial" w:eastAsia="arial" w:hAnsi="arial" w:cs="arial"/>
          <w:color w:val="000000"/>
          <w:sz w:val="20"/>
          <w:lang w:val="en-US" w:eastAsia="en-US" w:bidi="ar-SA"/>
        </w:rPr>
        <w:t xml:space="preserve">, </w:t>
      </w:r>
      <w:hyperlink r:id="rId731" w:history="1">
        <w:r>
          <w:rPr>
            <w:rFonts w:ascii="arial" w:eastAsia="arial" w:hAnsi="arial" w:cs="arial"/>
            <w:i/>
            <w:color w:val="0077CC"/>
            <w:sz w:val="20"/>
            <w:u w:val="single"/>
            <w:shd w:val="clear" w:color="auto" w:fill="FFFFFF"/>
            <w:lang w:val="en-US" w:eastAsia="en-US" w:bidi="ar-SA"/>
          </w:rPr>
          <w:t>2013 BCCA 34</w:t>
        </w:r>
      </w:hyperlink>
      <w:r>
        <w:rPr>
          <w:rFonts w:ascii="arial" w:eastAsia="arial" w:hAnsi="arial" w:cs="arial"/>
          <w:color w:val="000000"/>
          <w:sz w:val="20"/>
          <w:lang w:val="en-US" w:eastAsia="en-US" w:bidi="ar-SA"/>
        </w:rPr>
        <w:t xml:space="preserve">, leave to appeal ref'd </w:t>
      </w:r>
      <w:hyperlink r:id="rId732" w:history="1">
        <w:r>
          <w:rPr>
            <w:rFonts w:ascii="arial" w:eastAsia="arial" w:hAnsi="arial" w:cs="arial"/>
            <w:i/>
            <w:color w:val="0077CC"/>
            <w:sz w:val="20"/>
            <w:u w:val="single"/>
            <w:shd w:val="clear" w:color="auto" w:fill="FFFFFF"/>
            <w:lang w:val="en-US" w:eastAsia="en-US" w:bidi="ar-SA"/>
          </w:rPr>
          <w:t>[2013] SCCA No 134</w:t>
        </w:r>
      </w:hyperlink>
      <w:r>
        <w:rPr>
          <w:rFonts w:ascii="arial" w:eastAsia="arial" w:hAnsi="arial" w:cs="arial"/>
          <w:color w:val="000000"/>
          <w:sz w:val="20"/>
          <w:lang w:val="en-US" w:eastAsia="en-US" w:bidi="ar-SA"/>
        </w:rPr>
        <w:t xml:space="preserve">, where the British Columbia Court of Appeal observed at para 36 that the absence of a proper proximity analysis in </w:t>
      </w:r>
      <w:r>
        <w:rPr>
          <w:rFonts w:ascii="arial" w:eastAsia="arial" w:hAnsi="arial" w:cs="arial"/>
          <w:i/>
          <w:color w:val="000000"/>
          <w:sz w:val="20"/>
          <w:lang w:val="en-US" w:eastAsia="en-US" w:bidi="ar-SA"/>
        </w:rPr>
        <w:t>Northern Goose Processors Ltd v Canadian Food Inspection Agency</w:t>
      </w:r>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2006 MBQB 198</w:t>
        </w:r>
      </w:hyperlink>
      <w:r>
        <w:rPr>
          <w:rFonts w:ascii="arial" w:eastAsia="arial" w:hAnsi="arial" w:cs="arial"/>
          <w:color w:val="000000"/>
          <w:sz w:val="20"/>
          <w:lang w:val="en-US" w:eastAsia="en-US" w:bidi="ar-SA"/>
        </w:rPr>
        <w:t>, disqualified that case from consideration as the author of a recognized category of relationship giving rise to the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Second, the case is distinguishable on its facts, given the different regulatory regime in question and the many complaints that had been made to Transport Canada by the public and pilots prior to the accident in </w:t>
      </w:r>
      <w:r>
        <w:rPr>
          <w:rFonts w:ascii="arial" w:eastAsia="arial" w:hAnsi="arial" w:cs="arial"/>
          <w:i/>
          <w:color w:val="000000"/>
          <w:sz w:val="20"/>
          <w:lang w:val="en-US" w:eastAsia="en-US" w:bidi="ar-SA"/>
        </w:rPr>
        <w:t>Swanson</w:t>
      </w:r>
      <w:r>
        <w:rPr>
          <w:rFonts w:ascii="arial" w:eastAsia="arial" w:hAnsi="arial" w:cs="arial"/>
          <w:color w:val="000000"/>
          <w:sz w:val="20"/>
          <w:lang w:val="en-US" w:eastAsia="en-US" w:bidi="ar-SA"/>
        </w:rPr>
        <w:t>. Accordingly, it is not a direct precedent.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Similarly, I am unable to accept the plaintiff's submission that a later case from the Supreme Court of Canada dealing with mining inspection (</w:t>
      </w:r>
      <w:r>
        <w:rPr>
          <w:rFonts w:ascii="arial" w:eastAsia="arial" w:hAnsi="arial" w:cs="arial"/>
          <w:i/>
          <w:color w:val="000000"/>
          <w:sz w:val="20"/>
          <w:lang w:val="en-US" w:eastAsia="en-US" w:bidi="ar-SA"/>
        </w:rPr>
        <w:t>Fullowka</w:t>
      </w:r>
      <w:r>
        <w:rPr>
          <w:rFonts w:ascii="arial" w:eastAsia="arial" w:hAnsi="arial" w:cs="arial"/>
          <w:color w:val="000000"/>
          <w:sz w:val="20"/>
          <w:lang w:val="en-US" w:eastAsia="en-US" w:bidi="ar-SA"/>
        </w:rPr>
        <w:t>) and the Supreme Court's building inspection cases (</w:t>
      </w:r>
      <w:r>
        <w:rPr>
          <w:rFonts w:ascii="arial" w:eastAsia="arial" w:hAnsi="arial" w:cs="arial"/>
          <w:i/>
          <w:color w:val="000000"/>
          <w:sz w:val="20"/>
          <w:lang w:val="en-US" w:eastAsia="en-US" w:bidi="ar-SA"/>
        </w:rPr>
        <w:t>Kamloops (City of) v Nielsen</w:t>
      </w:r>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Rothfield v Manolakos</w:t>
      </w:r>
      <w:r>
        <w:rPr>
          <w:rFonts w:ascii="arial" w:eastAsia="arial" w:hAnsi="arial" w:cs="arial"/>
          <w:color w:val="000000"/>
          <w:sz w:val="20"/>
          <w:lang w:val="en-US" w:eastAsia="en-US" w:bidi="ar-SA"/>
        </w:rPr>
        <w:t xml:space="preserve">, </w:t>
      </w:r>
      <w:hyperlink r:id="rId734" w:history="1">
        <w:r>
          <w:rPr>
            <w:rFonts w:ascii="arial" w:eastAsia="arial" w:hAnsi="arial" w:cs="arial"/>
            <w:i/>
            <w:color w:val="0077CC"/>
            <w:sz w:val="20"/>
            <w:u w:val="single"/>
            <w:shd w:val="clear" w:color="auto" w:fill="FFFFFF"/>
            <w:lang w:val="en-US" w:eastAsia="en-US" w:bidi="ar-SA"/>
          </w:rPr>
          <w:t>[1989] 2 SCR 1259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Ingles v Tutkaluk</w:t>
      </w:r>
      <w:r>
        <w:rPr>
          <w:rFonts w:ascii="arial" w:eastAsia="arial" w:hAnsi="arial" w:cs="arial"/>
          <w:color w:val="000000"/>
          <w:sz w:val="20"/>
          <w:lang w:val="en-US" w:eastAsia="en-US" w:bidi="ar-SA"/>
        </w:rPr>
        <w:t xml:space="preserve"> Construction Ltd, </w:t>
      </w:r>
      <w:hyperlink r:id="rId735" w:history="1">
        <w:r>
          <w:rPr>
            <w:rFonts w:ascii="arial" w:eastAsia="arial" w:hAnsi="arial" w:cs="arial"/>
            <w:i/>
            <w:color w:val="0077CC"/>
            <w:sz w:val="20"/>
            <w:u w:val="single"/>
            <w:shd w:val="clear" w:color="auto" w:fill="FFFFFF"/>
            <w:lang w:val="en-US" w:eastAsia="en-US" w:bidi="ar-SA"/>
          </w:rPr>
          <w:t>2000 SCC 12</w:t>
        </w:r>
      </w:hyperlink>
      <w:r>
        <w:rPr>
          <w:rFonts w:ascii="arial" w:eastAsia="arial" w:hAnsi="arial" w:cs="arial"/>
          <w:color w:val="000000"/>
          <w:sz w:val="20"/>
          <w:lang w:val="en-US" w:eastAsia="en-US" w:bidi="ar-SA"/>
        </w:rPr>
        <w:t>) are sufficiently analogous to establish a settled category giving rise to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In my view, where this issue is being considered not at the pleadings stage, but after trial, an analogy must be very close indeed to establish a settled category. That degree of closeness does not arise here, as will be apparent from my subsequent discussion of these cases. Accordingly, in this situation, in the absence of a direct precedent, I consider it preferable to proceed with an analysis of the relationship between the plaintiff and Transport Canada in order to determine whether it gives rise to sufficient proximity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This was the approach taken by the Supreme Court of Canada in </w:t>
      </w:r>
      <w:r>
        <w:rPr>
          <w:rFonts w:ascii="arial" w:eastAsia="arial" w:hAnsi="arial" w:cs="arial"/>
          <w:i/>
          <w:color w:val="000000"/>
          <w:sz w:val="20"/>
          <w:lang w:val="en-US" w:eastAsia="en-US" w:bidi="ar-SA"/>
        </w:rPr>
        <w:t>Fullowka</w:t>
      </w:r>
      <w:r>
        <w:rPr>
          <w:rFonts w:ascii="arial" w:eastAsia="arial" w:hAnsi="arial" w:cs="arial"/>
          <w:color w:val="000000"/>
          <w:sz w:val="20"/>
          <w:lang w:val="en-US" w:eastAsia="en-US" w:bidi="ar-SA"/>
        </w:rPr>
        <w:t>, a case that had proceeded through a full trial. There, the Supreme Court found that its building inspection cases offered considerable guidance to its analysis of proximity--a different matter from establishing a settled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4.1.1.3 Foreseeability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Transport Canada concedes that the requirement of foreseeability is established. Indeed, it cannot be doubted that if Transport Canada had known that N17SA was being operated unsafely, and failed to intervene, then a reasonable person in Transport Canada's position would have foreseen that injury to a member of the flying public such as Mr. Forest was 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4.1.1.4 Proximity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As in </w:t>
      </w:r>
      <w:r>
        <w:rPr>
          <w:rFonts w:ascii="arial" w:eastAsia="arial" w:hAnsi="arial" w:cs="arial"/>
          <w:i/>
          <w:color w:val="000000"/>
          <w:sz w:val="20"/>
          <w:lang w:val="en-US" w:eastAsia="en-US" w:bidi="ar-SA"/>
        </w:rPr>
        <w:t>Fullowka</w:t>
      </w:r>
      <w:r>
        <w:rPr>
          <w:rFonts w:ascii="arial" w:eastAsia="arial" w:hAnsi="arial" w:cs="arial"/>
          <w:color w:val="000000"/>
          <w:sz w:val="20"/>
          <w:lang w:val="en-US" w:eastAsia="en-US" w:bidi="ar-SA"/>
        </w:rPr>
        <w:t xml:space="preserve">, this case is concerned with alleged omissions by Transport Canada to prevent harm to the flying public, and Mr. Forest, caused by others, as opposed to harm caused directly to Mr. Forest by Transport Canada. As Cromwell J. observed in </w:t>
      </w:r>
      <w:r>
        <w:rPr>
          <w:rFonts w:ascii="arial" w:eastAsia="arial" w:hAnsi="arial" w:cs="arial"/>
          <w:i/>
          <w:color w:val="000000"/>
          <w:sz w:val="20"/>
          <w:lang w:val="en-US" w:eastAsia="en-US" w:bidi="ar-SA"/>
        </w:rPr>
        <w:t>Fullowka</w:t>
      </w:r>
      <w:r>
        <w:rPr>
          <w:rFonts w:ascii="arial" w:eastAsia="arial" w:hAnsi="arial" w:cs="arial"/>
          <w:color w:val="000000"/>
          <w:sz w:val="20"/>
          <w:lang w:val="en-US" w:eastAsia="en-US" w:bidi="ar-SA"/>
        </w:rPr>
        <w:t xml:space="preserve"> at para 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cases of this nature, the law requires close examination of the question of proximity. The inquiry is concerned with whether the case discloses factors which show that the relationship between the plaintiff and the defendant was sufficiently close and direct to give rise to a legal duty of care, considering such factors as expectations, representations, reliance and of the property or other interests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Where the relationship between the alleged wrongdoer and the defendant is close and direct, proximity is more easily established. Thus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where the police interacted directly with the suspect who was the claimant, sufficient proximity was found. In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where there was no direct interaction between the regulator and the victim, but where the officials were acting in relation to a third party who in turn interacted with the victims, the degree of proximity was not sufficient, and no duty was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Nevertheless, as the court observed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 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factors which may satisfy the requirement of proximity are diverse and depend on the circumstances of the case. One searches in vain for a single unifying characteristic.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Fullowka</w:t>
      </w:r>
      <w:r>
        <w:rPr>
          <w:rFonts w:ascii="arial" w:eastAsia="arial" w:hAnsi="arial" w:cs="arial"/>
          <w:color w:val="000000"/>
          <w:sz w:val="20"/>
          <w:lang w:val="en-US" w:eastAsia="en-US" w:bidi="ar-SA"/>
        </w:rPr>
        <w:t xml:space="preserve">, the closeness of the relationship between the mining safety regulators, represented by the government, and the deceased miners, was considered to be somewhere between that arising from the relationships considered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In concluding that sufficient proximity existed, the Court found, as noted above, guidance in its building inspection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I, too, take guidance from those cases, and from </w:t>
      </w:r>
      <w:r>
        <w:rPr>
          <w:rFonts w:ascii="arial" w:eastAsia="arial" w:hAnsi="arial" w:cs="arial"/>
          <w:i/>
          <w:color w:val="000000"/>
          <w:sz w:val="20"/>
          <w:lang w:val="en-US" w:eastAsia="en-US" w:bidi="ar-SA"/>
        </w:rPr>
        <w:t>Fullowka</w:t>
      </w:r>
      <w:r>
        <w:rPr>
          <w:rFonts w:ascii="arial" w:eastAsia="arial" w:hAnsi="arial" w:cs="arial"/>
          <w:color w:val="000000"/>
          <w:sz w:val="20"/>
          <w:lang w:val="en-US" w:eastAsia="en-US" w:bidi="ar-SA"/>
        </w:rPr>
        <w:t>, in concluding that sufficient proximity did not exist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The analysis must always begin with the regulatory scheme under which the regulator is operating. In </w:t>
      </w:r>
      <w:r>
        <w:rPr>
          <w:rFonts w:ascii="arial" w:eastAsia="arial" w:hAnsi="arial" w:cs="arial"/>
          <w:i/>
          <w:color w:val="000000"/>
          <w:sz w:val="20"/>
          <w:lang w:val="en-US" w:eastAsia="en-US" w:bidi="ar-SA"/>
        </w:rPr>
        <w:t>Fullowka</w:t>
      </w:r>
      <w:r>
        <w:rPr>
          <w:rFonts w:ascii="arial" w:eastAsia="arial" w:hAnsi="arial" w:cs="arial"/>
          <w:color w:val="000000"/>
          <w:sz w:val="20"/>
          <w:lang w:val="en-US" w:eastAsia="en-US" w:bidi="ar-SA"/>
        </w:rPr>
        <w:t xml:space="preserve">, the court observed that the statutory role of the mining inspectors was essentially analogous to the statutory roles of the Law Society and the Registrar of Mortgage Brokers discussed, respectively, in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to see that the persons who have the primary obligation to comply with the regulations (in that case, mine owners, managers and workers) are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That applies also to the general regulatory role of Transport Canada's personnel under the </w:t>
      </w:r>
      <w:r>
        <w:rPr>
          <w:rFonts w:ascii="arial" w:eastAsia="arial" w:hAnsi="arial" w:cs="arial"/>
          <w:i/>
          <w:color w:val="000000"/>
          <w:sz w:val="20"/>
          <w:lang w:val="en-US" w:eastAsia="en-US" w:bidi="ar-SA"/>
        </w:rPr>
        <w:t>Aeronautics Act</w:t>
      </w:r>
      <w:r>
        <w:rPr>
          <w:rFonts w:ascii="arial" w:eastAsia="arial" w:hAnsi="arial" w:cs="arial"/>
          <w:color w:val="000000"/>
          <w:sz w:val="20"/>
          <w:lang w:val="en-US" w:eastAsia="en-US" w:bidi="ar-SA"/>
        </w:rPr>
        <w:t xml:space="preserve"> and the CARs in ensuring that the persons who have the primary obligation for aircraft safety, being aircraft operators, pilots and maintenance providers, are complying with their obligations. Here, however, the regulator is one step further removed, in that as a matter of core policy, achieved through the NAFTA implementation process, the primary obligation to ensure compliance was on the FAA, not Transport Canada. The regulatory scheme that is relevant to this analysis, then, is not simply the </w:t>
      </w:r>
      <w:r>
        <w:rPr>
          <w:rFonts w:ascii="arial" w:eastAsia="arial" w:hAnsi="arial" w:cs="arial"/>
          <w:i/>
          <w:color w:val="000000"/>
          <w:sz w:val="20"/>
          <w:lang w:val="en-US" w:eastAsia="en-US" w:bidi="ar-SA"/>
        </w:rPr>
        <w:t>Aeronautics Act</w:t>
      </w:r>
      <w:r>
        <w:rPr>
          <w:rFonts w:ascii="arial" w:eastAsia="arial" w:hAnsi="arial" w:cs="arial"/>
          <w:color w:val="000000"/>
          <w:sz w:val="20"/>
          <w:lang w:val="en-US" w:eastAsia="en-US" w:bidi="ar-SA"/>
        </w:rPr>
        <w:t>, but the NAFTA regulatory framework established through the implementation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As was the case in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(see para 44), it may be difficult to find that a statute or regulatory scheme by itself creates sufficient proximity in the absence of an imposition of duty on state actors with respect to particular claimants. More often, such frameworks are aimed at regulating an industry. That indeed is the case here. The question then becomes whether the state actor has, through its conduct, entered into a special relationship with the plaintiff sufficient to establish the necessary proximity. Alternatively, it may be a case where proximity is based on both interactions between the parties and the government's statutory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Fullowka</w:t>
      </w:r>
      <w:r>
        <w:rPr>
          <w:rFonts w:ascii="arial" w:eastAsia="arial" w:hAnsi="arial" w:cs="arial"/>
          <w:color w:val="000000"/>
          <w:sz w:val="20"/>
          <w:lang w:val="en-US" w:eastAsia="en-US" w:bidi="ar-SA"/>
        </w:rPr>
        <w:t xml:space="preserve">, the Court was similarly unable to find that the applicable regulatory scheme by itself created sufficient proximity. It turned, therefore, to explore the relationship between the inspectors and the miners who had been killed. It observed that the relationship was considerably closer and more direct than the relationships in issue in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(and, it follows, than the relationship in issue here). Three factors supported this conclusion in </w:t>
      </w:r>
      <w:r>
        <w:rPr>
          <w:rFonts w:ascii="arial" w:eastAsia="arial" w:hAnsi="arial" w:cs="arial"/>
          <w:i/>
          <w:color w:val="000000"/>
          <w:sz w:val="20"/>
          <w:lang w:val="en-US" w:eastAsia="en-US" w:bidi="ar-SA"/>
        </w:rPr>
        <w:t>Fullowka</w:t>
      </w:r>
      <w:r>
        <w:rPr>
          <w:rFonts w:ascii="arial" w:eastAsia="arial" w:hAnsi="arial" w:cs="arial"/>
          <w:color w:val="000000"/>
          <w:sz w:val="20"/>
          <w:lang w:val="en-US" w:eastAsia="en-US" w:bidi="ar-SA"/>
        </w:rPr>
        <w:t>, none of which supports a similar conclusion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The first factor was the size of the defined group to whom the duty was said to be owed. In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the alleged duties were owed, in effect, to the public at large. That is the same in the case of the duties allegedly owed by Transport Canada here. By contrast, the persons to whom the mining inspectors in </w:t>
      </w:r>
      <w:r>
        <w:rPr>
          <w:rFonts w:ascii="arial" w:eastAsia="arial" w:hAnsi="arial" w:cs="arial"/>
          <w:i/>
          <w:color w:val="000000"/>
          <w:sz w:val="20"/>
          <w:lang w:val="en-US" w:eastAsia="en-US" w:bidi="ar-SA"/>
        </w:rPr>
        <w:t>Fullowka</w:t>
      </w:r>
      <w:r>
        <w:rPr>
          <w:rFonts w:ascii="arial" w:eastAsia="arial" w:hAnsi="arial" w:cs="arial"/>
          <w:color w:val="000000"/>
          <w:sz w:val="20"/>
          <w:lang w:val="en-US" w:eastAsia="en-US" w:bidi="ar-SA"/>
        </w:rPr>
        <w:t xml:space="preserve"> were said to owe a duty, those working in the mine, were a much smaller group and more clearly defined. In this case, Mr. Forest was not a member of any such small and clearly defined group whether one considers the appropriate group to be the flying public or that subset consisting of potential customers of the NAFTA SAS operator in question. Even the latter group is not as identifiable and confined as was the identified group of miners with whom the inspectors dealt in </w:t>
      </w:r>
      <w:r>
        <w:rPr>
          <w:rFonts w:ascii="arial" w:eastAsia="arial" w:hAnsi="arial" w:cs="arial"/>
          <w:i/>
          <w:color w:val="000000"/>
          <w:sz w:val="20"/>
          <w:lang w:val="en-US" w:eastAsia="en-US" w:bidi="ar-SA"/>
        </w:rPr>
        <w:t>Fullowka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The second factor was the extent to which the relationship was personal and direct. In </w:t>
      </w:r>
      <w:r>
        <w:rPr>
          <w:rFonts w:ascii="arial" w:eastAsia="arial" w:hAnsi="arial" w:cs="arial"/>
          <w:i/>
          <w:color w:val="000000"/>
          <w:sz w:val="20"/>
          <w:lang w:val="en-US" w:eastAsia="en-US" w:bidi="ar-SA"/>
        </w:rPr>
        <w:t>Fullowka</w:t>
      </w:r>
      <w:r>
        <w:rPr>
          <w:rFonts w:ascii="arial" w:eastAsia="arial" w:hAnsi="arial" w:cs="arial"/>
          <w:color w:val="000000"/>
          <w:sz w:val="20"/>
          <w:lang w:val="en-US" w:eastAsia="en-US" w:bidi="ar-SA"/>
        </w:rPr>
        <w:t xml:space="preserve">, the mining inspectors had much more direct and personal dealings with the deceased miners than the Law Society or the Registrar had with the clients of the lawyer or mortgage broker in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Inspectors visited the mine almost daily during the strike, yielding a much more personal and direct relationship than arose in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Similarly, the relationship between the inspectors and the miners was much more personal and direct than that between Transport Canada and the flying public. And of course, there was no relationship whatsoever between Transport Canada and Mr. Forest or the other passengers of N17SA.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The third factor was the relationship between the inspectors' statutory duties and the conduct of the miners themselves. This was in contrast to the Law Society in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xml:space="preserve">, the Registrar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or Transport Canada in this case, none of whom had any direct regulatory authority over the claimants.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The relevance of the building inspection cases was that they turned on the negligent exercise of inspection powers undertaken by municipalities at the operational level. In </w:t>
      </w:r>
      <w:r>
        <w:rPr>
          <w:rFonts w:ascii="arial" w:eastAsia="arial" w:hAnsi="arial" w:cs="arial"/>
          <w:i/>
          <w:color w:val="000000"/>
          <w:sz w:val="20"/>
          <w:lang w:val="en-US" w:eastAsia="en-US" w:bidi="ar-SA"/>
        </w:rPr>
        <w:t>Fullowka</w:t>
      </w:r>
      <w:r>
        <w:rPr>
          <w:rFonts w:ascii="arial" w:eastAsia="arial" w:hAnsi="arial" w:cs="arial"/>
          <w:color w:val="000000"/>
          <w:sz w:val="20"/>
          <w:lang w:val="en-US" w:eastAsia="en-US" w:bidi="ar-SA"/>
        </w:rPr>
        <w:t>, the court considered that the mining inspectors similarly had a duty to inspect and enforce mine safety laws and that, like the building inspectors, it was reasonable to think that they would exercise care in the way they carried out their inspections once they embarked upon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That operational analysis, I find, is not applicable to the circumstances of this case. It is not alleged the Transport Canada inspectors negligently inspected the aircraft, and indeed it was not their duty to inspect it under the regulatory regime in place. As we have seen, in allocating its resources, Transport Canada determined that NAFTA SAS operators were low-risk, and would be inspected only in the event of a trigger. That was not an operational decision in any sense that is analogous to the building inspection cases: see </w:t>
      </w:r>
      <w:r>
        <w:rPr>
          <w:rFonts w:ascii="arial" w:eastAsia="arial" w:hAnsi="arial" w:cs="arial"/>
          <w:i/>
          <w:color w:val="000000"/>
          <w:sz w:val="20"/>
          <w:lang w:val="en-US" w:eastAsia="en-US" w:bidi="ar-SA"/>
        </w:rPr>
        <w:t>Abarquez v Ontario</w:t>
      </w:r>
      <w:r>
        <w:rPr>
          <w:rFonts w:ascii="arial" w:eastAsia="arial" w:hAnsi="arial" w:cs="arial"/>
          <w:color w:val="000000"/>
          <w:sz w:val="20"/>
          <w:lang w:val="en-US" w:eastAsia="en-US" w:bidi="ar-SA"/>
        </w:rPr>
        <w:t xml:space="preserve">, </w:t>
      </w:r>
      <w:hyperlink r:id="rId736" w:history="1">
        <w:r>
          <w:rPr>
            <w:rFonts w:ascii="arial" w:eastAsia="arial" w:hAnsi="arial" w:cs="arial"/>
            <w:i/>
            <w:color w:val="0077CC"/>
            <w:sz w:val="20"/>
            <w:u w:val="single"/>
            <w:shd w:val="clear" w:color="auto" w:fill="FFFFFF"/>
            <w:lang w:val="en-US" w:eastAsia="en-US" w:bidi="ar-SA"/>
          </w:rPr>
          <w:t>2009 ONCA 374</w:t>
        </w:r>
      </w:hyperlink>
      <w:r>
        <w:rPr>
          <w:rFonts w:ascii="arial" w:eastAsia="arial" w:hAnsi="arial" w:cs="arial"/>
          <w:color w:val="000000"/>
          <w:sz w:val="20"/>
          <w:lang w:val="en-US" w:eastAsia="en-US" w:bidi="ar-SA"/>
        </w:rPr>
        <w:t xml:space="preserve"> at para 39, leave to appeal ref'd </w:t>
      </w:r>
      <w:hyperlink r:id="rId737" w:history="1">
        <w:r>
          <w:rPr>
            <w:rFonts w:ascii="arial" w:eastAsia="arial" w:hAnsi="arial" w:cs="arial"/>
            <w:i/>
            <w:color w:val="0077CC"/>
            <w:sz w:val="20"/>
            <w:u w:val="single"/>
            <w:shd w:val="clear" w:color="auto" w:fill="FFFFFF"/>
            <w:lang w:val="en-US" w:eastAsia="en-US" w:bidi="ar-SA"/>
          </w:rPr>
          <w:t>[2009] SCCA No 297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at para 90. If Transport Canada's inspectors had undertaken to inspect N17SA's engines, and had done so negligently by, for instance, failing to detect the presence of corrosion in the left fuel pump coupling, then the analysis would be quite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Moreover, the inspectors in </w:t>
      </w:r>
      <w:r>
        <w:rPr>
          <w:rFonts w:ascii="arial" w:eastAsia="arial" w:hAnsi="arial" w:cs="arial"/>
          <w:i/>
          <w:color w:val="000000"/>
          <w:sz w:val="20"/>
          <w:lang w:val="en-US" w:eastAsia="en-US" w:bidi="ar-SA"/>
        </w:rPr>
        <w:t>Fullowka</w:t>
      </w:r>
      <w:r>
        <w:rPr>
          <w:rFonts w:ascii="arial" w:eastAsia="arial" w:hAnsi="arial" w:cs="arial"/>
          <w:color w:val="000000"/>
          <w:sz w:val="20"/>
          <w:lang w:val="en-US" w:eastAsia="en-US" w:bidi="ar-SA"/>
        </w:rPr>
        <w:t xml:space="preserve"> were found to have had a clear and well-substantiated belief that the mine was unsafe (see para 54). Justice Cromwell summed up the situation at para 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sum up, the mine inspectors had a statutory duty to inspect the mine and to order the cessation of work if they considered it unsafe. In exercising this statutory power, the inspectors had been physically present in the mine on many occasions, had identified specific and serious risks to an identified group of workers and knew that the steps being taken by management and Pinkerton's to maintain safe working conditions were wholly ineffectual. In my view, the trial judge did not err in finding that there was a sufficiently close and direct relationship between the inspectors and the miners to give rise to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my view, these circumstances are very far removed from the situation before me. Transport Canada had no statutory duty to inspect the aircraft, although it certainly had a statutory duty to ground it if it considered it unsafe. But it did not have a clear and well-substantiated belief that N17SA was unsafe, nor did it have a relationship with an identified group of persons exposed to a risk of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It is true that concerns were raised about the safety of N256TA, and about Mr. Dause as an operator, in 2000. Unlike the situation in </w:t>
      </w:r>
      <w:r>
        <w:rPr>
          <w:rFonts w:ascii="arial" w:eastAsia="arial" w:hAnsi="arial" w:cs="arial"/>
          <w:i/>
          <w:color w:val="000000"/>
          <w:sz w:val="20"/>
          <w:lang w:val="en-US" w:eastAsia="en-US" w:bidi="ar-SA"/>
        </w:rPr>
        <w:t>Fullowka</w:t>
      </w:r>
      <w:r>
        <w:rPr>
          <w:rFonts w:ascii="arial" w:eastAsia="arial" w:hAnsi="arial" w:cs="arial"/>
          <w:color w:val="000000"/>
          <w:sz w:val="20"/>
          <w:lang w:val="en-US" w:eastAsia="en-US" w:bidi="ar-SA"/>
        </w:rPr>
        <w:t>, Transport Canada acted on those concerns in a manner that was entirely appropriate, resulting in the suspension of the aircraft by the FAA. In short, Transport Canada did intervene, by directly engaging the FAA in relation to the specific aircraft and operator, ultimately securing the suspension of the certificate of authorization. In the context of the applicable regulatory scheme, there was no basis for any continuing concerns given the FAA's direct response (hardly ineffectual) and its annual inspection and certification thereafter of both N256TA and N17SA, establishing an acceptable level of safety; nor were there "triggers" such as complaints or CADORS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There was accordingly no "well-substantiated belief" that the aircraft or the operation was unsafe, and nothing that gave rise to a specific relationship of proximity with the flying public in general or Mr. Forest in particular.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Consequently, while the applicable regulatory framework imposes public duties on Transport Canada, I can find no basis for concluding that they give rise to a private law duty of care. The obligations imposed on Transport Canada are owed to the public at large, and while this does not preclude a finding of proximity, the regulatory framework neither expressly nor implicitly creates a proximate relationship. As the Court of Appeal observed in </w:t>
      </w:r>
      <w:r>
        <w:rPr>
          <w:rFonts w:ascii="arial" w:eastAsia="arial" w:hAnsi="arial" w:cs="arial"/>
          <w:i/>
          <w:color w:val="000000"/>
          <w:sz w:val="20"/>
          <w:lang w:val="en-US" w:eastAsia="en-US" w:bidi="ar-SA"/>
        </w:rPr>
        <w:t>Gill v Canada (Minister of Transport)</w:t>
      </w:r>
      <w:r>
        <w:rPr>
          <w:rFonts w:ascii="arial" w:eastAsia="arial" w:hAnsi="arial" w:cs="arial"/>
          <w:color w:val="000000"/>
          <w:sz w:val="20"/>
          <w:lang w:val="en-US" w:eastAsia="en-US" w:bidi="ar-SA"/>
        </w:rPr>
        <w:t xml:space="preserve">, </w:t>
      </w:r>
      <w:hyperlink r:id="rId738" w:history="1">
        <w:r>
          <w:rPr>
            <w:rFonts w:ascii="arial" w:eastAsia="arial" w:hAnsi="arial" w:cs="arial"/>
            <w:i/>
            <w:color w:val="0077CC"/>
            <w:sz w:val="20"/>
            <w:u w:val="single"/>
            <w:shd w:val="clear" w:color="auto" w:fill="FFFFFF"/>
            <w:lang w:val="en-US" w:eastAsia="en-US" w:bidi="ar-SA"/>
          </w:rPr>
          <w:t>2015 BCCA 344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Further, the leading authorities establish that, as a general proposition, statutory duties or powers imposed on a regulator to promote the public interest do not create a duty of care to specific members of the public who benefit from the scheme [citing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That situation is to be distinguished from one in which the regulatory regime intends to benefit or protect the interests of particular persons or a discrete class of persons, in which case a duty of care may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Here, given the NAFTA regulatory framework, the absence of the factors considered important in </w:t>
      </w:r>
      <w:r>
        <w:rPr>
          <w:rFonts w:ascii="arial" w:eastAsia="arial" w:hAnsi="arial" w:cs="arial"/>
          <w:i/>
          <w:color w:val="000000"/>
          <w:sz w:val="20"/>
          <w:lang w:val="en-US" w:eastAsia="en-US" w:bidi="ar-SA"/>
        </w:rPr>
        <w:t>Fullowka</w:t>
      </w:r>
      <w:r>
        <w:rPr>
          <w:rFonts w:ascii="arial" w:eastAsia="arial" w:hAnsi="arial" w:cs="arial"/>
          <w:color w:val="000000"/>
          <w:sz w:val="20"/>
          <w:lang w:val="en-US" w:eastAsia="en-US" w:bidi="ar-SA"/>
        </w:rPr>
        <w:t xml:space="preserve">, together with the absence of any factual basis suggesting a relationship or connection between Transport Canada and Mr. Forest that is distinct from or more direct than the relationship between Transport Canada and the flying public (see </w:t>
      </w:r>
      <w:r>
        <w:rPr>
          <w:rFonts w:ascii="arial" w:eastAsia="arial" w:hAnsi="arial" w:cs="arial"/>
          <w:i/>
          <w:color w:val="000000"/>
          <w:sz w:val="20"/>
          <w:lang w:val="en-US" w:eastAsia="en-US" w:bidi="ar-SA"/>
        </w:rPr>
        <w:t>Taylor v Canada (Attorney General)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2012 ONCA 479</w:t>
        </w:r>
      </w:hyperlink>
      <w:r>
        <w:rPr>
          <w:rFonts w:ascii="arial" w:eastAsia="arial" w:hAnsi="arial" w:cs="arial"/>
          <w:color w:val="000000"/>
          <w:sz w:val="20"/>
          <w:lang w:val="en-US" w:eastAsia="en-US" w:bidi="ar-SA"/>
        </w:rPr>
        <w:t xml:space="preserve">), I conclude that there was insufficient proximity between Transport Canada and Mr. Forest to give rise to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on the part of Transport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It follows that the claim against the Attorney General of Canada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In these circumstances, it is unnecessary for me to consider the final step in the duty of care analysis, which is whether there are any residual policy considerations which ought to negate or limit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4.1.2 </w:t>
      </w:r>
      <w:r>
        <w:rPr>
          <w:rFonts w:ascii="arial" w:eastAsia="arial" w:hAnsi="arial" w:cs="arial"/>
          <w:b/>
          <w:i/>
          <w:color w:val="000000"/>
          <w:sz w:val="20"/>
          <w:lang w:val="en-US" w:eastAsia="en-US" w:bidi="ar-SA"/>
        </w:rPr>
        <w:t>Did Transport Canada Breach Any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Having found that Transport Canada did not owe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in the circumstances of this case, it is not necessary for me to decide whether Transport Canada acted reasonably in its dealings with the FAA, Mr. Flanagan, Mr. Dause, N256TA and N17SA.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Having heard all of the evidence, however, I feel it appropriate to note that I am unable to agree, on the facts, with the plaintiff's assertion that Transport Canada failed to take reasonable steps to satisfy itself, after the events of 2000, that Mr. Flanagan and Mr. Dause were operating the aircraft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In this regard, the plaintiff concentrated on two specific areas: the engine maintenance program, and the operation and control of the aircraft.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With respect to engine maintenance, I have already noted that the plaintiff has failed to prove that Mr. Dause and Mr. Flanagan did not meet the maintenance requirements of the FARs. I conclude for reasons already discussed that it was reasonable for Transport Canada to rely upon the FAA to determine whether the maintenance program in effect met the requirements of the FARs. This is consistent with the entire regulatory scheme put in place through the NAFTA implementation process, and it must be noted that the FAA, as the world's largest and most experienced Civil Aviation Authority, had demonstrated the highest level of compliance with the ICAO. Transport Canada had every reason to rely on the FAA, based upon a decades-long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As to the FARs themselves, the conclusion that they yielded an equivalent level of safety was not one arrived at lightly, hurriedly, or superficially, as we have seen. It is currently the subject of an in-depth review by Transport Canada as a result of this crash. But nothing occurred before then that, in my view, ought to have led Transport Canada to abandon that conclusion in relation to this aircraft. Transport Canada identified specific concerns and engaged directly with the FAA to address them. It is not as though the FAA failed to respond. On the contrary, the FAA responded promptly and dramatically, suspending N256TA's NAFTA Certification of Authorization. Thereafter, with all of Transport Canada's concerns before it, and having conducted a thorough inspection, the FAA recertified the aircraft. To require Transport Canada then to second-guess the FAA in the regulatory context of this case would, I find, go far beyond what was reasonable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Similarly, I have already commented on allegations concerning the operation of the aircraft. Once again, Transport Canada's concerns about whether Mr. Dause was properly the operator of the aircraft were disclosed to the FAA, which was satisfied with Mr. Dause's status, as, indeed, am I. The suggestion that Mr. Flanagan was using his lease with Mr. Dause as a tool to circumvent the application of the Canadian regulations is, as I have already discussed, ill-founded. Consequently, I am unable to accept the plaintiff's submission that Transport Canada unreasonably issued an FTA AOC to Mr. Dause despite serious unresolved issues regarding his control over the Canadian operation. Those concerns, like the maintenance concerns, were resolved from Transport Canada's perspective, a perspective I find to have been reasonable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4.2 </w:t>
      </w:r>
      <w:r>
        <w:rPr>
          <w:rFonts w:ascii="arial" w:eastAsia="arial" w:hAnsi="arial" w:cs="arial"/>
          <w:b/>
          <w:color w:val="000000"/>
          <w:sz w:val="20"/>
          <w:u w:val="single"/>
          <w:lang w:val="en-US" w:eastAsia="en-US" w:bidi="ar-SA"/>
        </w:rPr>
        <w:t>The Claims against Flanagan Nevada and Bill Dause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plaintiff submits that liability should be found against these parties in part because they both played a significant role in the implementation of what the plaintiff describes as the "Dause/Flanagan NAFTA arrangement". It is for this reason that I consider the claims against them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Against Flanagan Nevada, the plaintiff submits that its registration of N17SA and N256TA was improper and in contravention of American law. This was done, the plaintiff asserts, to facilitate an end run around Canada's safety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The plaintiff further contends that Flanagan Nevada's action of leasing N17SA to Mr. Dause was committed in furtherance of a common design to facilitate the operation of a U.S. registered aircraft in Canada. The plaintiff argues that this common design was both negligent, in that the operation was unsafe due to the engines being operated beyond the recommended TBO without appropriate risk mitigation procedures, and unlawful because the arrangement resulted in a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transfer of operating authority of the aircraft to Mr. Flanagan and Pacific Skydivers in contravention of the FTA AOC.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plaintiff submits in the alternative that even if Flanagan Nevada was not negligent in registering N17SA in the United States, liability can be imputed to it for participation in a common pursuit that involved negligent maintenance, and that Flanagan Nevada was ultimately responsible for the decision to run engines past TBO instead of incurring the capital expense of overhauling them or purchasing new engines.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Against Mr. Dause, the plaintiff asserts that he was the other side of the scheme that allegedly allowed Mr. Flanagan to end run Canadian safety standards, and that he knowingly held himself out to be the operator of N17SA when he was no such thing. Even if his conduct was not negligent, the plaintiff says, liability may be imputed where his conduct facilitated the commission of a tort, in this case by applying for an FTA AOC each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other aspect of the claim against Mr. Dause relates to maintenance, for which he was responsible under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As discussed above, I reject the contention that Mr. Dause and Mr. Flanagan, or either of them, were engaged in any kind of scheme or common design to circumvent Canadian safety regulations through NAFTA registration. I find no such intention or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complaint that Flanagan Nevada improperly registered N17SA in the United States, thereby facilitating its subsequent use in Canada under a NAFTA operating certificate, is based upon an expert legal opinion from American counsel, Mr. Paul Lange. That opinion, which was admitted without the need of the author to attend for cross examination, concluded that N17SA was not validly registered in the United States. This was because Flanagan Nevada, although a U.S. registered company, was not a U.S.-controlled company as required to qualify as "U.S. citizen", and on the assumption that N17SA was not primarily used in the United States, because the flight hours accumulated within the United States did not amount to at least 60% of the total flight hours of the aircraft during a given six month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facts assumed by Mr. Lange indicated that, overall, from 2003 to 2008, N17SA flew 501.8 hours in Canada and 507.1 hours in the United States. In the six months from November 13, 2007 to May 18, 2008, N17SA was based in Lodi, and flew 150.1 hours. It was then brought to Canada where it flew 42.8 hours before the crash in question. The precise effect of this on the application of the U.S. law to which Mr. Lange refers is not entirely clear to me, and I am unable to conclude on a balance of probabilities that it was improperly registered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But even assuming that it had been improperly registered in the United States, I do not see that as contributing to what occurred here. To the extent the failure is put forward as evidence of Mr. Flanagan's alleged scheme to end run Canadian regulations, I reject that proposition. Mr. Flanagan, as principal of Flanagan Nevada, had a number of aircraft leased to Mr. Dause in Lodi, only two of which spent any time in Canada. I am satisfied that any failure to comply with the requirements in question was inadvertent and not conspiratorial. Had Mr. Flanagan been more fully informed on the subject, the likely result would have been an alteration of hours, and I find no causative relationship between this issue and the accident. As it is, it was for the FAA to certify valid U.S. registration, and it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I turn next to the question of maintenance. In the case of the installation of the left engine by RMA, it is true that it was Mr. Flanagan's decision, on behalf of Flanagan Nevada, to purchase the engine through RMA, and to have RMA install it. But RMA was a fully licensed and approved maintenance operation, certified by Pratt &amp; Whitney, and Flanagan Nevada cannot be held vicariously responsible for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RMA's part in relation to its receiving and storage procedures and in verifying serviceability. The mere fact that an engine was purchased and installed that had been operated beyond the recommended TBO does not, on any reading of the evidence, constitute carelessness.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With respect to liability based on the ongoing operation of the aircraft with its existing maintenance program, I do not see that Flanagan Nevada can be held responsible. It leased the aircraft to Mr. Dause, who became entirely responsible for its maintenance. Mr. Dause retained that responsibility when he leased the aircraft to Pacific Skydivers, and indeed, virtually all of the maintenance was conducted at Mr. Dause's drop centre in Lodi. While Mr. Flanagan, as pilot and principal of Pacific Skydivers, could be considered at least partially responsible for the condition of the aircraft while he flew it and his B.C. company leased it, I do not see how that responsibility can be imputed back to Flanagan Nevada. In any event, that would be contrary to the Worker's Compensation Appeal Tribunal's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claim against Mr. Dause arising out of the aircraft's maintenance is based upon his failure to comply with up-to-date PWC service bulletins, including removal of the fuel pump for direct inspection after an interval of 1800 hours, and his failure to institute a proper on-condition monitoring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With respect to the phase inspections that were carried out, and which were designed in part to detect the very problem that occurred here, it is clear that in 2008, Mr. Dause relied upon the FAA-certified mechanic, Gary Johnson, to carry out the inspections properly, and to report any concerns. Mr. Andreychuk confirmed that it would be reasonable to do so. No concerns or exceptions were reported.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On the evidence, as I have indicated above, the plaintiff has failed to prove that the inspection and maintenance program employed by Mr. Dause was not in accord with the regulations to which N17SA was subject. It follows that there is no basis for finding that Mr. Dause was required to follow the latest PWC service bulletin and arrange for the removal of the fuel pump for direct inspection after an interval of 1800 hours. Ought he to have done so? Did reasonable care require him to do more than follow the phase inspections that I find he was entitled to follow under the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 am hampered somewhat in this analysis by having not had the benefit of evidence from Mr. Johnson or from Mr. Dause (other than his discovery transcript). It really comes down to the extent to which I can accept the expert evidence of Mr. Marshall and Mr. Andreychuk. For the reasons discussed above, I am unable to place sufficient weight on their opinions to conclude that Mr. Dause fell below an acceptable standard of care in this regard. Mr. Andreychuk, for instance, observed that "operation of a PT6A-20 engine beyond its Pratt &amp; Whitney recommended TBO of 3600 hours is common and clearly understood in industry...". He opined that various requirements listed by Pratt &amp; Whitney for proceeding beyond the TBO were not met here, largely relating to the problems with its storage and shipment, and to its high cycle to time ratio in skydiving operations. Yet the FAA regulations did not require compliance in this case with the Pratt &amp; Whitney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The plaintiff submits, correctly, that mere compliance with regulatory standards does not necessarily preclude a finding of civil liability, relying on </w:t>
      </w: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But there, the regulatory and statutory authorities were found not to be directly applicable, and in any event allowed for a significant discretion in the manner of performance. Here, what is missing is evidence of industry standards that would allow me to conclude that a reasonable U.S. skydiving operator in the position of Mr. Dause would have gone further than the FARs required. What I do know is that, in accordance with the regulations, Mr. Dause employed an inspection system that was designed to detect, among other things, the problem that arose here. On the evidence of Mr. Flanagan, whose experience covered 26 different drop zones in nine different states, Mr. Dause's approach was standard in the industry. I accept that evidence, and I am unable to conclude that Mr. Dause fell below a reasonable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With respect to the allegation that Mr. Dause and Mr. Flanagan failed to institute an appropriate trend monitoring system, it is not clear to me that the system used and described by Mr. Flanagan could not achieve an appropriate result. But in any event, there is nothing in the evidence to suggest that a different monitoring system would have avoided what happened here. There was no suggestion that the kind of trend monitoring system the plaintiff put forward as appropriate would have detected the deterioration of the drive splines in the left fuel pump coupling before the engine lost power. Only an inspection would have accomplished that. Unfortunately, the inspections that were carried out did not do so. This leads me to the role of Mr. Johnson.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claims against Flanagan Nevada and Mr. Dause must be dismissed. It follows that it is unnecessary for me to consider whether either of them is protected by the waiver of liability agreement signed by Mr. Forest before the flight.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4.3 </w:t>
      </w:r>
      <w:r>
        <w:rPr>
          <w:rFonts w:ascii="arial" w:eastAsia="arial" w:hAnsi="arial" w:cs="arial"/>
          <w:b/>
          <w:color w:val="000000"/>
          <w:sz w:val="20"/>
          <w:u w:val="single"/>
          <w:lang w:val="en-US" w:eastAsia="en-US" w:bidi="ar-SA"/>
        </w:rPr>
        <w:t>The Claim against Gary Johnson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As noted, Mr. Johnson did not participate in this litigation, and default judgment has been taken against him. I must nevertheless consider whether the evidence establishes liability on 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A qualified and FAA-certified Airframe and Powerplant Engineer, Mr. Johnson carried out a phase inspection of the aircraft in accordance with the Beech Maintenance Manual on March 6, 2008, five months before the failure of the fuel pump. He reported no problems, and no discrepancies. Because of the way in which he filled in the check sheets, it is not clear whether he failed to carry out an inspection of the left fuel pump coupling on his last phase inspection, or whether he carried one out and found no problem. While more than one witness speculated about the meaning of Mr. Johnson's entry, only he could have resolved that question. It is nevertheless clear that the inspection he undertook (phases 3 and 4) obliged him to carry out an inspection of the left fuel pump coupling, and if a problem with deterioration of the drive splines had existed at that time, he failed to find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 am satisfied that if the process of wear and corrosion was underway at the time of Mr. Johnson's last inspection, signs of it would have been clearly visible had the phase inspection been carried out properly. In this regard, I accept the evidence of Mr. Andreychuk. On this scenario, it follows that Mr. Johnson ought to have observed and reported it so that appropriate steps could be taken before the aircraft was returned to service. Indeed, as Mr. Andreychuk pointed out, it would have been his duty to ensure that the aircraft did not return to service until the problem was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No opinion evidence was led, however, from an expert such as a metallurgist, to indicate how long before the failure signs of corrosion and wear would have been evident. Accordingly, the question is whether, on the evidence, it is open for me to infer that the problem was there to be seen at the time Mr. Johnson carried out his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When Mr. Johnson carried out his inspection, there were 4267 hours on the engine. When the coupling failed, a further 168 hours had been accumulated over the ensuing five months. The Beech Alternate Phase Inspection Program (for aircraft flying not more than 400 hours in 24 months) required inspections of the fuel pump coupling shaft for fretting wear and corrosion every 200 hours, at phase inspections 2 and 4. Otherwise, for aircraft flying more than 400 hours in 24 months, such inspections were required every 400 hours. In either event, a phase inspection that covered the fuel pump coupling shaft was to be performed at least annually. Pratt &amp; Whitney specified </w:t>
      </w:r>
      <w:r>
        <w:rPr>
          <w:rFonts w:ascii="arial" w:eastAsia="arial" w:hAnsi="arial" w:cs="arial"/>
          <w:i/>
          <w:color w:val="000000"/>
          <w:sz w:val="20"/>
          <w:lang w:val="en-US" w:eastAsia="en-US" w:bidi="ar-SA"/>
        </w:rPr>
        <w:t>in-situ</w:t>
      </w:r>
      <w:r>
        <w:rPr>
          <w:rFonts w:ascii="arial" w:eastAsia="arial" w:hAnsi="arial" w:cs="arial"/>
          <w:color w:val="000000"/>
          <w:sz w:val="20"/>
          <w:lang w:val="en-US" w:eastAsia="en-US" w:bidi="ar-SA"/>
        </w:rPr>
        <w:t xml:space="preserve"> inspections of the same area with a Q-tip, to detect corrosion, every 600 hours. These inspections were designed to detect signs of deterioration before the point of failure was 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In these circumstances, the most reasonable inference, I find, is that the process of deterioration that led to the failure of the fuel pump would have been discernibly present 168 engine hours and five months before that failure, when Mr. Johnson carried out phase inspections 3 and 4. It follows that he either failed to inspect the fuel pump coupling shaft during the service, or failed to do so competently.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There can be no doubt that but for Mr. Johnson's failure to detect the deterioration, the ultimate loss of power would not have occurred. This meets the test for causation established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He is therefore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4.4 </w:t>
      </w:r>
      <w:r>
        <w:rPr>
          <w:rFonts w:ascii="arial" w:eastAsia="arial" w:hAnsi="arial" w:cs="arial"/>
          <w:b/>
          <w:color w:val="000000"/>
          <w:sz w:val="20"/>
          <w:u w:val="single"/>
          <w:lang w:val="en-US" w:eastAsia="en-US" w:bidi="ar-SA"/>
        </w:rPr>
        <w:t>The Claim against Rocky Mountain Aircraft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RMA did not participate in the trial, having settled the plaintiff's claim against it. Nevertheless, as the plaintiff has expressly waived any right to recover from other defendants any portion of the losses claimed that may be attributable to the fault or liability of RMA or its employees, its liability must still be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On the evidence of Mr. Andreychuk, which was not disputed, RMA failed to meet an acceptable standard of aircraft maintenance when it installed the left engine and fuel pump in 2005. His opinion was based principally on an absence of required written confirmation that certain necessary inspections and procedures were carried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In these circumstances, I have no difficulty in concluding that RMA fell below the standard of care reasonably to be expected of an approved maintenance facility in relation to the receipt, storage and installation of a used Pratt &amp; Whitney PT6 engine that had been operated beyond the manufacturer's recommended TBO.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Mr. Andreychuk explained, and I accept, that as a Pratt &amp; Whitney-recognized service facility, RMA would be familiar with all up to date service bulletins and maintenance manuals, together with all required support systems for the maintenance of PT6 engines, and would further be expert on those engines' maintenance requirements. He points out that the engine had no maintenance release as required by the CARs (to which RMA was subject), which in turn would have required a complete inspection and assessment up to and including overhaul in order to determine its eligibility for continued operation. The technical record discloses no maintenance carried out between the time the engine was removed and the time it was installed in N17SA. Because of RMA's absence from the litigation, no evidence was forthcoming on its behalf to explain what in fact took place. On the evidence that was before me, the only reasonable inference is that RMA failed to verify the serviceability of the engine before installing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question that arises is whether this had any causative effect. In presenting its case generally, the plaintiff relied heavily on the fact that the left engine was beyond Pratt &amp; Whitney's TBO and had not been inspected or overhauled in accordance with PWC's updated requirements, all as would have been required by the CARs and Pratt &amp; Whitney service bulletins. Yet here was a reputable service facility certified by Pratt &amp; Whitney, and approved by Transport Canada, subject to the CARs, that evidently took no steps at all before installing an engine that had been run beyond the TBO with no service to the fuel pump.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While I accept Mr. Andreychuk's opinion that before installing the engine, RMA should have carried out a complete inspection and assessment to determine its eligibility for continued operation, I note that he did not indicate that the engine or its fuel pump required overhaul no matter what RMA found in the inspection and assessment it ought to have carried out. Initially, he indicated that before the engine was installed on N17SA, RMA should have performed the 1800 hour inspection of the fuel pump established in the revised Pratt &amp; Whitney service bulletin. He was obliged to retreat from this position, however, when it was pointed out that the service bulletin was dated June 5, 2007, well after the date of installation.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question therefore becomes what RMA would have found had it carried out an appropriate inspection and assessment. Would the condition of the fuel pump have been such as to require overhaul?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plaintiff pleads that "corrosion and wear of the Drive Splines would have been detected if the left engine had been overhauled at any time between July 22, 2005 and August 3, 2008", but no evidence was led to support that proposition in relation to the time of installation. I observe that although the plaintiff had little motive to adduce such evidence by the time this matter proceeded to trial, it was open to other defendants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evidence did not establish any problems with the left engine other than the problem of fretting and wear that led to the failure of the fuel pump. Pratt &amp; Whitney's own inspection was otherwise unremarkable. Based on the evidence as a whole, and taking a common-sense approach, is it reasonable to infer that at the time of installation there would have been a detectable problem with wear of the fuel pump's drive splines, leading a reasonable AMO to overhaul the fuel pump?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N17SA accumulated 669 further hours on its left engine after RMA installed it. While I concluded in relation to Mr. Johnson's liability that it was reasonable to infer that corrosion would have been detectable 168 engine hours and 5 months before the accident given the phase inspection intervals of 200-400 hours, I am unable on the evidence before me to conclude that it is equally reasonable to infer that corrosion, or some other indication of deterioration, would have been detectable 669 engine hours and more than 3 years before the accident. No witness offered an opinion that would support such a conclusion, and the fact that no intervening phase inspection noted any sign of corrosion or deterioration suggests (but does not definitively establish)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 conclude that although RMA fell below the standard of care to be expected of it in the circumstances, the plaintiff has failed to establish that but for that carelessness, the engine would not have failed. It follows that no liability can be attributed to RMA.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4.5</w:t>
      </w:r>
      <w:r>
        <w:rPr>
          <w:rFonts w:ascii="arial" w:eastAsia="arial" w:hAnsi="arial" w:cs="arial"/>
          <w:b/>
          <w:color w:val="000000"/>
          <w:sz w:val="20"/>
          <w:u w:val="single"/>
          <w:lang w:val="en-US" w:eastAsia="en-US" w:bidi="ar-SA"/>
        </w:rPr>
        <w:t>The Claim against Transport Canada Redux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Having now dealt with the parties other than Transport Canada, I find it helpful to revisit the claim against Transport Canada in the context of the resolution of those other claims, allowing a retrospective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linchpin of the plaintiff's claim against Transport Canada is the proposition that, as a result of the events of 2000, Transport Canada was aware of a concern about whether N256TA was being operated safely, and whether there was an equivalent level of safety under the FARs. These concerns, it is alleged, were not satisfactorily resolved at any time before the crash.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 have already indicated my conclusion that they had been satisfactorily resolved in the context of the regulatory regime under which Transport Canada was properly acting. Nevertheless, it is pertinent to note that the allegation that there was a want of equivalence in the level of safety between the two sets of regulations was based upon the proposition that if N17SA had been subject to the CARs instead of the FARs, the left engine and/or the left fuel pump would have been overhauled before the crash occurred, instead of being run well beyond the TBO, essentially to failure. This would have avoided the deterioration of the fuel pump drive splines to the point where power was lost on August 3,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That assumes, of course, that the appropriate inspections and maintenance under the CARs would have been carried out without carelessness. As it happened, that proved not to be the case and the comparison is therefore inapt. A lack of equivalence cannot be established by comparing a result where everything went wrong to a hypothetical where everything is done right. Here, there was carelessness on the part of RMA, a Transport Canada-approved and Pratt &amp; Whitney-certified maintenance organization subject to and operating under the CARs, and carelessness on the part of Gary Johnson, the FAA-approved airframe and powerplant engineer subject to and operating under the FARs.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Arguably, but for RMA's want of care, the left engine would have undergone servicing and rehabilitation before it was installed on N17SA that would have avoided the problem that occurred here. On the evidence, which, unsurprisingly, was minimal given that the claim against RMA had been settled, I was unable to find that the necessary causal link had been proved on a balance of probabilities. But for Gary Johnson's carelessness, I have found, the left fuel pump would certainly have undergone appropriate inspection and rehabilitation procedures before deteriorating to the point where it lost power on August 3,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In short, the accident would have been avoided under either set of regulations so long as one could depend upon the qualified mechanics and service facilities to perform their required tasks in accordance with the standards reasonably to be expected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4.6 </w:t>
      </w:r>
      <w:r>
        <w:rPr>
          <w:rFonts w:ascii="arial" w:eastAsia="arial" w:hAnsi="arial" w:cs="arial"/>
          <w:b/>
          <w:color w:val="000000"/>
          <w:sz w:val="20"/>
          <w:u w:val="single"/>
          <w:lang w:val="en-US" w:eastAsia="en-US" w:bidi="ar-SA"/>
        </w:rPr>
        <w:t>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On the findings of liability I have made, fault falls to be apportioned between only Mr. Flanagan (and his employer, Pacific Skydivers), and Mr. Johnson.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As I have already noted, Mr. Flanagan conceded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Had he responded appropriately to the problem with which he was faced that day, he would have been able to land the aircraft safely. That much is undisputed. But there is another factor. Once it became clear that he would have to proceed to a crash landing, he gave no instructions whatsoever to his passengers, and the aircraft of which he was in command did not have functional seatbelts that, I find, would have probably reduced injury to the passengers in the type of crash landing that occurred here. This was notwithstanding the fact that the subject of adapting the seatbelt system had been raised previously with Mr. Flanagan by Guy Bryck, a sky-diving instructor who was a passenger on N17SA when it crashed.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 conclude that Mr. Flanagan, as pilot and lessee, also failed to act reasonably in his failure to instruct his passengers as to the appropriate steps to be taken in the event of an emergency, and to take such steps as were reasonable to modify the seatbelt system to reduce the risk of harm to his passengers.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Mr. Johnson, as I have indicated, failed to detect the very problem that led to the crash, being excessive wear and fretting on the drive splines of the left fuel pump coupling. He carried out an inspection designed to detect that problem five months before the crash, yet failed to discern what, I find, was there to be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Liability must be apportioned according to the degree of fault, once causation has been determined, notwithstanding the reference in section 10(7)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to the "portion of the loss or damage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that employer or worker". This is in accordance with the provisions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see, for instance, </w:t>
      </w:r>
      <w:r>
        <w:rPr>
          <w:rFonts w:ascii="arial" w:eastAsia="arial" w:hAnsi="arial" w:cs="arial"/>
          <w:i/>
          <w:color w:val="000000"/>
          <w:sz w:val="20"/>
          <w:lang w:val="en-US" w:eastAsia="en-US" w:bidi="ar-SA"/>
        </w:rPr>
        <w:t>Dyck v Lohrer</w:t>
      </w:r>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2000 BCCA 219</w:t>
        </w:r>
      </w:hyperlink>
      <w:r>
        <w:rPr>
          <w:rFonts w:ascii="arial" w:eastAsia="arial" w:hAnsi="arial" w:cs="arial"/>
          <w:color w:val="000000"/>
          <w:sz w:val="20"/>
          <w:lang w:val="en-US" w:eastAsia="en-US" w:bidi="ar-SA"/>
        </w:rPr>
        <w:t xml:space="preserve">. This, in turn, depends upon the relative degree of blameworthiness: </w:t>
      </w:r>
      <w:r>
        <w:rPr>
          <w:rFonts w:ascii="arial" w:eastAsia="arial" w:hAnsi="arial" w:cs="arial"/>
          <w:i/>
          <w:color w:val="000000"/>
          <w:sz w:val="20"/>
          <w:lang w:val="en-US" w:eastAsia="en-US" w:bidi="ar-SA"/>
        </w:rPr>
        <w:t>Aberdeen v Township of Langley</w:t>
      </w:r>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2007 BCSC 993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Had Mr. Flanagan's liability been based solely upon his admittedly negligent response to the sudden emergency in which he found himself because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Johnson, I would have apportioned fault 40% to Mr. Flanagan and 60% to Mr. Johnson. In my view, Mr. Flanagan's acts and omissions in this regard were less blameworthy because he was responding to the exigencies of an emergency. Mr. Johnson, on the other hand, was not, and his omissions led to the creation of the emergency.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But taking into account as well Mr. Flanagan's failure to give appropriate instructions to his passengers, and to take reasonable steps to modify the seatbelt configuration, I conclude that the parties' relative blameworthiness is equal.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 therefore apportion fault equally, 50% to Mr. Flanagan and Pacific Skydivers, and 50% to Mr. Johnson.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claim against the Attorney General of Canada is dismissed on the basis that Transport Canada owed no duty of care to the injured party. The claims against Flanagan Enterprises (Nevada) Inc. and Bill Dause are also dismissed. No liability is found on the part of Rocky Mountain Aircraft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 claim is allowed against the defendant Gary Johnson. I apportion fault between Mr. Johnson and Mr. Flanagan/Pacific Skydivers Ltd. equally.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Although RMA fell below the standard of care reasonably to be expected of it in relation to the left engine installation on N17SA, the plaintiff has failed to prove that but for that carelessness, the crash would not have happened. It may seem somewhat unfair that Mr. Johnson's proportionate liability is increased because of the failure of the plaintiff to prove causation against RMA, with whom it had reached a settlement. I point out that it was open to Mr. Johnson to participate in this litigation and lead evidence on that issue. He chose not to participate, and none of the defendants chose to lead evidence to establish a link between the carelessness of RMA and the accident that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 parties are at liberty to speak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J.C. GRAUER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5"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2"/>
          <w:headerReference w:type="default" r:id="rId743"/>
          <w:footerReference w:type="even" r:id="rId744"/>
          <w:footerReference w:type="default" r:id="rId745"/>
          <w:headerReference w:type="first" r:id="rId746"/>
          <w:footerReference w:type="first" r:id="rId74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748" w:history="1">
        <w:r>
          <w:rPr>
            <w:rFonts w:ascii="arial" w:eastAsia="arial" w:hAnsi="arial" w:cs="arial"/>
            <w:b/>
            <w:bCs/>
            <w:i/>
            <w:color w:val="0077CC"/>
            <w:kern w:val="32"/>
            <w:sz w:val="28"/>
            <w:szCs w:val="32"/>
            <w:u w:val="single"/>
            <w:shd w:val="clear" w:color="auto" w:fill="FFFFFF"/>
            <w:lang w:val="en-US" w:eastAsia="en-US" w:bidi="ar-SA"/>
          </w:rPr>
          <w:t>Dhillon v. Jaffer, [2015] B.C.J. No. 1770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C.A. Wedge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May 28 and 29, 2015.</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June 18, 2015.</w:t>
      </w:r>
    </w:p>
    <w:p>
      <w:pPr>
        <w:spacing w:before="120" w:line="260" w:lineRule="atLeast"/>
        <w:jc w:val="center"/>
        <w:rPr>
          <w:lang w:val="en-US" w:eastAsia="en-US" w:bidi="ar-SA"/>
        </w:rPr>
      </w:pPr>
      <w:r>
        <w:rPr>
          <w:rFonts w:ascii="arial" w:eastAsia="arial" w:hAnsi="arial" w:cs="arial"/>
          <w:color w:val="000000"/>
          <w:sz w:val="20"/>
          <w:lang w:val="en-US" w:eastAsia="en-US" w:bidi="ar-SA"/>
        </w:rPr>
        <w:t>Docket: S042375</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[2015] B.C.J. No. 1770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2015 BCSC 1456</w:t>
      </w:r>
    </w:p>
    <w:p>
      <w:pPr>
        <w:spacing w:before="120" w:line="260" w:lineRule="atLeast"/>
        <w:rPr>
          <w:lang w:val="en-US" w:eastAsia="en-US" w:bidi="ar-SA"/>
        </w:rPr>
      </w:pPr>
      <w:r>
        <w:rPr>
          <w:rFonts w:ascii="arial" w:eastAsia="arial" w:hAnsi="arial" w:cs="arial"/>
          <w:color w:val="000000"/>
          <w:sz w:val="20"/>
          <w:lang w:val="en-US" w:eastAsia="en-US" w:bidi="ar-SA"/>
        </w:rPr>
        <w:t>Between Gurmej Singh Dhillon, Plaintiff, and Jalal A. Jaffer and Nasib Kaur Dhillon,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(79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96" style="position:absolute;z-index:25169408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27" w:name="Keywords_34"/>
      <w:bookmarkEnd w:id="227"/>
      <w:r>
        <w:rPr>
          <w:rFonts w:ascii="arial" w:eastAsia="arial" w:hAnsi="arial" w:cs="arial"/>
          <w:b/>
          <w:color w:val="000000"/>
          <w:sz w:val="20"/>
          <w:lang w:val="en-US" w:eastAsia="en-US" w:bidi="ar-SA"/>
        </w:rPr>
        <w:t xml:space="preserve">Civil litigation — Civil procedure — Pleadings — Striking out pleadings or allegations — Grounds — False, frivolous, vexatious or abuse of process — Application by the defendant Jaffer to strike the plaintiff Dhillon's notice of application for summary trial allowed — Dhillon commenced an action against Jaffer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fiduciary duty — Although unsuccessful at trial, his appeal was allowed on the basis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After Dhillon's damages award was almost entirely set aside, he commenced the summary trial application for breach of fiduciary duty — Dhillon's claim was barred by the doctrines of merger and cause of action estoppel — It was also an attempt to re-litigate the original claim and was an abuse of process.</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Tort law — Practice and procedure — Pleadings — Amendment — Adding or striking out claim — Application by the defendant Jaffer to strike the plaintiff Dhillon's notice of application for summary trial allowed — Dhillon commenced an action against Jaffer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fiduciary duty — Although unsuccessful at trial, his appeal was allowed on the basis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After Dhillon's damages award was almost entirely set aside, he commenced the summary trial application for breach of fiduciary duty — Dhillon's claim was barred by the doctrines of merger and cause of action estoppel — It was also an attempt to re-litigate the original claim and was an abuse of process.</w:t>
      </w:r>
    </w:p>
    <w:p>
      <w:pPr>
        <w:jc w:val="both"/>
        <w:rPr>
          <w:lang w:val="en-US" w:eastAsia="en-US" w:bidi="ar-SA"/>
        </w:rPr>
      </w:pPr>
      <w:bookmarkStart w:id="228" w:name="Legislation Cited_24"/>
      <w:bookmarkEnd w:id="228"/>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97" style="position:absolute;z-index:25174528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Bankruptcy and Insolvency Act, </w:t>
      </w:r>
      <w:hyperlink r:id="rId749" w:history="1">
        <w:r>
          <w:rPr>
            <w:rFonts w:ascii="arial" w:eastAsia="arial" w:hAnsi="arial" w:cs="arial"/>
            <w:i/>
            <w:color w:val="0077CC"/>
            <w:sz w:val="20"/>
            <w:u w:val="single"/>
            <w:shd w:val="clear" w:color="auto" w:fill="FFFFFF"/>
            <w:lang w:val="en-US" w:eastAsia="en-US" w:bidi="ar-SA"/>
          </w:rPr>
          <w:t>R.S.C. 1985, c. B-3, s. 178</w:t>
        </w:r>
      </w:hyperlink>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Family Relations Act, </w:t>
      </w:r>
      <w:hyperlink r:id="rId750" w:history="1">
        <w:r>
          <w:rPr>
            <w:rFonts w:ascii="arial" w:eastAsia="arial" w:hAnsi="arial" w:cs="arial"/>
            <w:i/>
            <w:color w:val="0077CC"/>
            <w:sz w:val="20"/>
            <w:u w:val="single"/>
            <w:shd w:val="clear" w:color="auto" w:fill="FFFFFF"/>
            <w:lang w:val="en-US" w:eastAsia="en-US" w:bidi="ar-SA"/>
          </w:rPr>
          <w:t>R.S.B.C. 1996, c. 128</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9-5</w:t>
      </w:r>
      <w:r>
        <w:rPr>
          <w:rFonts w:ascii="arial" w:eastAsia="arial" w:hAnsi="arial" w:cs="arial"/>
          <w:color w:val="000000"/>
          <w:sz w:val="20"/>
          <w:lang w:val="en-US" w:eastAsia="en-US" w:bidi="ar-SA"/>
        </w:rPr>
        <w:t>(1)</w:t>
      </w:r>
      <w:r>
        <w:rPr>
          <w:lang w:val="en-US" w:eastAsia="en-US" w:bidi="ar-SA"/>
        </w:rPr>
        <w:cr/>
      </w:r>
    </w:p>
    <w:p>
      <w:pPr>
        <w:keepNext/>
        <w:spacing w:before="240" w:line="340" w:lineRule="atLeast"/>
        <w:rPr>
          <w:lang w:val="en-US" w:eastAsia="en-US" w:bidi="ar-SA"/>
        </w:rPr>
      </w:pPr>
      <w:bookmarkStart w:id="229" w:name="Counsel_33"/>
      <w:bookmarkEnd w:id="229"/>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98" style="position:absolute;z-index:25179648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P. Jaffe.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J.A. Jaffer: R. Anderson, Q.C., L.B. Herbst.</w:t>
      </w:r>
      <w:r>
        <w:rPr>
          <w:lang w:val="en-US" w:eastAsia="en-US" w:bidi="ar-SA"/>
        </w:rPr>
        <w:cr/>
      </w:r>
    </w:p>
    <w:p>
      <w:pPr>
        <w:spacing w:after="240"/>
        <w:rPr>
          <w:lang w:val="en-US" w:eastAsia="en-US" w:bidi="ar-SA"/>
        </w:rPr>
      </w:pPr>
      <w:bookmarkStart w:id="230" w:name="Judgment_34"/>
      <w:bookmarkEnd w:id="230"/>
      <w:r>
        <w:pict>
          <v:line id="_x0000_s1199" style="position:absolute;z-index:251846656"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Oral 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31" w:name="C.A. WEDGE J. (orally)"/>
            <w:bookmarkEnd w:id="231"/>
            <w:r>
              <w:rPr>
                <w:rFonts w:ascii="arial" w:eastAsia="arial" w:hAnsi="arial" w:cs="arial"/>
                <w:b/>
                <w:color w:val="000000"/>
                <w:sz w:val="30"/>
                <w:lang w:val="en-US" w:eastAsia="en-US" w:bidi="ar-SA"/>
              </w:rPr>
              <w:t>C.A. WEDGE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brought by Jalal Jaffer to strike a notice of application for summary trial filed by Gurmej Dhillon.</w:t>
      </w:r>
    </w:p>
    <w:p>
      <w:pPr>
        <w:spacing w:line="260" w:lineRule="atLeast"/>
        <w:jc w:val="both"/>
        <w:rPr>
          <w:lang w:val="en-US" w:eastAsia="en-US" w:bidi="ar-SA"/>
        </w:rPr>
      </w:pPr>
      <w:r>
        <w:rPr>
          <w:lang w:val="en-US" w:eastAsia="en-US" w:bidi="ar-SA"/>
        </w:rPr>
        <w:br/>
      </w:r>
      <w:r>
        <w:rPr>
          <w:rFonts w:ascii="arial" w:eastAsia="arial" w:hAnsi="arial" w:cs="arial"/>
          <w:b/>
          <w:i/>
          <w:color w:val="000000"/>
          <w:sz w:val="20"/>
          <w:u w:val="single"/>
          <w:lang w:val="en-US" w:eastAsia="en-US" w:bidi="ar-SA"/>
        </w:rPr>
        <w:t>Overview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By way of brief overview, Mr. Dhillon commenced an action against Mr. Jaffer, who is a lawyer, because Mr. Jaffer paid out to Mr. Dhillon's spouse, Nasib Dhillon, the proceeds of sale of the Dhillons' matrimonial home. Mrs. Dhillon was a client of Mr. Jaffer at the time in an action involving a dispute between her and a third party involving the family home. The funds had been paid into Mr. Jaffer's trust account as a result of that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When Mr. Dhillon commenced his action against Mr. Jaffer, he alleged in his pleadings that Mr. Jaffer's conduct in paying out the funds to Ms. Dhillon constituted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fiduciary duty and/or breach of contract. He was unsuccessful at trial but appealed, and the Court of Appeal allowed the appeal on the basis that Mr. Jaffer's conduct was negligent. However, the Court declined to consider the alternative claims of breach of fiduciary duty and breach of contract as a result of the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Thereafter the parties proceeded to the trial on assessment of damages. Mr. Dhillon obtained a substantial damages award on the basis of the successful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However, on appeal by Mr. Jaffer, the damages award was almost entirely set aside. Mr. Dhillon sought leave to appeal to the Supreme Court of Canada but leave was denied.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Dhillon then immediately commenced this summary trial application against Mr. Jaffer for breach of fiduciary duty, which was the claim the Court of Appeal had declined to consider.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response, Mr. Jaffer has brought this application pursuant to Rule 9-5(1)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to strike the notice of summary trial. Mr. Jaffer says that Mr. Dhillon's attempt to proceed with the claim for breach of fiduciary duty is frivolous and vexatious, and is otherwise an abuse of the court's process. Mr. Jaffer acknowledges that in his application to strike the summary trial application, he must meet the "plain and obvious" standard under Rule 9-5(1).</w:t>
      </w:r>
    </w:p>
    <w:p>
      <w:pPr>
        <w:spacing w:line="260" w:lineRule="atLeast"/>
        <w:jc w:val="both"/>
        <w:rPr>
          <w:lang w:val="en-US" w:eastAsia="en-US" w:bidi="ar-SA"/>
        </w:rPr>
      </w:pPr>
      <w:r>
        <w:rPr>
          <w:lang w:val="en-US" w:eastAsia="en-US" w:bidi="ar-SA"/>
        </w:rPr>
        <w:br/>
      </w:r>
      <w:r>
        <w:rPr>
          <w:rFonts w:ascii="arial" w:eastAsia="arial" w:hAnsi="arial" w:cs="arial"/>
          <w:b/>
          <w:i/>
          <w:color w:val="000000"/>
          <w:sz w:val="20"/>
          <w:u w:val="single"/>
          <w:lang w:val="en-US" w:eastAsia="en-US" w:bidi="ar-SA"/>
        </w:rPr>
        <w:t>The 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will now turn to the facts underlying this dispute. Mr. Dhillon and his spouse, Ms. Dhillon, married in India and later immigrated to Canada. They had four children, including a son by the name of Manohar. In 1974 Mr. Dhillon purchased a house on East 57th Avenue in Vancouver, which became the matrimonial home. Title was registered to Mr. Dhillon.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early 1980s Mr. and Mrs. Dhillon had marital difficulties. In 1983 Ms. Dhillon went to India. In 1985 Mr. Dhillon also returned to India. He testified at trial that Ms. Dhillon made it clear to him at that time that the marriage was over. Thereafter Ms. Dhillon returned to Canada and continued to live with the four children in the East 57th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January 1992 Ms. Dhillon entered into a contract to sell the East 57th property. She and Manohar forged a power of attorney authorizing her to sell the East 57th property and receive the proceeds.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For reasons that are not clear, Ms. Dhillon refused to complete the sale. The purchaser sued Mr. Dhillon, the registered owner of the property, for specific performance.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November 1992, the purchasers obtained default judgment and an order that the East 57th property be vested in their names. Ms. Dhillon immediately retained Mr. Jaffer to set aside the default judgment. Mr. Jaffe was not aware of the fraud, nor is it suggested that he should have been.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On November 27, 1992, Justice Bruce Macdonald dismissed Ms. Dhillon's application to set the default judgment aside: </w:t>
      </w:r>
      <w:r>
        <w:rPr>
          <w:rFonts w:ascii="arial" w:eastAsia="arial" w:hAnsi="arial" w:cs="arial"/>
          <w:i/>
          <w:color w:val="000000"/>
          <w:sz w:val="20"/>
          <w:lang w:val="en-US" w:eastAsia="en-US" w:bidi="ar-SA"/>
        </w:rPr>
        <w:t>Hothi v. Dhillon</w:t>
      </w:r>
      <w:r>
        <w:rPr>
          <w:rFonts w:ascii="arial" w:eastAsia="arial" w:hAnsi="arial" w:cs="arial"/>
          <w:color w:val="000000"/>
          <w:sz w:val="20"/>
          <w:lang w:val="en-US" w:eastAsia="en-US" w:bidi="ar-SA"/>
        </w:rPr>
        <w:t xml:space="preserve"> (27 November 1992), Vancouver C921030 (S.C.). However, he noted he had a great deal of sympathy for her and that it would be the intention:</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...To ensure that the net sale proceeds are directed in such a manner as to ensure Mrs. Dhillon's ability to utilize the same to acquire alternate accommodation.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proceeds of sale in the amount of $186,000 were directed to Mr. Jaffer's account as Ms. Dhillon's solicitor of record.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September 1993, the purchaser's delivered the sale proceeds to Mr. Jaffer, which he then largely paid out to Ms. Dhillon. He did so without notice to Mr. Dhillon, believing that he was acting pursuant to Justice Macdonald's direction. Mr. Dhillon did not have any dealings with Mr. Jaffer at any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December 1997, Ms. Dhillon applied approximately $101,000 derived from the sale of the East 57th property to the ultimate purchase of a residence on East 52nd Avenue. Mr. Dhillon returned to Canada in 2000 and found that the East 57th property had been sold. In August 2000, he commenced litigation against Ms. Dhillon and Manohar alleging that they had committed fraud.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April 2004, Mr. Dhillon commenced an action against Mr. Jaffer and Ms. Dhillon seeking title to the East 52nd property. In July 2005 after a trial of that action Mr. Justice Pitfield ordered that title to the East 52nd property be transferred to Mr. Dhillon and ordered Ms. Dhillon and Manohar to pay damages. In November 2006 the Court of Appeal dismissed the appeal of Ms. Dhillon. In March 2008 title to the East 52nd property vested in Mr. Dhillon's name.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March 2010, Mr. Dhillon delivered a notice of intention to proceed in the action against Mr. Jaffer that had been filed in April of 2004. He discontinued it against Ms. Dhillon. Mr. Dhillon's pleading alleged that Mr. Jaffer's conduct: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 constituted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fiduciary duty and/ or breach of contract by reason of his failure to comply with the reasonable standard of practice and/or implied terms of contract of retainer as reflected by the rules of the profession.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 trial on liability proceeded before Justice Griffin of this Court for eight days in May 2011.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July of 2011, Madam Justice Griffin dismissed the action in its entirety. Among other things, Griffin J. found that Mr. Dhillon was not Mr. Jaffer's client; that Mr. Jaffer ought not to have regarded Mr. Dhillon as such; that Mr. Jaffer did not know about the fraud; and that Mr. Jaffer's own intentions were honest.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his appeal from the order of Griffin J., Mr. Dhillon sought an order setting aside the trial judgment and granting judgment on liability for damages to be assessed: "...arising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and/or</w:t>
      </w:r>
      <w:r>
        <w:rPr>
          <w:rFonts w:ascii="arial" w:eastAsia="arial" w:hAnsi="arial" w:cs="arial"/>
          <w:color w:val="000000"/>
          <w:sz w:val="20"/>
          <w:lang w:val="en-US" w:eastAsia="en-US" w:bidi="ar-SA"/>
        </w:rPr>
        <w:t xml:space="preserve"> breach of contract </w:t>
      </w:r>
      <w:r>
        <w:rPr>
          <w:rFonts w:ascii="arial" w:eastAsia="arial" w:hAnsi="arial" w:cs="arial"/>
          <w:b/>
          <w:color w:val="000000"/>
          <w:sz w:val="20"/>
          <w:lang w:val="en-US" w:eastAsia="en-US" w:bidi="ar-SA"/>
        </w:rPr>
        <w:t>and/or</w:t>
      </w:r>
      <w:r>
        <w:rPr>
          <w:rFonts w:ascii="arial" w:eastAsia="arial" w:hAnsi="arial" w:cs="arial"/>
          <w:color w:val="000000"/>
          <w:sz w:val="20"/>
          <w:lang w:val="en-US" w:eastAsia="en-US" w:bidi="ar-SA"/>
        </w:rPr>
        <w:t xml:space="preserve"> breach of fiduciary duty" (emphasis in original).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appeal proceeded to a two-day hearing in March of 2012. In its reasons for judgment in April 2012 (</w:t>
      </w:r>
      <w:r>
        <w:rPr>
          <w:rFonts w:ascii="arial" w:eastAsia="arial" w:hAnsi="arial" w:cs="arial"/>
          <w:i/>
          <w:color w:val="000000"/>
          <w:sz w:val="20"/>
          <w:lang w:val="en-US" w:eastAsia="en-US" w:bidi="ar-SA"/>
        </w:rPr>
        <w:t>Dhillon v. Jaffer</w:t>
      </w:r>
      <w:r>
        <w:rPr>
          <w:rFonts w:ascii="arial" w:eastAsia="arial" w:hAnsi="arial" w:cs="arial"/>
          <w:color w:val="000000"/>
          <w:sz w:val="20"/>
          <w:lang w:val="en-US" w:eastAsia="en-US" w:bidi="ar-SA"/>
        </w:rPr>
        <w:t xml:space="preserve">, </w:t>
      </w:r>
      <w:hyperlink r:id="rId751" w:history="1">
        <w:r>
          <w:rPr>
            <w:rFonts w:ascii="arial" w:eastAsia="arial" w:hAnsi="arial" w:cs="arial"/>
            <w:i/>
            <w:color w:val="0077CC"/>
            <w:sz w:val="20"/>
            <w:u w:val="single"/>
            <w:shd w:val="clear" w:color="auto" w:fill="FFFFFF"/>
            <w:lang w:val="en-US" w:eastAsia="en-US" w:bidi="ar-SA"/>
          </w:rPr>
          <w:t>2012 BCCA 156</w:t>
        </w:r>
      </w:hyperlink>
      <w:r>
        <w:rPr>
          <w:rFonts w:ascii="arial" w:eastAsia="arial" w:hAnsi="arial" w:cs="arial"/>
          <w:color w:val="000000"/>
          <w:sz w:val="20"/>
          <w:lang w:val="en-US" w:eastAsia="en-US" w:bidi="ar-SA"/>
        </w:rPr>
        <w:t>) the Court of Appeal said the following at para. 2:</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For the reasons that follow, I would allow the appeal on the ground that the respondent breached his duty of care to the appellant and is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paras. 22 to 24 the court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[22] The trial judge found that the appellant was not the respondent's client and accordingly there was no duty of care or fiduciary duty. She did not analyze the non-client issue.</w:t>
      </w:r>
    </w:p>
    <w:p>
      <w:pPr>
        <w:spacing w:before="120" w:line="260" w:lineRule="atLeast"/>
        <w:ind w:left="720"/>
        <w:rPr>
          <w:lang w:val="en-US" w:eastAsia="en-US" w:bidi="ar-SA"/>
        </w:rPr>
      </w:pPr>
      <w:r>
        <w:rPr>
          <w:rFonts w:ascii="arial" w:eastAsia="arial" w:hAnsi="arial" w:cs="arial"/>
          <w:color w:val="000000"/>
          <w:sz w:val="20"/>
          <w:lang w:val="en-US" w:eastAsia="en-US" w:bidi="ar-SA"/>
        </w:rPr>
        <w:t>[23] In my opinion, the trial judge erred in failing to determine whether the respondent owed the appellant a duty of care as a non-client and in making an unreasonable finding that reliance on the reasons in the vesting order judgment did not fall below the standard of care of a reasonably competent solicitor.</w:t>
      </w:r>
    </w:p>
    <w:p>
      <w:pPr>
        <w:spacing w:before="120" w:line="260" w:lineRule="atLeast"/>
        <w:ind w:left="720"/>
        <w:rPr>
          <w:lang w:val="en-US" w:eastAsia="en-US" w:bidi="ar-SA"/>
        </w:rPr>
      </w:pPr>
      <w:r>
        <w:rPr>
          <w:rFonts w:ascii="arial" w:eastAsia="arial" w:hAnsi="arial" w:cs="arial"/>
          <w:color w:val="000000"/>
          <w:sz w:val="20"/>
          <w:lang w:val="en-US" w:eastAsia="en-US" w:bidi="ar-SA"/>
        </w:rPr>
        <w:t>[24] As I would allow the appeal on this ground and grant judgment in favour of the appellant, I do not find it necessary to deal with breach of contract or fiduciary duty.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At para. 27 the Court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[27] I propose to analyze the case on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trial judge found that the appellant was not the respondent's client and that the respondent was not aware of Mrs. Dhillon's fraud, nor should he have been. These are findings of mixed fact and law and I am not prepared to interfere with them.</w:t>
      </w:r>
    </w:p>
    <w:p>
      <w:pPr>
        <w:spacing w:before="120" w:line="260" w:lineRule="atLeast"/>
        <w:ind w:left="720"/>
        <w:rPr>
          <w:lang w:val="en-US" w:eastAsia="en-US" w:bidi="ar-SA"/>
        </w:rPr>
      </w:pPr>
      <w:r>
        <w:rPr>
          <w:rFonts w:ascii="arial" w:eastAsia="arial" w:hAnsi="arial" w:cs="arial"/>
          <w:color w:val="000000"/>
          <w:sz w:val="20"/>
          <w:lang w:val="en-US" w:eastAsia="en-US" w:bidi="ar-SA"/>
        </w:rPr>
        <w:t>[28] In my judgment, the trial judge erred in not turning her mind to the question of whether the respondent owed the appellant a duty of care as a non-client.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result the Court of Appeal allowed the appeal with damages to be assessed in the Supreme Court. The error that the Court of Appeal identified in the judgment which had been made by the trial judge was a failure to consider whether Mr. Jaffer owed a duty to care to Mr. Dhillon as a non-client.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Upon receiving the decision of the Court of Appeal on liability in April 2012, the parties proceeded directly to the damages assessment. They entered the order of the Court of Appeal on liability. That order, which was entered in May of 2012 provided in part that: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the appeal is allowed with judgment to the appellant and damages to be assessed in the Supreme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Mr. Justice Melnick of this Court presided over the assessment of damages. The damages trial took place for seven days in late 2012 and continuing into the spring of 2013. Mr. Dhillon argued, among other things, that Mr. Jaffer's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had been "fiduciary in nature." Mr. Dhillon did not argue that some aspect of liability of damages had been reserved by the Court of Appeal to be argued another day. The damages to be assessed were in relation to Mr. Jaffe's conduct in paying out the funds.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Justice Melnick issued reasons for judgment on the damages assessment in August 2013 (</w:t>
      </w:r>
      <w:r>
        <w:rPr>
          <w:rFonts w:ascii="arial" w:eastAsia="arial" w:hAnsi="arial" w:cs="arial"/>
          <w:i/>
          <w:color w:val="000000"/>
          <w:sz w:val="20"/>
          <w:lang w:val="en-US" w:eastAsia="en-US" w:bidi="ar-SA"/>
        </w:rPr>
        <w:t>Dhillon v. Jaffer</w:t>
      </w:r>
      <w:r>
        <w:rPr>
          <w:rFonts w:ascii="arial" w:eastAsia="arial" w:hAnsi="arial" w:cs="arial"/>
          <w:color w:val="000000"/>
          <w:sz w:val="20"/>
          <w:lang w:val="en-US" w:eastAsia="en-US" w:bidi="ar-SA"/>
        </w:rPr>
        <w:t xml:space="preserve">, </w:t>
      </w:r>
      <w:hyperlink r:id="rId752" w:history="1">
        <w:r>
          <w:rPr>
            <w:rFonts w:ascii="arial" w:eastAsia="arial" w:hAnsi="arial" w:cs="arial"/>
            <w:i/>
            <w:color w:val="0077CC"/>
            <w:sz w:val="20"/>
            <w:u w:val="single"/>
            <w:shd w:val="clear" w:color="auto" w:fill="FFFFFF"/>
            <w:lang w:val="en-US" w:eastAsia="en-US" w:bidi="ar-SA"/>
          </w:rPr>
          <w:t>2013 BCSC 1595</w:t>
        </w:r>
      </w:hyperlink>
      <w:r>
        <w:rPr>
          <w:rFonts w:ascii="arial" w:eastAsia="arial" w:hAnsi="arial" w:cs="arial"/>
          <w:color w:val="000000"/>
          <w:sz w:val="20"/>
          <w:lang w:val="en-US" w:eastAsia="en-US" w:bidi="ar-SA"/>
        </w:rPr>
        <w:t>). He said the following at paras. 30 and 31 of his reasons: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[30] This present case has come before me to assess damages on the basis of facts found by another trial judge and a determination by the Court of Appeal of how the law applies to those facts, at least respecting Mr. Jaffer's duty to Mr. Dhillon, a non-client. The trial judge found there was no breach of fiduciary duty. The Court of Appeal did not deal with the ground of appeal which asked for a determination that there was.</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[31] An assessment of damages is not the forum to determine issues of liability. The question of whether Mr. Jaffer's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amounted to a breach of fiduciary duty is a question of liability, not of damages. If it was important to Mr. Dhillon that the issue of whether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Jaffer was in essence a breach of a fiduciary duty owed to Mr. Dhillon (for the objective of shifting the onus of proof on causation to Mr. Jaffer), then he should have gone back to the Court of Appeal to either ask that the Court of Appeal determine that issue, or remit the question to the trial judge to be decided in light of the Court of Appeal's judgment on breach of duty of care to a non-client. But at this point, it is not for me to determine whether the breach of Mr. Jaffer's duty to Mr. Dhillon was fiduciary in nature.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However, Mr. Justice Melnick awarded to Mr. Dhillon approximately $232,000 plus interest. In September 2013 the parties again appeared before Mr. Justice Melnick chiefly on interest-related issues and to settle the order which was ultimately entered on January 15, 2014.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September 2014 Mr. Jaffer appealed with respect to the damages that Mr. Justice Melnick had assessed and Mr. Dhillon cross-appealed. In his factum Mr. Dhillon argued that Justice Melnick had erred at not taking into account the alleged fiduciary nature of the breach in assessing damages Mr. Dhillon also argued that: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 [i]f this Court's 2012 judgment did, in fact, compel the trial judge to disregard fiduciary duty and if this Court finds that the impugned damages awards exceed that which is available under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the Respondent invokes this Court's inherent jurisdiction and/or powers under section 9 of the </w:t>
      </w:r>
      <w:r>
        <w:rPr>
          <w:rFonts w:ascii="arial" w:eastAsia="arial" w:hAnsi="arial" w:cs="arial"/>
          <w:i/>
          <w:color w:val="000000"/>
          <w:sz w:val="20"/>
          <w:lang w:val="en-US" w:eastAsia="en-US" w:bidi="ar-SA"/>
        </w:rPr>
        <w:t>Court of Appeal Act</w:t>
      </w:r>
      <w:r>
        <w:rPr>
          <w:rFonts w:ascii="arial" w:eastAsia="arial" w:hAnsi="arial" w:cs="arial"/>
          <w:color w:val="000000"/>
          <w:sz w:val="20"/>
          <w:lang w:val="en-US" w:eastAsia="en-US" w:bidi="ar-SA"/>
        </w:rPr>
        <w:t xml:space="preserve"> to apply principles of damages in fiduciary law herein.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appeal proceeded to a two-day hearing in May 2014 before a new division of the Court of Appeal. In its judgment issued in June of 2014 (</w:t>
      </w:r>
      <w:r>
        <w:rPr>
          <w:rFonts w:ascii="arial" w:eastAsia="arial" w:hAnsi="arial" w:cs="arial"/>
          <w:i/>
          <w:color w:val="000000"/>
          <w:sz w:val="20"/>
          <w:lang w:val="en-US" w:eastAsia="en-US" w:bidi="ar-SA"/>
        </w:rPr>
        <w:t>Dhillon v. Jaffer</w:t>
      </w:r>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2014 BCCA 215</w:t>
        </w:r>
      </w:hyperlink>
      <w:r>
        <w:rPr>
          <w:rFonts w:ascii="arial" w:eastAsia="arial" w:hAnsi="arial" w:cs="arial"/>
          <w:color w:val="000000"/>
          <w:sz w:val="20"/>
          <w:lang w:val="en-US" w:eastAsia="en-US" w:bidi="ar-SA"/>
        </w:rPr>
        <w:t>), the Court of Appeal almost entirely set aside the award of damages leaving in place only the $5,000 award for lost loss of opportunity. It also dismissed the cross-appeal.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Court noted the following in its reasons for judgment: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[1] This appeal is from an assessment of damages in a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[2] The question of the </w:t>
      </w:r>
      <w:r>
        <w:rPr>
          <w:rFonts w:ascii="arial" w:eastAsia="arial" w:hAnsi="arial" w:cs="arial"/>
          <w:color w:val="000000"/>
          <w:sz w:val="20"/>
          <w:u w:val="single"/>
          <w:lang w:val="en-US" w:eastAsia="en-US" w:bidi="ar-SA"/>
        </w:rPr>
        <w:t>liability</w:t>
      </w:r>
      <w:r>
        <w:rPr>
          <w:rFonts w:ascii="arial" w:eastAsia="arial" w:hAnsi="arial" w:cs="arial"/>
          <w:color w:val="000000"/>
          <w:sz w:val="20"/>
          <w:lang w:val="en-US" w:eastAsia="en-US" w:bidi="ar-SA"/>
        </w:rPr>
        <w:t xml:space="preserve"> of the defendant solicitor, Mr. Jaffer, was decided by this court in 2012. [Emphasis in original.]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At para. 15 the Court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Melnick J. made it clear at the outset of his analysis that he was proceeding on the basis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breach of fiduciary duty, on the part of Mr. Jaffer. As he observed, Griffin J. had found no fiduciary duty (a finding that would have placed Mr. Jaffer in a clear conflict of duty between Mr. and Mrs. Dhillon.) The Court of Appeal had found it unnecessary to deal with the issue: See the reasons of Donald J.A. at para. 24. Mr. Dhillon had not sought to return to this court to ask that it deal with fiduciary duty or remit it to the trial judge to be decided in the light of the Court of Appeal's judgment on breach of duty of care to a "non-client". In the result, Melnick J. stated in the case at bar, the onus of proof rested on Mr. Dhillon "to demonstrate that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Jaffer, he would not have suffered any given loss for which he claims." [Emphasis in original.]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Dhillon sought leave to appeal from the Court of Appeal's decision to the Supreme Court of Canada. He alleged in his notice of application for leave, filed in September of 2014, that the Court of Appeal had erred by refusing to consider breach of fiduciary duty. In his memorandum of argument of the same date, Mr. Dhillon contended that the Court of Appeal's June 2014 judgment invited such questions as: "are courts free to simply disregard pleaded claims?"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the argument, Mr. Dhillon noted that: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[s]ection 9 of B.C.'s </w:t>
      </w:r>
      <w:r>
        <w:rPr>
          <w:rFonts w:ascii="arial" w:eastAsia="arial" w:hAnsi="arial" w:cs="arial"/>
          <w:i/>
          <w:color w:val="000000"/>
          <w:sz w:val="20"/>
          <w:lang w:val="en-US" w:eastAsia="en-US" w:bidi="ar-SA"/>
        </w:rPr>
        <w:t>Court of Appeal Act</w:t>
      </w:r>
      <w:r>
        <w:rPr>
          <w:rFonts w:ascii="arial" w:eastAsia="arial" w:hAnsi="arial" w:cs="arial"/>
          <w:color w:val="000000"/>
          <w:sz w:val="20"/>
          <w:lang w:val="en-US" w:eastAsia="en-US" w:bidi="ar-SA"/>
        </w:rPr>
        <w:t xml:space="preserve"> includes the power to: "... make or give any additional order that it considers just" and to "... exercise any original jurisdiction that may be necessary or incidental to the hearing and determination of an appeal".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Ultimately, Mr. Dhillon argued that rather than rectifying injustice arising from failure to consider Mr. Dhillon's fiduciary duty claim, the 2014 judgment of the Court of Appeal simply avoided the matter.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Dhillon also sought to reopen the appeals which had been before the Court of Appeal. Both panels of the Court of Appeal declined Mr. Dhillon's requests. The first panel stated as follows in its October 27, 2014 BCCA memorandum to counsel:</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Counsel for Mr. Dhillon requests that the division which heard appeal CA039242 and decided the matter in a judgment released as </w:t>
      </w:r>
      <w:hyperlink r:id="rId751" w:history="1">
        <w:r>
          <w:rPr>
            <w:rFonts w:ascii="arial" w:eastAsia="arial" w:hAnsi="arial" w:cs="arial"/>
            <w:i/>
            <w:color w:val="0077CC"/>
            <w:sz w:val="20"/>
            <w:u w:val="single"/>
            <w:shd w:val="clear" w:color="auto" w:fill="FFFFFF"/>
            <w:lang w:val="en-US" w:eastAsia="en-US" w:bidi="ar-SA"/>
          </w:rPr>
          <w:t>2012 BCCA 156</w:t>
        </w:r>
      </w:hyperlink>
      <w:r>
        <w:rPr>
          <w:rFonts w:ascii="arial" w:eastAsia="arial" w:hAnsi="arial" w:cs="arial"/>
          <w:color w:val="000000"/>
          <w:sz w:val="20"/>
          <w:lang w:val="en-US" w:eastAsia="en-US" w:bidi="ar-SA"/>
        </w:rPr>
        <w:t>, now issue a corrigendum and/or supplemental reasons for judgment with the effect of finding Mr. Jaffer in breach of fiduciary duty. This would be in addition to the finding that Mr. Jaffer owed Mr. Dhillon a duty of care and was negligent in failing to discharge his duty of care.</w:t>
      </w:r>
    </w:p>
    <w:p>
      <w:pPr>
        <w:spacing w:before="120" w:line="260" w:lineRule="atLeast"/>
        <w:ind w:left="720"/>
        <w:rPr>
          <w:lang w:val="en-US" w:eastAsia="en-US" w:bidi="ar-SA"/>
        </w:rPr>
      </w:pP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When the order in the first appeal was entered, the Court became </w:t>
      </w:r>
      <w:r>
        <w:rPr>
          <w:rFonts w:ascii="arial" w:eastAsia="arial" w:hAnsi="arial" w:cs="arial"/>
          <w:i/>
          <w:color w:val="000000"/>
          <w:sz w:val="20"/>
          <w:lang w:val="en-US" w:eastAsia="en-US" w:bidi="ar-SA"/>
        </w:rPr>
        <w:t>functus</w:t>
      </w:r>
      <w:r>
        <w:rPr>
          <w:rFonts w:ascii="arial" w:eastAsia="arial" w:hAnsi="arial" w:cs="arial"/>
          <w:color w:val="000000"/>
          <w:sz w:val="20"/>
          <w:lang w:val="en-US" w:eastAsia="en-US" w:bidi="ar-SA"/>
        </w:rPr>
        <w:t>. The time for Mr. Dhillon to raise the matter of fiduciary duty in relation to the order was after release of the reasons for judgment, holding that it was unnecessary to deal with that claim, before and before the order was entered.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the result, the Court indicated that there was no error, as the Court's conscious intention was to decline to rule on the fiduciary issue. The Court went on to say the following:</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In any event, the parties have gone through too many steps in the litigation on the basis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change the ground of liability now. Such a change was cause undue prejudice to Mr. Jaffer.</w:t>
      </w:r>
    </w:p>
    <w:p>
      <w:pPr>
        <w:spacing w:line="260" w:lineRule="atLeast"/>
        <w:jc w:val="both"/>
        <w:rPr>
          <w:lang w:val="en-US" w:eastAsia="en-US" w:bidi="ar-SA"/>
        </w:rPr>
      </w:pPr>
      <w:r>
        <w:rPr>
          <w:lang w:val="en-US" w:eastAsia="en-US" w:bidi="ar-SA"/>
        </w:rPr>
        <w:br/>
      </w:r>
      <w:r>
        <w:rPr>
          <w:rFonts w:ascii="arial" w:eastAsia="arial" w:hAnsi="arial" w:cs="arial"/>
          <w:b/>
          <w:i/>
          <w:color w:val="000000"/>
          <w:sz w:val="20"/>
          <w:u w:val="single"/>
          <w:lang w:val="en-US" w:eastAsia="en-US" w:bidi="ar-SA"/>
        </w:rPr>
        <w:t>The Positions of the Parties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Before turning to the various doctrines on which Mr. Jaffer relies, I will turn to the arguments of Mr. Dhillon. He says in essence that Mr. Jaffer brings his application to strike to avoid addressing the fiduciary claim on its merits. He says that having successfully argued earlier that the fiduciary claim was not before the court, Mr. Jaffer cannot now invoke doctrines which prohibit re-litigation of claims.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According to Mr. Dhillon, his fiduciary claim has never been litigated. He says the reasons of the 2012 appeal panel, Melnick J. in the damages trial, and the 2014 appeal panel, all make clear that the fiduciary claim has never been adjudicated. Nevertheless, says Mr. Dhillon, even if the requisite elements of the legal doctrines argued by Mr. Jaffer have been established, he says this Court retains the inherent jurisdiction to avoid an injustice. The injustice in this case is that Mr. Dhillon has never had his day in court with respect to his claim of breach of fiduciary duty.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Dhillon argues that the trial judgment of Griffin J., even if she did indirectly deal with the fiduciary duty claim, has been set aside and is a nullity; and each court after that has simply said it would not deal with the issue. Further, he argues, this is not a case involving any misconduct by the plaintiff. There is been no breach of court rules, no breach of any court order, no missed deadlines or anything else to suggest Mr. Dhillon has failed to pursue this action in good faith from the outset.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This is a case, says Mr. Dhillon, where court after court has simply bypassed his fiduciary duty claim, and justice requires that he be given his day in court to pursue it. For that reason the fiduciary duty claim, argues Mr. Dhillon, does not raise the prospect of inconsistent findings of fact or inconsistent conclusions of law with the judgment on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He argues that to mechanically apply the doctrines on which Mr. Jaffer relies would be effectively to say the courts did, in fact, adjudicate the fiduciary claim, even though they expressly said they had not.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By way of example, said Mr. Dhillon, the doctrine of </w:t>
      </w:r>
      <w:r>
        <w:rPr>
          <w:rFonts w:ascii="arial" w:eastAsia="arial" w:hAnsi="arial" w:cs="arial"/>
          <w:i/>
          <w:color w:val="000000"/>
          <w:sz w:val="20"/>
          <w:lang w:val="en-US" w:eastAsia="en-US" w:bidi="ar-SA"/>
        </w:rPr>
        <w:t>functus officio</w:t>
      </w:r>
      <w:r>
        <w:rPr>
          <w:rFonts w:ascii="arial" w:eastAsia="arial" w:hAnsi="arial" w:cs="arial"/>
          <w:color w:val="000000"/>
          <w:sz w:val="20"/>
          <w:lang w:val="en-US" w:eastAsia="en-US" w:bidi="ar-SA"/>
        </w:rPr>
        <w:t xml:space="preserve"> does not apply because the courts have not yet ruled on the issue. Similarly, cause of action estoppel and merger, depending as they do on whether the same cause of action has already been decided, do not apply. That is because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are two distinct causes of action and the latter cause of action has never been addressed by the courts.</w:t>
      </w:r>
    </w:p>
    <w:p>
      <w:pPr>
        <w:spacing w:line="260" w:lineRule="atLeast"/>
        <w:jc w:val="both"/>
        <w:rPr>
          <w:lang w:val="en-US" w:eastAsia="en-US" w:bidi="ar-SA"/>
        </w:rPr>
      </w:pPr>
      <w:r>
        <w:rPr>
          <w:lang w:val="en-US" w:eastAsia="en-US" w:bidi="ar-SA"/>
        </w:rPr>
        <w:br/>
      </w:r>
      <w:r>
        <w:rPr>
          <w:rFonts w:ascii="arial" w:eastAsia="arial" w:hAnsi="arial" w:cs="arial"/>
          <w:b/>
          <w:i/>
          <w:color w:val="000000"/>
          <w:sz w:val="20"/>
          <w:u w:val="single"/>
          <w:lang w:val="en-US" w:eastAsia="en-US" w:bidi="ar-SA"/>
        </w:rPr>
        <w:t>The Salient Findings of the Various Courts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Before addressing the various legal doctrines argued by Mr. Jaffer in his application to strike, I think it is important to revisit the salient findings of the various courts that have brought the parties to this point in the dispute. The initial trial judge, Griffin J., in dismissing all of Mr. Dhillon's claims, found at para.127 of her reasons that no one involved in the proceedings which resulted in an award for the proceeds from the sale of the matrimonial home could have had any expectation that Mr. Jaffer was acting for anyone other than Mrs. Dhillon or that he was protecting Mr. Dhillon's interest. She found at para. 137 that Mr. Jaffer had no reason to regard Mr. Dhillon as his client and owed him no duty in that regard.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2012 Court of Appeal panel hearing the liability appeal said at paras. 22 to 24 that the trial judge found there was no fiduciary duty but that she had erred in failing to determine whether Mr. Jaffer owed Mr. Dhillon a duty of care as a non-client. The judge hearing the damages issue, Melnick J., stated at para. 2 of his reasons that the Court of Appeal remitted the matter for assessment of damages on the basis that Mr. Jaffer owed Mr. Dhillon a duty of care as a non-client. Damages were assessed on that basis.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Dhillon acknowledged in the present proceeding that the damages award of Justice Melnick was roughly equivalent to any award he could have obtained on an equitable basis for breach of fiduciary duty. In the appeal on the damages award, the second Court of Appeal panel in 2014 stated that the question of liability of Mr. Jaffer was decided by the Court in 2012. Madam Justice Newbury stated that her colleagues in 2012:</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held that even though Mr. Dhillon had not been Mr. Jaffer's client, the lawyer should have been "mindful" of his interest in dealing with the proceeds he had received in trust.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Madam Justice Newbury also found at para. 3 that Mr. Jaffer was not the only-- or even the principal-- wrongdoer. Rather, it was Ms. Dhillon who had perpetrated the fraud which resulted in the sale of the home. At para. 15 Madam Justice Newbury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Melnick J. made it clear at the outset of his analysis he was proceeding on the basis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breach of fiduciary duty, on the part of Mr. Jaffer. As he observed, Griffin J. had found no fiduciary duty...</w:t>
      </w:r>
    </w:p>
    <w:p>
      <w:pPr>
        <w:spacing w:before="120" w:line="260" w:lineRule="atLeast"/>
        <w:ind w:left="720"/>
        <w:rPr>
          <w:lang w:val="en-US" w:eastAsia="en-US" w:bidi="ar-SA"/>
        </w:rPr>
      </w:pPr>
      <w:r>
        <w:rPr>
          <w:rFonts w:ascii="arial" w:eastAsia="arial" w:hAnsi="arial" w:cs="arial"/>
          <w:color w:val="000000"/>
          <w:sz w:val="20"/>
          <w:lang w:val="en-US" w:eastAsia="en-US" w:bidi="ar-SA"/>
        </w:rPr>
        <w:t>The Court of Appeal had found it unnecessary to deal with the issue...</w:t>
      </w:r>
    </w:p>
    <w:p>
      <w:pPr>
        <w:spacing w:before="120" w:line="260" w:lineRule="atLeast"/>
        <w:ind w:left="720"/>
        <w:rPr>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Ultimately the Court of Appeal held that implicit in awarding Mr. Dhillon title to the East 52nd house was his recovery of the $101,000 in sale proceeds which Mr. Jaffer has negligently released. The Court held that there was no reason in law why Mr. Dhillon should recover that amount again from Mr. Jaffer. In essence, Mr. Dhillon had received double recovery from the trial judge assessing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Court of Appeal also held that the judge assessing damages erred in rejecting the notion that while Mr. Dhillon was the sole registered owner of the matrimonial home, Mrs. Dhillon had a presumptive 50% interest in those proceeds under the </w:t>
      </w:r>
      <w:r>
        <w:rPr>
          <w:rFonts w:ascii="arial" w:eastAsia="arial" w:hAnsi="arial" w:cs="arial"/>
          <w:i/>
          <w:color w:val="000000"/>
          <w:sz w:val="20"/>
          <w:lang w:val="en-US" w:eastAsia="en-US" w:bidi="ar-SA"/>
        </w:rPr>
        <w:t>Family Relations Act</w:t>
      </w:r>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R.S.B.C. 1996, c. 128</w:t>
        </w:r>
      </w:hyperlink>
      <w:r>
        <w:rPr>
          <w:rFonts w:ascii="arial" w:eastAsia="arial" w:hAnsi="arial" w:cs="arial"/>
          <w:color w:val="000000"/>
          <w:sz w:val="20"/>
          <w:lang w:val="en-US" w:eastAsia="en-US" w:bidi="ar-SA"/>
        </w:rPr>
        <w:t xml:space="preserve">. As a result, said the Court, Mr. Dhillon should be regarded as having been entitled to only half of the sale proceeds. That was his original position prior to Mr. Jaffer's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Given that the amount was less than the $101,000 traced through the purchase of the East 52nd house, Mr. Dhillon had been compensated in full for the loss of his interest in the proceeds of the sale of the matrimonial home.</w:t>
      </w:r>
    </w:p>
    <w:p>
      <w:pPr>
        <w:spacing w:line="260" w:lineRule="atLeast"/>
        <w:jc w:val="both"/>
        <w:rPr>
          <w:lang w:val="en-US" w:eastAsia="en-US" w:bidi="ar-SA"/>
        </w:rPr>
      </w:pPr>
      <w:r>
        <w:rPr>
          <w:lang w:val="en-US" w:eastAsia="en-US" w:bidi="ar-SA"/>
        </w:rPr>
        <w:br/>
      </w:r>
      <w:r>
        <w:rPr>
          <w:rFonts w:ascii="arial" w:eastAsia="arial" w:hAnsi="arial" w:cs="arial"/>
          <w:b/>
          <w:i/>
          <w:color w:val="000000"/>
          <w:sz w:val="20"/>
          <w:u w:val="single"/>
          <w:lang w:val="en-US" w:eastAsia="en-US" w:bidi="ar-SA"/>
        </w:rPr>
        <w:t>Discussion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My purpose in averting to these findings at the various levels of court is to make the following observation. Virtually no factual stone has been left unturned in the pursuit by Mr. Dhillon of his claim against Mr. Jaffer. That is the case with respect to both liability and damages. What the courts have declined to do in this case is revisit the identical conduct of Mr. Jaffer on the basis of a different legal theory of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this regard, I refer to the decision of Madam Justice Brown in </w:t>
      </w:r>
      <w:r>
        <w:rPr>
          <w:rFonts w:ascii="arial" w:eastAsia="arial" w:hAnsi="arial" w:cs="arial"/>
          <w:i/>
          <w:color w:val="000000"/>
          <w:sz w:val="20"/>
          <w:lang w:val="en-US" w:eastAsia="en-US" w:bidi="ar-SA"/>
        </w:rPr>
        <w:t>Schemel (Re)</w:t>
      </w:r>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2009 BCSC 1048</w:t>
        </w:r>
      </w:hyperlink>
      <w:r>
        <w:rPr>
          <w:rFonts w:ascii="arial" w:eastAsia="arial" w:hAnsi="arial" w:cs="arial"/>
          <w:color w:val="000000"/>
          <w:sz w:val="20"/>
          <w:lang w:val="en-US" w:eastAsia="en-US" w:bidi="ar-SA"/>
        </w:rPr>
        <w:t>. In that case, the defendant Schemel was a registered representative of Wolverton who misconducted herself in the course of her employment. The clients she represented incurred significant loss as a result of the misconduct. Wolverton commenced an action against Schemel to recover the losses, basing its action on a written registered representative agreement that Schemel would be personally responsible for all sums of money owed to Wolverton by clients for whom she was the registered representative.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Wolverton succeeded in obtaining judgment in the action for over $1 million. Thereafter, Schemel made an assignment into bankruptcy. When Schemel applied to discharge the bankruptcy, Wolverton filed a notice of opposition to Ms. Schemel's discharge application. Eventually Ms. Schemel applied for discharge from bankruptcy. Wolverton brought an application to lift the stay of proceedings imposed on it by virtue of the assignment into bankruptcy in order to seek a declaration that the judgment it had earlier obtained survived the bankruptcy. Wolverton argued that s. 178 of the </w:t>
      </w:r>
      <w:r>
        <w:rPr>
          <w:rFonts w:ascii="arial" w:eastAsia="arial" w:hAnsi="arial" w:cs="arial"/>
          <w:i/>
          <w:color w:val="000000"/>
          <w:sz w:val="20"/>
          <w:lang w:val="en-US" w:eastAsia="en-US" w:bidi="ar-SA"/>
        </w:rPr>
        <w:t>Bankruptcy Act</w:t>
      </w:r>
      <w:r>
        <w:rPr>
          <w:rFonts w:ascii="arial" w:eastAsia="arial" w:hAnsi="arial" w:cs="arial"/>
          <w:color w:val="000000"/>
          <w:sz w:val="20"/>
          <w:lang w:val="en-US" w:eastAsia="en-US" w:bidi="ar-SA"/>
        </w:rPr>
        <w:t xml:space="preserve"> contemplated such an application where the conduct of the bankrupt had been fraudulent.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Schemel argued that the Court should decline to lift the stay because any claim Wolverton had against her for fraud or otherwise merged in the earlier judgment that Wolverton had taken against her. Madam Justice Brown framed the issue as follows: Was Wolverton, having already pursued its action against Ms. Schemel to judgment, precluded from pursuing a second action against her? If so, the claim could not succeed and Wolverton's application to lift the stay must be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Wolverton argued that whether the doctrine was characterized as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cause of action estoppel or merger of judgment, it did not apply to its application because it was a separate and distinct cause of action. It argued the material facts required to obtain the declaration under s. 178 of the </w:t>
      </w:r>
      <w:r>
        <w:rPr>
          <w:rFonts w:ascii="arial" w:eastAsia="arial" w:hAnsi="arial" w:cs="arial"/>
          <w:i/>
          <w:color w:val="000000"/>
          <w:sz w:val="20"/>
          <w:lang w:val="en-US" w:eastAsia="en-US" w:bidi="ar-SA"/>
        </w:rPr>
        <w:t>Bankruptcy and Insolvency Act</w:t>
      </w:r>
      <w:r>
        <w:rPr>
          <w:rFonts w:ascii="arial" w:eastAsia="arial" w:hAnsi="arial" w:cs="arial"/>
          <w:color w:val="000000"/>
          <w:sz w:val="20"/>
          <w:lang w:val="en-US" w:eastAsia="en-US" w:bidi="ar-SA"/>
        </w:rPr>
        <w:t xml:space="preserve">, </w:t>
      </w:r>
      <w:hyperlink r:id="rId755" w:history="1">
        <w:r>
          <w:rPr>
            <w:rFonts w:ascii="arial" w:eastAsia="arial" w:hAnsi="arial" w:cs="arial"/>
            <w:i/>
            <w:color w:val="0077CC"/>
            <w:sz w:val="20"/>
            <w:u w:val="single"/>
            <w:shd w:val="clear" w:color="auto" w:fill="FFFFFF"/>
            <w:lang w:val="en-US" w:eastAsia="en-US" w:bidi="ar-SA"/>
          </w:rPr>
          <w:t>R.S.C. 1985, c. B-3</w:t>
        </w:r>
      </w:hyperlink>
      <w:r>
        <w:rPr>
          <w:rFonts w:ascii="arial" w:eastAsia="arial" w:hAnsi="arial" w:cs="arial"/>
          <w:color w:val="000000"/>
          <w:sz w:val="20"/>
          <w:lang w:val="en-US" w:eastAsia="en-US" w:bidi="ar-SA"/>
        </w:rPr>
        <w:t xml:space="preserve"> did not require any finding of fraudulent conduct, whereas its prior action-- for which it obtained judgment for the losses incurred by the client-- were based on Schemel's liability under her agreement as a registered representative of Wolverton.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Wolverton also argued that it did not raise the fraud allegations in the first action because it could rely on the registered representative agreement it had with Schemel. Finally, Wolverton argued that even if the requirements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or cause of action estoppel had been met, the Court had a residual discretion as to whether to apply it, and in this case to apply it would unjustly permit Schemel to walk away from the fraudulent conduct.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Madam Justice Brown at para. 39 ruled that Wolverton's second cause of action was: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 precluded by the principles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cause of action estoppel or merger in the judgment, as these terms are used interchangeably in various judgments or texts.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Brown J. then referred at para. 40 to the decision of Rice J. in </w:t>
      </w:r>
      <w:r>
        <w:rPr>
          <w:rFonts w:ascii="arial" w:eastAsia="arial" w:hAnsi="arial" w:cs="arial"/>
          <w:i/>
          <w:color w:val="000000"/>
          <w:sz w:val="20"/>
          <w:lang w:val="en-US" w:eastAsia="en-US" w:bidi="ar-SA"/>
        </w:rPr>
        <w:t>Royal Bank of Canada v. United Used Auto &amp; Truck Parts Ltd.</w:t>
      </w:r>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2006 BCSC 1192</w:t>
        </w:r>
      </w:hyperlink>
      <w:r>
        <w:rPr>
          <w:rFonts w:ascii="arial" w:eastAsia="arial" w:hAnsi="arial" w:cs="arial"/>
          <w:color w:val="000000"/>
          <w:sz w:val="20"/>
          <w:lang w:val="en-US" w:eastAsia="en-US" w:bidi="ar-SA"/>
        </w:rPr>
        <w:t>. She quoted para. 38 from Justice Rice's decision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Cause of action estoppel applies to bar proceedings that allege the same cause of action between the same parties if that cause has already been determined by the courts. However, despite its name, it is not so strictly limited. Cause of action estoppel also applies to bar subsequent proceedings covering the same subject matter and arising out of the same relationship between the parties, even though the second litigation may be based on a different legal description or conception of the cause: </w:t>
      </w:r>
      <w:r>
        <w:rPr>
          <w:rFonts w:ascii="arial" w:eastAsia="arial" w:hAnsi="arial" w:cs="arial"/>
          <w:i/>
          <w:color w:val="000000"/>
          <w:sz w:val="20"/>
          <w:lang w:val="en-US" w:eastAsia="en-US" w:bidi="ar-SA"/>
        </w:rPr>
        <w:t>Lehndorff Management Ltd. v. L.R.S. Development Enterprises Ltd.</w:t>
      </w:r>
      <w:r>
        <w:rPr>
          <w:rFonts w:ascii="arial" w:eastAsia="arial" w:hAnsi="arial" w:cs="arial"/>
          <w:color w:val="000000"/>
          <w:sz w:val="20"/>
          <w:lang w:val="en-US" w:eastAsia="en-US" w:bidi="ar-SA"/>
        </w:rPr>
        <w:t xml:space="preserve"> (1980), </w:t>
      </w:r>
      <w:hyperlink r:id="rId757" w:history="1">
        <w:r>
          <w:rPr>
            <w:rFonts w:ascii="arial" w:eastAsia="arial" w:hAnsi="arial" w:cs="arial"/>
            <w:i/>
            <w:color w:val="0077CC"/>
            <w:sz w:val="20"/>
            <w:u w:val="single"/>
            <w:shd w:val="clear" w:color="auto" w:fill="FFFFFF"/>
            <w:lang w:val="en-US" w:eastAsia="en-US" w:bidi="ar-SA"/>
          </w:rPr>
          <w:t>1980 CanLII 393</w:t>
        </w:r>
      </w:hyperlink>
      <w:r>
        <w:rPr>
          <w:rFonts w:ascii="arial" w:eastAsia="arial" w:hAnsi="arial" w:cs="arial"/>
          <w:color w:val="000000"/>
          <w:sz w:val="20"/>
          <w:lang w:val="en-US" w:eastAsia="en-US" w:bidi="ar-SA"/>
        </w:rPr>
        <w:t xml:space="preserve"> (BC CA), </w:t>
      </w:r>
      <w:hyperlink r:id="rId757" w:history="1">
        <w:r>
          <w:rPr>
            <w:rFonts w:ascii="arial" w:eastAsia="arial" w:hAnsi="arial" w:cs="arial"/>
            <w:i/>
            <w:color w:val="0077CC"/>
            <w:sz w:val="20"/>
            <w:u w:val="single"/>
            <w:shd w:val="clear" w:color="auto" w:fill="FFFFFF"/>
            <w:lang w:val="en-US" w:eastAsia="en-US" w:bidi="ar-SA"/>
          </w:rPr>
          <w:t>19 B.C.L.R. 59</w:t>
        </w:r>
      </w:hyperlink>
      <w:r>
        <w:rPr>
          <w:rFonts w:ascii="arial" w:eastAsia="arial" w:hAnsi="arial" w:cs="arial"/>
          <w:color w:val="000000"/>
          <w:sz w:val="20"/>
          <w:lang w:val="en-US" w:eastAsia="en-US" w:bidi="ar-SA"/>
        </w:rPr>
        <w:t xml:space="preserve"> at pp. 64-65, </w:t>
      </w:r>
      <w:hyperlink r:id="rId757" w:history="1">
        <w:r>
          <w:rPr>
            <w:rFonts w:ascii="arial" w:eastAsia="arial" w:hAnsi="arial" w:cs="arial"/>
            <w:i/>
            <w:color w:val="0077CC"/>
            <w:sz w:val="20"/>
            <w:u w:val="single"/>
            <w:shd w:val="clear" w:color="auto" w:fill="FFFFFF"/>
            <w:lang w:val="en-US" w:eastAsia="en-US" w:bidi="ar-SA"/>
          </w:rPr>
          <w:t>109 D.L.R. (3d) 729</w:t>
        </w:r>
      </w:hyperlink>
      <w:r>
        <w:rPr>
          <w:rFonts w:ascii="arial" w:eastAsia="arial" w:hAnsi="arial" w:cs="arial"/>
          <w:color w:val="000000"/>
          <w:sz w:val="20"/>
          <w:lang w:val="en-US" w:eastAsia="en-US" w:bidi="ar-SA"/>
        </w:rPr>
        <w:t xml:space="preserve"> (C.A.), cited with approval in </w:t>
      </w:r>
      <w:r>
        <w:rPr>
          <w:rFonts w:ascii="arial" w:eastAsia="arial" w:hAnsi="arial" w:cs="arial"/>
          <w:i/>
          <w:color w:val="000000"/>
          <w:sz w:val="20"/>
          <w:lang w:val="en-US" w:eastAsia="en-US" w:bidi="ar-SA"/>
        </w:rPr>
        <w:t>Chapman v. Canada</w:t>
      </w:r>
      <w:r>
        <w:rPr>
          <w:rFonts w:ascii="arial" w:eastAsia="arial" w:hAnsi="arial" w:cs="arial"/>
          <w:color w:val="000000"/>
          <w:sz w:val="20"/>
          <w:lang w:val="en-US" w:eastAsia="en-US" w:bidi="ar-SA"/>
        </w:rPr>
        <w:t xml:space="preserve"> </w:t>
      </w:r>
      <w:hyperlink r:id="rId758" w:history="1">
        <w:r>
          <w:rPr>
            <w:rFonts w:ascii="arial" w:eastAsia="arial" w:hAnsi="arial" w:cs="arial"/>
            <w:i/>
            <w:color w:val="0077CC"/>
            <w:sz w:val="20"/>
            <w:u w:val="single"/>
            <w:shd w:val="clear" w:color="auto" w:fill="FFFFFF"/>
            <w:lang w:val="en-US" w:eastAsia="en-US" w:bidi="ar-SA"/>
          </w:rPr>
          <w:t>(2003) 21 B.C.L.R. (4th) 272</w:t>
        </w:r>
      </w:hyperlink>
      <w:r>
        <w:rPr>
          <w:rFonts w:ascii="arial" w:eastAsia="arial" w:hAnsi="arial" w:cs="arial"/>
          <w:color w:val="000000"/>
          <w:sz w:val="20"/>
          <w:lang w:val="en-US" w:eastAsia="en-US" w:bidi="ar-SA"/>
        </w:rPr>
        <w:t xml:space="preserve">, </w:t>
      </w:r>
      <w:hyperlink r:id="rId758" w:history="1">
        <w:r>
          <w:rPr>
            <w:rFonts w:ascii="arial" w:eastAsia="arial" w:hAnsi="arial" w:cs="arial"/>
            <w:i/>
            <w:color w:val="0077CC"/>
            <w:sz w:val="20"/>
            <w:u w:val="single"/>
            <w:shd w:val="clear" w:color="auto" w:fill="FFFFFF"/>
            <w:lang w:val="en-US" w:eastAsia="en-US" w:bidi="ar-SA"/>
          </w:rPr>
          <w:t>2003 BCCA 665</w:t>
        </w:r>
      </w:hyperlink>
      <w:r>
        <w:rPr>
          <w:rFonts w:ascii="arial" w:eastAsia="arial" w:hAnsi="arial" w:cs="arial"/>
          <w:color w:val="000000"/>
          <w:sz w:val="20"/>
          <w:lang w:val="en-US" w:eastAsia="en-US" w:bidi="ar-SA"/>
        </w:rPr>
        <w:t xml:space="preserve"> (CanLII) at para. 17.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At para. 42 Madam Justice Brown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A cause of action is "the combination of facts which give rise to the right of action by a party against another in the first action. Because a party frames a first action in contract and a second action in tort does not change the determinative issues which the first court decided and which the second court would be asked to decide again, but with different remedies as the objective. That is, [for example] restitution rather than damages. A new legal theory in a second action such as tort rather than contract, marshalling the combination of facts from the first action in a different way, will not create a separate and distinct cause of action": Donald J. Lange, </w:t>
      </w:r>
      <w:r>
        <w:rPr>
          <w:rFonts w:ascii="arial" w:eastAsia="arial" w:hAnsi="arial" w:cs="arial"/>
          <w:i/>
          <w:color w:val="000000"/>
          <w:sz w:val="20"/>
          <w:lang w:val="en-US" w:eastAsia="en-US" w:bidi="ar-SA"/>
        </w:rPr>
        <w:t>The Doctrine of Res Judicata in Canada</w:t>
      </w:r>
      <w:r>
        <w:rPr>
          <w:rFonts w:ascii="arial" w:eastAsia="arial" w:hAnsi="arial" w:cs="arial"/>
          <w:color w:val="000000"/>
          <w:sz w:val="20"/>
          <w:lang w:val="en-US" w:eastAsia="en-US" w:bidi="ar-SA"/>
        </w:rPr>
        <w:t xml:space="preserve">, 2d ed. (Markham, Ont.: Lexis Nexis 2004) at 140, citing </w:t>
      </w:r>
      <w:r>
        <w:rPr>
          <w:rFonts w:ascii="arial" w:eastAsia="arial" w:hAnsi="arial" w:cs="arial"/>
          <w:i/>
          <w:color w:val="000000"/>
          <w:sz w:val="20"/>
          <w:lang w:val="en-US" w:eastAsia="en-US" w:bidi="ar-SA"/>
        </w:rPr>
        <w:t>Comeau v. Breau</w:t>
      </w:r>
      <w:r>
        <w:rPr>
          <w:rFonts w:ascii="arial" w:eastAsia="arial" w:hAnsi="arial" w:cs="arial"/>
          <w:color w:val="000000"/>
          <w:sz w:val="20"/>
          <w:lang w:val="en-US" w:eastAsia="en-US" w:bidi="ar-SA"/>
        </w:rPr>
        <w:t xml:space="preserve"> (1994), </w:t>
      </w:r>
      <w:hyperlink r:id="rId759" w:history="1">
        <w:r>
          <w:rPr>
            <w:rFonts w:ascii="arial" w:eastAsia="arial" w:hAnsi="arial" w:cs="arial"/>
            <w:i/>
            <w:color w:val="0077CC"/>
            <w:sz w:val="20"/>
            <w:u w:val="single"/>
            <w:shd w:val="clear" w:color="auto" w:fill="FFFFFF"/>
            <w:lang w:val="en-US" w:eastAsia="en-US" w:bidi="ar-SA"/>
          </w:rPr>
          <w:t>1994 CanLII 4469</w:t>
        </w:r>
      </w:hyperlink>
      <w:r>
        <w:rPr>
          <w:rFonts w:ascii="arial" w:eastAsia="arial" w:hAnsi="arial" w:cs="arial"/>
          <w:color w:val="000000"/>
          <w:sz w:val="20"/>
          <w:lang w:val="en-US" w:eastAsia="en-US" w:bidi="ar-SA"/>
        </w:rPr>
        <w:t xml:space="preserve"> (NB CA), </w:t>
      </w:r>
      <w:hyperlink r:id="rId759" w:history="1">
        <w:r>
          <w:rPr>
            <w:rFonts w:ascii="arial" w:eastAsia="arial" w:hAnsi="arial" w:cs="arial"/>
            <w:i/>
            <w:color w:val="0077CC"/>
            <w:sz w:val="20"/>
            <w:u w:val="single"/>
            <w:shd w:val="clear" w:color="auto" w:fill="FFFFFF"/>
            <w:lang w:val="en-US" w:eastAsia="en-US" w:bidi="ar-SA"/>
          </w:rPr>
          <w:t>145 N.B.R. (2d) 329</w:t>
        </w:r>
      </w:hyperlink>
      <w:r>
        <w:rPr>
          <w:rFonts w:ascii="arial" w:eastAsia="arial" w:hAnsi="arial" w:cs="arial"/>
          <w:color w:val="000000"/>
          <w:sz w:val="20"/>
          <w:lang w:val="en-US" w:eastAsia="en-US" w:bidi="ar-SA"/>
        </w:rPr>
        <w:t xml:space="preserve"> (C.A.) at 339, 343.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Thus, as </w:t>
      </w:r>
      <w:r>
        <w:rPr>
          <w:rFonts w:ascii="arial" w:eastAsia="arial" w:hAnsi="arial" w:cs="arial"/>
          <w:i/>
          <w:color w:val="000000"/>
          <w:sz w:val="20"/>
          <w:lang w:val="en-US" w:eastAsia="en-US" w:bidi="ar-SA"/>
        </w:rPr>
        <w:t>Wolverton</w:t>
      </w:r>
      <w:r>
        <w:rPr>
          <w:rFonts w:ascii="arial" w:eastAsia="arial" w:hAnsi="arial" w:cs="arial"/>
          <w:color w:val="000000"/>
          <w:sz w:val="20"/>
          <w:lang w:val="en-US" w:eastAsia="en-US" w:bidi="ar-SA"/>
        </w:rPr>
        <w:t xml:space="preserve"> illustrates, varying the legal theory attached to a particular set of facts does not give rise to a distinct cause of action based on those same 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Morgan Power Apparatus Ltd. v. Flanders Installations Ltd.</w:t>
      </w:r>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shd w:val="clear" w:color="auto" w:fill="FFFFFF"/>
            <w:lang w:val="en-US" w:eastAsia="en-US" w:bidi="ar-SA"/>
          </w:rPr>
          <w:t>(1972), 27 D.L.R. (3d) 249</w:t>
        </w:r>
      </w:hyperlink>
      <w:r>
        <w:rPr>
          <w:rFonts w:ascii="arial" w:eastAsia="arial" w:hAnsi="arial" w:cs="arial"/>
          <w:color w:val="000000"/>
          <w:sz w:val="20"/>
          <w:lang w:val="en-US" w:eastAsia="en-US" w:bidi="ar-SA"/>
        </w:rPr>
        <w:t xml:space="preserve"> (B.C.C.A.), a claim was originally brought for breach of contract and then settled with an order dismissing the action by consent. The plaintiff then brought an action on the same facts but framed the claim as one for fiduciary duty. The Court of Appeal found that the claim was barred by the doctrine of cause of action estoppel.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doctrine of merger addresses a similar mischief. As explained by the Court in </w:t>
      </w:r>
      <w:r>
        <w:rPr>
          <w:rFonts w:ascii="arial" w:eastAsia="arial" w:hAnsi="arial" w:cs="arial"/>
          <w:i/>
          <w:color w:val="000000"/>
          <w:sz w:val="20"/>
          <w:lang w:val="en-US" w:eastAsia="en-US" w:bidi="ar-SA"/>
        </w:rPr>
        <w:t>Canada (Attorney General) v. Hislop</w:t>
      </w:r>
      <w:r>
        <w:rPr>
          <w:rFonts w:ascii="arial" w:eastAsia="arial" w:hAnsi="arial" w:cs="arial"/>
          <w:color w:val="000000"/>
          <w:sz w:val="20"/>
          <w:lang w:val="en-US" w:eastAsia="en-US" w:bidi="ar-SA"/>
        </w:rPr>
        <w:t>, [2007[ 1 S.C.R. 429 at para. 75: "When a judgment is obtained, the cause of action upon which the judgment is based is merged in the judgment."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doctrine also applies when a plaintiff who obtains judgment pursuant to one legal theory might have been entitled to a better remedy under an alternate legal theory that did not form the basis for the judgment.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Court of Appeal makes the same point in </w:t>
      </w:r>
      <w:r>
        <w:rPr>
          <w:rFonts w:ascii="arial" w:eastAsia="arial" w:hAnsi="arial" w:cs="arial"/>
          <w:i/>
          <w:color w:val="000000"/>
          <w:sz w:val="20"/>
          <w:lang w:val="en-US" w:eastAsia="en-US" w:bidi="ar-SA"/>
        </w:rPr>
        <w:t>Ladner v. Ladner</w:t>
      </w:r>
      <w:r>
        <w:rPr>
          <w:rFonts w:ascii="arial" w:eastAsia="arial" w:hAnsi="arial" w:cs="arial"/>
          <w:color w:val="000000"/>
          <w:sz w:val="20"/>
          <w:lang w:val="en-US" w:eastAsia="en-US" w:bidi="ar-SA"/>
        </w:rPr>
        <w:t xml:space="preserve">, </w:t>
      </w:r>
      <w:hyperlink r:id="rId761" w:history="1">
        <w:r>
          <w:rPr>
            <w:rFonts w:ascii="arial" w:eastAsia="arial" w:hAnsi="arial" w:cs="arial"/>
            <w:i/>
            <w:color w:val="0077CC"/>
            <w:sz w:val="20"/>
            <w:u w:val="single"/>
            <w:shd w:val="clear" w:color="auto" w:fill="FFFFFF"/>
            <w:lang w:val="en-US" w:eastAsia="en-US" w:bidi="ar-SA"/>
          </w:rPr>
          <w:t>2004 BCCA 366</w:t>
        </w:r>
      </w:hyperlink>
      <w:r>
        <w:rPr>
          <w:rFonts w:ascii="arial" w:eastAsia="arial" w:hAnsi="arial" w:cs="arial"/>
          <w:color w:val="000000"/>
          <w:sz w:val="20"/>
          <w:lang w:val="en-US" w:eastAsia="en-US" w:bidi="ar-SA"/>
        </w:rPr>
        <w:t xml:space="preserve">. The Court observed that it is no answer (quoting K.R. Handley, </w:t>
      </w:r>
      <w:r>
        <w:rPr>
          <w:rFonts w:ascii="arial" w:eastAsia="arial" w:hAnsi="arial" w:cs="arial"/>
          <w:i/>
          <w:color w:val="000000"/>
          <w:sz w:val="20"/>
          <w:lang w:val="en-US" w:eastAsia="en-US" w:bidi="ar-SA"/>
        </w:rPr>
        <w:t>The Doctrine of Res Judicata</w:t>
      </w:r>
      <w:r>
        <w:rPr>
          <w:rFonts w:ascii="arial" w:eastAsia="arial" w:hAnsi="arial" w:cs="arial"/>
          <w:color w:val="000000"/>
          <w:sz w:val="20"/>
          <w:lang w:val="en-US" w:eastAsia="en-US" w:bidi="ar-SA"/>
        </w:rPr>
        <w:t>, 3d ed. (London: Butterworths, 1996):</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to a former recovery to show that, by suing in one of two possible causes of action, the plaintiff recovered less than he would have had he sued in the other.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McIntosh v. Parent</w:t>
      </w:r>
      <w:r>
        <w:rPr>
          <w:rFonts w:ascii="arial" w:eastAsia="arial" w:hAnsi="arial" w:cs="arial"/>
          <w:color w:val="000000"/>
          <w:sz w:val="20"/>
          <w:lang w:val="en-US" w:eastAsia="en-US" w:bidi="ar-SA"/>
        </w:rPr>
        <w:t xml:space="preserve">, </w:t>
      </w:r>
      <w:hyperlink r:id="rId762" w:history="1">
        <w:r>
          <w:rPr>
            <w:rFonts w:ascii="arial" w:eastAsia="arial" w:hAnsi="arial" w:cs="arial"/>
            <w:i/>
            <w:color w:val="0077CC"/>
            <w:sz w:val="20"/>
            <w:u w:val="single"/>
            <w:shd w:val="clear" w:color="auto" w:fill="FFFFFF"/>
            <w:lang w:val="en-US" w:eastAsia="en-US" w:bidi="ar-SA"/>
          </w:rPr>
          <w:t>[1924] 4 D.L.R. 420</w:t>
        </w:r>
      </w:hyperlink>
      <w:r>
        <w:rPr>
          <w:rFonts w:ascii="arial" w:eastAsia="arial" w:hAnsi="arial" w:cs="arial"/>
          <w:color w:val="000000"/>
          <w:sz w:val="20"/>
          <w:lang w:val="en-US" w:eastAsia="en-US" w:bidi="ar-SA"/>
        </w:rPr>
        <w:t xml:space="preserve"> (Ont. S.C. (A.D.)), the Ontario Court of Appeal described the doctrine of merger of judgment as requiring:</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 plaintiff asserting a cause of action to claim all his relief in respect thereto, and prevents any second attempt to invoke the aid of the courts for the same cause, for on his first recovery his entire cause of action has become merged in his judgment and is gone for ever.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addition to addressing the doctrine of merger, the Court in </w:t>
      </w:r>
      <w:r>
        <w:rPr>
          <w:rFonts w:ascii="arial" w:eastAsia="arial" w:hAnsi="arial" w:cs="arial"/>
          <w:i/>
          <w:color w:val="000000"/>
          <w:sz w:val="20"/>
          <w:lang w:val="en-US" w:eastAsia="en-US" w:bidi="ar-SA"/>
        </w:rPr>
        <w:t>McIntosh v. Parent</w:t>
      </w:r>
      <w:r>
        <w:rPr>
          <w:rFonts w:ascii="arial" w:eastAsia="arial" w:hAnsi="arial" w:cs="arial"/>
          <w:color w:val="000000"/>
          <w:sz w:val="20"/>
          <w:lang w:val="en-US" w:eastAsia="en-US" w:bidi="ar-SA"/>
        </w:rPr>
        <w:t xml:space="preserve"> observed that: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It has been well said that the law prevents the parties from taking inconsistent attitudes before the Courts.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McIntosh,</w:t>
      </w:r>
      <w:r>
        <w:rPr>
          <w:rFonts w:ascii="arial" w:eastAsia="arial" w:hAnsi="arial" w:cs="arial"/>
          <w:color w:val="000000"/>
          <w:sz w:val="20"/>
          <w:lang w:val="en-US" w:eastAsia="en-US" w:bidi="ar-SA"/>
        </w:rPr>
        <w:t xml:space="preserve"> the Court held that the litigant could not take the position in his present action that he might have recovered damages in his former action, when he had argued in the former action that damages could not be recovered because they arose after the date the writ was filed.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this case the summary trial application of Mr. Dhillon appears to be inconsistent with the position he took before the Court of Appeal in the appeal of his damages award and on his application for leave to the Supreme Court of Canada. In both instances Mr. Dhillon argued that unless he was able to advance his claim of breach of fiduciary duty in the context of the assessment of damages his day in court would otherwise be denied.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As noted earlier, in Mr. Dhillon's application for leave to appeal to the Supreme Court of Canada, he argued that unless the Court allowed his appeal, he would be denied his day in court on his pleaded fiduciary duty claim. As argued by counsel for Mr. Jaffer, now that the Court has rejected those arguments, Mr. Dhillon is attempting to proceed in his summary trial application as though his day in court on the fiduciary duty claim was always a given.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am satisfied that Mr. Dhillon has not been denied his day in court with respect to the conduct of Mr. Jaffer, which formed the basis of the original lawsuit. He may have been denied the right to have every possible alternative theory of liability adjudicated, but that is not the right of any litigant who advances a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Even if Mr. Dhillon had framed his action as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rather than as a claim based on two or more claims pleaded in the alternative, the fact remains that the claim was based on one alleged instance of misconduct--that is, the release by Mr. Jaffer of funds held in his trust account to his client Ms. Dhillon. Mr. Dhillon has provided the Court with no case law in support of his argument that the Court was bound to make a finding of liability on every legal theory advanced with respect to one discrete instance of alleged misconduct.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any event, Mr. Dhillon did not seek a determination of the breach of fiduciary duty claim at trial. He was content to plead his claims in the alternative. He was also content to accept the decision of the Court of Appeal on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advance his claim respecting damages on the basis of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rather than going back to the Court of Appeal to seek a determination on the fiduciary duty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Taken to its conclusion, Mr. Dhillon's argument would require this Court to accept that the Court of Appeal intended to carve out a means by which Mr. Dhillon could continue to advance a ground of liability which it had expressly declined to consider after having heard all of the arguments, factual and legal, relevant to the issue of Mr. Jaffer's conduct in paying out the funds held in trust. That is a proposition I cannot accept.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conclude that Mr. Jaffer has established it is plain and obvious that Mr. Dhillon's summary trial application cannot succeed. It is barred at the very least by the doctrines of merger and cause of action estoppel as well as the principle that a litigant cannot take inconsistent positions before the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Quite aside from these doctrines, I am satisfied that Mr. Dhillon's summary trial application is an impermissible abuse of process by relitigation. As was noted by the majority in </w:t>
      </w:r>
      <w:r>
        <w:rPr>
          <w:rFonts w:ascii="arial" w:eastAsia="arial" w:hAnsi="arial" w:cs="arial"/>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763" w:history="1">
        <w:r>
          <w:rPr>
            <w:rFonts w:ascii="arial" w:eastAsia="arial" w:hAnsi="arial" w:cs="arial"/>
            <w:i/>
            <w:color w:val="0077CC"/>
            <w:sz w:val="20"/>
            <w:u w:val="single"/>
            <w:shd w:val="clear" w:color="auto" w:fill="FFFFFF"/>
            <w:lang w:val="en-US" w:eastAsia="en-US" w:bidi="ar-SA"/>
          </w:rPr>
          <w:t>[2003] 3 S.C.R. 77</w:t>
        </w:r>
      </w:hyperlink>
      <w:r>
        <w:rPr>
          <w:rFonts w:ascii="arial" w:eastAsia="arial" w:hAnsi="arial" w:cs="arial"/>
          <w:color w:val="000000"/>
          <w:sz w:val="20"/>
          <w:lang w:val="en-US" w:eastAsia="en-US" w:bidi="ar-SA"/>
        </w:rPr>
        <w:t>, judges have an inherent and residual discretion to prevent an abuse of the court's process. As Madam Justice Arbour writing for the majority noted, the doctrine of abuse of process is (at para. 24):</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 unencumbered by the specific requirements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while offering the discretion to prevent relitigation, essentially for the purpose of preserving the integrity of the court's process.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have no doubt that for the reasons already expressed that the summary trial application is an attempt to re-litigate the original claim and as a result is an abuse of process.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understand that Mr. Dhillon strongly believes that he was denied his day in court in the fiduciary duty claim. I do not accept that is so. However, even if it were so, he cannot now be permitted to advance that claim given the various doctrines engaged in this matter.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Jaffer's application to strike the summary trial application of Mr. Dhillon is granted.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Anything further, counsel?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JAFFE: No, My Lady. I assume costs will follow the event. And I would just like liberty to consider filing written material that was -- there was an offer of settlement and I want to go and review it with regards to whether I am seeking anything other than normal costs following the event. So if I can have liberty to do that, I will talk to my friend, look at it and hopefully we will resolve it without troubling Your Ladyship again.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COURT: All right. Thank you. We will adjourn.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C.A. WEDGE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8876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64"/>
          <w:headerReference w:type="default" r:id="rId765"/>
          <w:footerReference w:type="even" r:id="rId766"/>
          <w:footerReference w:type="default" r:id="rId767"/>
          <w:headerReference w:type="first" r:id="rId768"/>
          <w:footerReference w:type="first" r:id="rId76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70" w:history="1">
        <w:r>
          <w:rPr>
            <w:rFonts w:ascii="arial" w:eastAsia="arial" w:hAnsi="arial" w:cs="arial"/>
            <w:b/>
            <w:bCs/>
            <w:i/>
            <w:color w:val="0077CC"/>
            <w:kern w:val="32"/>
            <w:sz w:val="28"/>
            <w:szCs w:val="32"/>
            <w:u w:val="single"/>
            <w:shd w:val="clear" w:color="auto" w:fill="FFFFFF"/>
            <w:lang w:val="en-US" w:eastAsia="en-US" w:bidi="ar-SA"/>
          </w:rPr>
          <w:t>Ek Estate v. Littler, [2011] B.C.J. No. 2459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S.J. Shabbits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12-16 and 19-23,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20,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06 1513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2459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1756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Christine Louise Ek, Executor of the Will of Glen Olov Ek, Plaintiff, and Tom Littler (also known as Thomas Littler),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(274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1"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2" w:name="Keywords_35"/>
      <w:bookmarkEnd w:id="232"/>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Causation — Causal connection — Foreseeability and remoteness — Action by estate of deceased diver for damages for wrongful death dismissed — Deceased and defendant were experienced divers who completed dive to deck of sunken ship — After defendant indicated he was low on air, both divers rapidly ascended to surface — Deceased died immediately following ascent due to pulmonary embolism caused by holding breath while ascending — Defendant negligent in not monitoring pressure gauge, but not otherwise negligent — Not reasonably foreseeable that defendant not monitoring pressure gauge would cause deceased to ascend while holding breath and defendant did not cause or materially contribute to deceased holding his breath.</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3" w:name="Case Summary_32"/>
            <w:bookmarkEnd w:id="23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estate of a deceased diver for damages for wrongful death. The deceased and the defendant were occasional diving buddies. Both men were experienced divers who had taken courses. The deceased had fewer dives, but had taken more courses than the defendant. In October 2005, they made a recreational dive to naval destroyer that was intentionally sunk in a strait off Vancouver Island. The deceased and the defendant descended to the deck of the ship, about 50 to 60 feet below the surface, and then to the ocean floor, about 90 to 100 feet below the surface. They then returned to the deck at which point the defendant checked his gauge, noticed he was low on air and signalled the deceased to abort the dive. The defendant attempted to use the deceased's auxiliary air supply, but the mouth piece broke off. He then took a breath of air from the deceased's air supply. The two then rapidly ascended to the surface. The deceased died immediately following their ascent. An autopsy concluded that the cause of death was an air embolism due to an intrapulmonary rupture due to a rapid ascent with a closed glottis. The coroner concluded that the death was accidental. The coastguard conducted an examination of both divers' equipment and discovered that the defendant's air pressure gauge was improperly calibrated and that the calibration of pressure on the deceased's primary regulator was set below the manufacturer's settings. The estate commenced a claim against the defendant alleging that he was negligent in not monitoring the pressure gauge on his air tank resulting in a low air situation, diving deeper than he had been certified to dive, not taking a refresher course, using defective diving equipment, following the wrong route on ascent, use the wrong option for a low air solution, not adequately checking the equipment, mishandling the equipment, engaging in buddy breath and letting go of the deceased on ascent, and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the death of the deceased.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4" w:name="Holdings of Court_29"/>
            <w:bookmarkEnd w:id="234"/>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was negligent in not properly monitoring his pressure gauge, but was not otherwise negligent. The dive was within the expertise and ability of both divers and the defendant was not negligent in not taking additional courses. As the defendant did not know his air pressure gauge was out of calibration, he was not negligent in using defective equipment, nor was he negligent in the manner in which he inspected the equipment in the pre-dive check. The defendant was not negligent in the ascent route chosen as the route for ascent was a judgment call and he followed the deceased. The defendant was not negligent in trying to use the deceased's auxiliary air supply and he met the standard of care set out in dive instruction manuals. In attempting to access the deceased's auxiliary air supply, the defendant did not do anything that the deceased would not have expected him to do. He did not buddy breath with the deceased and in sharing air with the deceased his actions did not compromise the deceased. Furthermore, the defendant did not cause the deceased to make a rapid ascent. As the defendant did not check his pressure gauge as frequently as he should have and his lack of care placed him at risk, he did not act with reasonable care. However, his failure to check his pressure gauge was not the cause of the deceased's death as the deceased died as a result of holding his breath during a portion of the ascent and it was not reasonably foreseeable that a result of the defendant not monitoring his pressure gauge would be that the deceased would ascend while holding his breath. Furthermore, the defendant did not cause or materially contribute to the deceased holding his breath on ascent.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5" w:name="Counsel_34"/>
      <w:bookmarkEnd w:id="23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2"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R.S. Margetts, Q.C., M. Abraham.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S.F. Lee.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6" w:name="Judgment_35"/>
      <w:bookmarkEnd w:id="236"/>
      <w:r>
        <w:pict>
          <v:line id="_x0000_s1203" style="position:absolute;z-index:2517975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7" w:name="S.J. SHABBITS J."/>
            <w:bookmarkEnd w:id="237"/>
            <w:r>
              <w:rPr>
                <w:rFonts w:ascii="arial" w:eastAsia="arial" w:hAnsi="arial" w:cs="arial"/>
                <w:b/>
                <w:color w:val="000000"/>
                <w:sz w:val="30"/>
                <w:lang w:val="en-US" w:eastAsia="en-US" w:bidi="ar-SA"/>
              </w:rPr>
              <w:t>S.J. SHABBITS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Glen Ek and Tom Littler were occasional diving buddies. On October 2, 2005, Mr. Ek and Mr. Littler made a recreational dive to the former H.M.C.S. MacKenzie, a Canadian Naval destroyer that was intentionally sunk in Haro Strait off Sidney, British Columbia, Vancouver Island.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MacKenzie is about 366 feet in length. It is resting upright at a depth of about 90 to 100 feet. Its deck is at a depth of about 50 to 60 feet. The depths vary from point to point and they vary with the tides.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Ek and Mr. Littler descended to the deck of the MacKenzie and then to the ocean floor. After returning to the deck they ascended to the surface of the ocean. Their dive was about 21 minutes 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Ek died immediately following their ascent.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This action is brought on behalf of his survivors for wrongful death. The plaintiff claims that Mr. Littler's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the death of Mr. 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Autopsy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An autopsy of Mr. Ek's body was conducted on October 3, 2005, at the Royal Jubilee Hospital in Victoria, British Columbia. It was conducted by Dr. J. Kelly, and reported on November 22,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Dr. Kelly interpreted his gross findings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INTERPRETATION OF GROSS FINDINGS: The two main findings are massive intra-pulmonary hemorrhage with some interstitial emphysema, and unequivocal evidence of air embolism in the heart. These findings are consistent with the history of ascending rapidly from a depth of 60 feet, and suggest that the deceased was not exhaling during the ascent resulting in tearing of the lung due to expansion of gas within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Dr. Kelly made this diagnosis: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COMMENT: This man ascended rapidly from a dive and collapsed in the water. The autopsy showed air embolism and intrapulmonary hemorrhage suggesting rupture of lungs due to hyperexpansion by the contained air.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CAUSE OF DEATH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 A1 - AIR EMBOLISM DUE TO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 - INTRAPULMONARY RUPTURE DUE TO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 - RAPID ASCENT WITH A CLOSED GLOTTIS.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Coroner's Inquiry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Tracy Tessier, a Coroner in the Province of British Columbia, inquired into the death. Her Judgement of Inquiry was signed on July 28,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Coroner Tessier writes that as a result of her inquiry into the death of Glen Olov Ek, she determined a number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She estimates the date and time of Mr. Ek's death as October 2, 2005 at 11:27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She writes that the medical cause of the death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(Immediate cause of death:)</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Air Embolism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(Due to or as a Consequence</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Intrapulmonary Rupture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 (Antecedent Cause if any:)</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(By what means)</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Recreational saltwater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scuba diving incident.</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She classifies the event as accidental.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Coroner writes this in respect of post mortem/toxicology examination: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Post Mortem/Toxicology Examination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autopsy found that Mr. Ek died as the result of air embolism. The embolism was caused by an intrapulmonary rupture also known as a pulmonary barotrauma. No other injuries were detected. Routine toxicology testing was negative for alcohol and common drugs.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Barotraumas are pressure injuries caused by pressure differences between the outside and trapped air spaces inside the diver or the diver's equipment. To avoid them, the diver equalizes the pressure in all air spaces with the surrounding water pressure when changing depth.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Coroner writes this, in part, in respect of her investigative findings: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Investigative Findings: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Ek and two family members had rented a boat and traveled to Gooch Island the morning of the dive. They arrived at the site of the HMCS Mackenzie, a decommissioned naval destroyer which had been sunk in 1995 for the specific purpose of creating a scuba diving site, at approximately 1030 hours. Mr. Ek and one family member prepared to dive. The third man stayed with the boat as a spotter. Both divers were experienced and familiar with the dive they were about to make. Each man was using his own equipment except for one rented air tank being used by Mr. Ek's diving partner.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Canadian Coast Guard Public Safety Dive Team Diving Technician conducted a thorough examination of both divers' equipment. Mr. Ek's dive partner's equipment was found to be in good condition overall. Mr. Ek's equipment was found to be in very good condition overall.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Ek's dive partner's regulators passed all tests but his pressure gauge calibration was off by +200 psi which would indicate to him that he had 200 lbs more air than was actually in the tank. This discrepancy is severe enough that it could well have caused the partner to run out of air on the ascent. Pressure gauges can become unreliable after repeated use. Once a gauge's settings have been found to be out, the gauge cannot be repaired and must be replaced.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manufacturer's guidelines for Mr. Ek's regulator state that the intermediate pressure should be set between 130 and 145 psi. However, the intermediate pressure on Mr. Ek's regulator was set at 110 psi. Low intermediate pressure affects breathing performance, especially at depths exceeding 50 feet. The reduced pressure would not have been noticeable on the surface when the equipment was tested. The reduced pressure would have similarly affected the breathing performance of the second stage regulators.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Pulmonary barotraumas are generally believed to occur as the result of improper breathing during the ascent to the surface or, occasionally, from diving with a respiratory tract infection. Symptoms include chest pain, shortness of breath and hoarseness. However, there are rare cases of healthy divers suffering pulmonary barotraumas without having held their breath. It remains unclear why these cases occur although there are many suspected risk factors. Mr. Ek's medical history did not include any diseases affecting lung function and although he complained of a sore throat on the evening of October 1st, he said he was fine the morning of the dive.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Certain diver factors are also associated with increased risk of pulmonary barotraumas. These include breath holding on ascent, boat exits in heavy wave action, poor air management, panic ascents and faulty buddy breathing practices.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Symptoms of air embolism usually appear within 1 to 2 minutes of reaching the surface. Severe air embolism can block blood flow through the heart and the large arteries, leading to shock and death. Some people cough up blood or develop bloody froth at the mouth. Air in the tissues of the neck can impair the vocal cords, causing the voice to sound different.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scuba divers are taught that they must never hold their breath while ascending from a dive because that is likely to lead to ruptures in the lungs. The highest risk is near the surface where the rate of gas expansion is greatest. Mr. Ek was an experienced diver who was well aware of this risk.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sequence of events which led to Mr. Ek's death included the improper calibration of his dive partner's air pressure gauge and the calibration of the pressure on Mr. Ek's primary regulator being set below the manufacturer's settings. It cannot be known whether Mr. Ek was experiencing breathing distress prior to his diving partner running out of air and it is not known whether the ascent was too rapid or whether Mr. Ek held his breath.</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Coroner reaches this conclusion: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that Glen Olov Ek died in Sidney on October 2, 2005 as a result of an air embolism due to intrapulmonary rupture sustained during an ascent from a scuba dive. Improper equipment calibration is a contributing factor in this death. I classify this death as accidental and make no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Littler's Accounts of the Circumstances Surrounding the Death of Mr. 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were a number of occasions when Mr. Littler made statements about what happened on October 2,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Littler was interviewed by RCMP Constable Georgina Josefsson on October 3,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Littler told Constable Josefsson that he and Mr. Ek proceeded down to the deck of the vessel which is about 60 feet. He said that after regrouping and checking each other out, they proceeded along the top deck of the boat before going to the floor of the sea which he said is at about 85 feet. Mr. Littler said that Mr. Ek immediately gave him the sign to go up, which Mr. Littler thought was strange because they had not been long on the bottom. He said, "It wasn't a minute." He said they worked their way back up to the hull onto the deck. Mr. Littler said he checked his air and he said he was down to about 600 psi which was abnormally low. He said Mr. Ek signaled to Mr. Littler that Mr. Ek had 1,500 psi of air in his tank. Mr. Littler said he gave Mr. Ek the sign to abort the dive which they did. He said as they were working their way back up from the deck, and probably "about 40-45-foot range" Mr. Littler's regulator became extremely stiff. His gauge said he had 400 psi. Mr. Littler said he would guess "they were around 40 feet." He said he grabbed Mr. Ek's octopus "'cause I needed air" and as soon as he put it in his mouth it shot out of his mouth. Mr. Littler said, "I guess he has a rubber band . . ." He said he then "pulled the octopus hard and put it in his mouth and got a breath of air before the mouthpiece broke off." Mr. Littler said he put his own regulator back in his mouth and drew another breath out of it and then "I gave a hand motion to his face that I wanted the air out of his face because his spare was dead." Mr. Littler said that "he kind of grabbed it, like I took it and I took a breath of air, then he took it from me and put it back in his mouth." Mr. Littler said that he went down to get Mr. Ek's auxiliary again "just hoping I could try to breath off that for the next few breaths and as we did he started to accelerate and I'm hanging onto his hose and him. And we are, we are going up fast. I could feel my ears and my throat and my sinuses popping at high speed as we're coming up into the shallower and shallower depth. And we cracked the surface." Mr. Littler said that as they were ascending "I couldn't dump air as fast as we were heading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Littler was examined for discovery in this proceeding on January 11, 2008. Some of his evidence at discovery was entered as evidence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his examination for discovery Mr. Littler said that he believed he had 600 psi of air when he discovered that he had less air than he expected, and that he thought he should then have had somewhere around 2,000 psi of air. Mr. Littler said that he grabbed at Mr. Ek's auxiliary air supply but it sprung away from him, and he grabbed it again. Mr. Littler said that at least part of the mouthpiece came off. He said that caused him to feel anxious, but he did not panic. Mr. Littler said he put his own regulator back in his mouth and he got air from it. He said Mr. Ek had been reasonably stationary when he had been grabbing at his auxiliary air, although he believes they were ascending. Mr. Littler said Mr. Ek gave no indication to him that Mr. Ek was having difficulties. Mr. Littler said that he was holding on to Mr. Ek during the ascent. Mr. Littler explained that when he signalled to Mr. Ek that he needed air from Mr. Ek's primary regulator, they "were probably about 40 feet." Mr. Littler said that he did not know whether he received a full breath of air from his own regulator before signalling to Mr. Ek that he wanted air from Mr. Ek's primary regulator. Mr. Littler said that the reason why he tried to access air from Mr. Ek's octopus after receiving air from Mr. Ek's primary regulator, even though he did not think he needed more air to get to the surface, was because "what I need and what I would like to have aren't the same, so I'd like to have more available to me, yes." Mr. Littler said that he had got one breath of air from Mr. Ek's primary regulator. Mr. Littler said that as he ascended he was vertical and kept his head tipped up looking at the surface in order to keep his airway open.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trial, Mr. Littler said that he and Mr. Ek had been buddies on five dives before diving to the MacKenzie. They followed a procedure that included discussions and planning for dives and pre-dive checks. Their plan was to dive to the MacKenzie down its bow line and then to descend to the sea bottom before eventually making a slow ascent up the bow line. The plan was to spend 8 to 10 minutes at the bottom. They did not want a decompression issue. Mr. Littler said that he has a fairly clear recollection of the sequence of events, but not a good recollection of the time lapses between events. He said that they descended and met on the deck of the MacKenzie as planned, and then descended to the sea bottom. After returning to the deck, Mr. Littler realized that he was at 600 psi and he gave Mr. Ek the low-on-air sign. Mr. Littler said they had time to follow the pre-dive plan which involved returning to the bow line and ascending up it in order to surface near their vessel. Mr. Littler said that after experiencing inhalation resistance, he gave Mr. Ek the out-of-air signal. Mr. Ek was about 10 feet above him at that point and Mr. Littler said they met and he tried to get air from Mr. Ek's octopus. After it sprang back, he obtained it again and put it in his mouth before its mouth piece came off. He said that after he put his own regulator in his mouth, he gave Mr. Ek the share air sign. He said he did not reach up and grab Mr. Ek's primary regulator nor did he grab anything else at that point. He said that Mr. Ek put the regulator in his hand and he got one breath, before Mr. Ek took the regulator back. He said Mr. Ek had control of it. Mr. Littler said that he had expected that he would have a purging breath and then a second breath, but he only obtained the one breath. He said he was at Mr. Ek's middle at that point and that his hand was near Mr. Ek's octopus when he realized they were ascending. He said he realized that they were in a rapid ascent, and he started to dump air. He said he remained at Mr. Ek's waist. Mr. Littler said that Mr. Ek would not have felt much from him trying to obtain the octopus as they were free floating. He said the only thing he saw Mr. Ek do was give him the regulator, and he saw no signs of panic. He said that they were in relatively the same position when they surfaced and that upon surfacing Mr. Ek yelled "Help" once. Mr. Littler said that he did not know why the mouth piece separated and that he did not know of any reason for Mr. Ek to hold his breath. He said, in his examination in chief, that he did nothing to initiate the ascent.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cross examination Mr. Littler said that they had planned to be at the bottom a longer time than they were, and that he was surprised when Mr. Ek wanted to go back up. Mr. Littler agreed he told the coroner that it seemed to him that they had spent a short time on the sea bottom. He agreed that he was surprised by the 600 psi reading, and that he thought it should have been much higher. Mr. Littler said that after giving Mr. Ek the low-on-air sign, it was time for them to ascend, and that they were carrying on with their pre-dive plan to get to the bow line before ascending. Mr. Littler said that they didn't make it to the bow line. Mr. Ek was above Mr. Littler by about 10 or 15 feet, when Mr. Littler felt inhalation resistance. He said that it was at that point that he rose and elected to go to the alternate air source rather than ascending to the surface. He said that Mr. Ek never showed signs of panic. He said that they were holding on to each other before they ascended. Mr. Littler agreed that he was below Mr. Ek when they shared air, and he could not explain why he had not risen to the same level as Mr. Ek. He said that he did not know exactly how deep he was when they shared air, and he said that he never considered a controlled emergency ascent. Mr. Littler said that he did not know how the rapid ascent started. He said he did not know if he caused it or if Mr. Ek caused it, or whether it was caused by a combination of both of their actions. When asked why he did not let go of Mr. Ek during the ascent, he said that he did not know whether or if he had let go of Mr. Ek and he did not know if Mr. Ek tried to vent air or what Mr. Ek was doing during the ascent. He said that he saw Mr. Ek put his regulator back in his mouth, and that Mr. Ek did not appear to be panicked. Mr. Littler said that he did not believe he panicked. He said they were rising together, and were attached as one as they ascended. He agreed with evidence that he gave at the examination for discovery that he held on to Mr. Ek in the last stages of the ascent.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an affidavit sworn March 2, 2010, (Exhibit 43 at trial), Mr. Littler deposes that on the day of the dive he did not know that any of his diving equipment was defective in any way. He says that he and Mr. Ek were at about 40 feet when he tried to use Mr. Ek's octopus. He says that he and Mr. Ek remained in the same position relative to each other throughout the ascent.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Dive Computer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Ek wore a diving computer on his wrist during the October 2, 2005 dive. The device was recovered after the dive. Information recorded during the dive was printed out from the device and entered as Exhibit 12. Exhibit 12 is the print-out of dive information downloaded from Mr. Ek's dive computer. It provides accurate information as to depths, although its data can be misinterpreted.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Exhibit 12 records the maximum depth of the dive to be 94 feet, and the dive time to be 21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"sampling" of the dive information is 30 seconds. That is to say, the computer did not record a continuous stream of information as to depth. The depth information taken and recorded by the computer is the depth of the computer every 30 seconds. Exhibit 12 appears to show a flow of information as to depth. It appears that the depth of the computer can be determined at any point in time during the dive by noting its depth on the depth line as drawn. That is misleading. The depth line is continuous only because the line has been drawn from one sampling depth point to the next sampling depth point taken thirty seconds later. Exhibit 12 does not establish the depth of the computer between samplings.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follows that the maximum depth of the dive may have been deeper than 94 feet. That would be so if Mr. Ek descended lower either before or after the 94 foot sampling. In fact, a Canadian Coast Guard post-event equipment testing report notes that the depth gauge on Mr. Littler's Aqua Lung recorded a depth of 98 feet. Neither device was tested for accuracy. Both may be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dive time may have been shorter than 21 minutes. It would be exactly 21 minutes only if the computer took its first sampling at the exact start of the descent, and its last sampling exactly when the computer broke the water surface on ascent.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Neither of those observations is of particular relevance to this proceeding. The maximum dive depth was about 94 feet, and the dive time was about 21 minutes in length. Nothing turns on whether that data is absolutely exact. But the fact the data is a sampling is relevant for two other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First, Mr. Littler described a sequence of events that took place during the dive. The events he described can be traced on Exhibit 12. But it would be a mistake to conclude that Exhibit 12 shows the exact time spent on each event, although what it does show should be accurate to within about a minute. That is because with 30 second samplings, an event that Mr. Littler described may have started or ended before or after it is seen on the Exhibit 12 depth 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Keeping that reservation in mind, and accepting Mr. Littler's evidence as to the sequence of events, Exhibit 12 shows that Mr. Ek's descent time to the deck of the MacKenzie was about 2 minutes, and that Mr. Ek was on the deck of the MacKenzie for about the next 4 minutes. His descent to the floor of the sea then took about 2 minutes. Mr. Ek then spent about 3 minutes on the floor of the sea before spending about 2 minutes in ascending to the deck of the MacKenzie. Mr. Ek was then at the approximate level of the deck of the MacKenzie for about 7.5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Second, and this is of critical relevance to this proceeding, the Exhibit 12 data does not show what happened during the last 30 seconds of the dive.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Exhibit 12 shows that at 20 minutes 30 seconds, the computer was at a depth of about 60 feet. That is about the depth of the deck of the MacKenzie. The computer then shows that at 21 minutes, the computer was on the surface of the ocean. The depth line drawn on Exhibit 12 depicts a continuous even ascent of 60 feet over the last 30 seconds of the dive. That did not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Exhibit 12 does not show when it was that Mr. Ek began to ascend from the deck of the MacKenzie. The ascent might have begun after the last sampling on the deck. It is improbable that the start of the ascent exactly coincided with the sampling at 21 minutes 30 seconds. It may have, of course, but the ascent may also have started after the sampling. The ascent may have ended before the 21 minute sampling. The ascent from the deck to the surface could not have been longer than 30 seconds; it could have been much shorter.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Littler explained in his evidence that near the beginning of their ascent, and he suggested it might have been at 40 feet, he attempted to access air from Mr. Ek's air supply through Mr. Ek's octopus and that he then obtained a donation of air from Mr. Ek before they made a rapid ascent. Exhibit 12 does not record how long any of those events took.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Ek's Training and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Ek received training as a water diver. He successfully completed a number of courses offered by the Professional Association of Diving Instructors (PADI).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January 17, 2004, Mr. Ek successfully completed the PADI Discover Scuba Diving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Ek obtained PADI's certification as an open water diver in 2004, and he obtained PADI's certification as an advanced open water diver in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2005, Mr. Ek successfully completed two PADI specialty diver courses. He received PADI certificates stating that he satisfactorily met the standards for the certification levels of wreck diver and night diver.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2005, Mr. Ek successfully completed PADI's rescue diver course. He was certified by PADI as having satisfactorily met the standards for the certification level of rescue diver.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Six "Knowledge Reviews" completed by Mr. Ek during his training courses are in evidence (Exhibit 2, Tabs 8 to 13). They demonstrate his mastery of training course instruction.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Ek's dive computer recorded the October 2, 2005 dive as being "dive 26." That suggests that the October 2, 2005, dive was at least Mr. Ek's 26th dive.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Littler testified that he buddy dove with Mr. Ek during 2005. Mr. Littler said that he knew that Mr. Ek had completed the open water and advanced open water courses. Mr. Littler and Mr. Ek completed five dives before October 2,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Littler said that Mr. Ek was very safety conscious and that Mr. Ek took care to ensure his equipment was safe. Mr. Littler said that he had no concerns about Mr. Ek's diving abilities and that Mr. Ek expressed no concerns about his diving 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am satisfied that the October 2, 2005 dive to the MacKenzie was within Mr. Ek's training and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Littler's Training and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Littler testified that his first diving experience was at a holiday resort in Mexico in about 1992. After returning to Canada, Mr. Littler successfully completed PADI's Open Water Diver Course. He was PADI certified as having satisfactorily met the standards for the level of an open water diver.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Littler testified that after being certified as an open water diver, he made a large number of dives in the 1990s. He estimated that he completed about 200 dives and that of those dives, 50 or 60 were dives to a depth greater than 60 feet. He said that although he took no further courses, he made a variety of dives with others who were skilled. He made dives (including wreck dives) with a dive master. A dive master is a diving instructor in training. He dove with Navy divers. He said he learned from them and he learned by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Littler stopped diving in the late 1990s.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Littler began diving again in 2005 after Mr. Ek expressed an interest in diving with him as a diving buddy.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Littler was aware that PADI recommends certified divers take a refresher course after a long layoff from diving. Mr. Littler said he did not take a refresher course, but he did a number of things to get back into diving.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He read the PADI open water course manual. He submerged his equipment in water and checked it for leaks. He took his breathing regulators and buoyancy control devices to Wilson's, a PADI-authorized facility, and asked them to check the equipment. He had Wilsons replace the "O" ring on his primary regulator. He had Wilsons re-certify his air tank.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Littler said that he then made a confined dive with a spotter on a dock with a tether tied to him. A few days later he made another dive near a dock in order to cut a rope that had become entangled in a boat propeller.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Littler said he then progressed to diving with Mr. 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Littler said that Mr. Ek knew that he had formal open water certification and that he had taken many dives and that he had been away from diving.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Their first dive was a brief, shallow dive. They made four more dives, near a breakwater, one of them being a night dive.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Littler said that he and Mr. Ek always followed recommended protocol. Their dives were planned. They did pre-dive checks. They inspected each other's equipment. They discussed their dive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Littler said he had experience with diving to wrecks. He and Mr. Ek planned the dive to the MacKenzie for about a month. They satisfied themselves from published tables that the length and depth of what they planned would not create a decompression problem. They planned their route and took water currents into account. They agreed they would not penetrate the MacKenzie. They had a surface boat with a spotter. The spotter had a radio tuned to an emergency channel.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am satisfied that the dive to the MacKenzie was within Mr. Littler's expertise and ability. Indeed, in my opinion, as between him and Mr. Ek, Mr. Littler was at least as qualified as Mr. Ek, and probably more so. He was a far more experienced diver.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Condition of the Diving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Public Safety Dive Team of the Canadian Coast Guard conducted tests on Mr. Ek's diving equipment and on Mr. Littler's diving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Ek's equipment was tested on February 10,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Ek's 1st stage regulator (primary regulator) was an Apeks ATX 200 Tungsten Limited Edition.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It was in excellent visual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manufacturer's specifications recommend it be set to an intermediate pressure (IP) of between 130 - 145 psi. Bench testing at both 500 psi and 2500 psi found its IP was set at 110 psi plus 1 pound psi creep.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Canadian Coast Guard determination was that the final result was a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Ek's 2nd stage regulator (primary regulator) was an Apeks ATX 200 Black Pearl.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Its visual condition was excellent.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operation of this regulator was in normal range once the 1st stage IP setting was adjusted to the recommended 140 psi. However, when tested as in the "as found" condition, the final result of the 2nd stage regulator test was a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Ek had an octopus. It was an Aqua Lung Octopus 2nd Stage Regulator.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Its visual condition was fair. That is because its mouthpiece was missing.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It failed as tested in the "as found" condition because of the incorrect IP setting in the 1st stage. It passed once the 1st was adjusted to the recommended IP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Ek had a Sea Quest-Black Diamond Buoyancy Control Device ("BCD"). Its visual condition was excellent. Its final result after pressure testing was a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final results summary of Mr. Ek's equipment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Final result summary: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Overall the condition of the examined equipment was very good. However, the 1st stage Apeks [ATX200] adjustment was outside the recommended parameters of the manufacturer's specifications. Therefore, the breathing performance or function of the 2nd stages is affected by the adjustment of the 1st stage.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Both 2nd stages were subjected to a simultaneous performance evaluation and were found to have no adverse effect upon one another. Each performed within the parameters noted above. The manual adjustment (breathing resistance control) knob and venturi vane on the ATX 200 second stage regulator were both found in the maximum setting, which would indicate a diver attempting to compensate for increased breathing resistance. The venturi vane on the Aqua Lung Octopus was at the minimum setting which would have had some breathing resistance at depth. This was found to be a factor on the subjective breathing test performed with a manual test probe.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could only speculate to identify the specific causes of any fatality. Diver experience and water confidence are usually generic influences in most cases. This coupled with any equipment challenges may result in an incident at sometime. In this case the regulator system used was not functioning as recommended by the manufacturer. This may have been a factor in the final outcome of the dive.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Littler's equipment was tested on May 23,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His 1st stage regulator was a Sherwood Oasis 2 (SRB3700) 1st Stage Regulator.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It was in excellent visual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1st stage regulator settings were within the manufacturer's recommended parameters. The final result was a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His 2nd stage regulator (primary regulator) was a Sherwood Oasis 2 (SRB3700) 2nd Stage Regulator (Primary Regulator).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Coast Guard note is that its visual condition was "minor scratches/minor corrosion".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It was found to have been set just outside the manufacturer's specified parameters. There was a slight free flow from the regulator during testing. Although the regulator settings were incorrect, the regulator was very easy to breathe at surface and the final result was a "Pass" as tested in the "as found"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Littler had an octopus. It was a Sherwood Standard Octopus 2nd Stage Regulator.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Its visual condition was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Littler's octopus was set in accordance with the manufacturer's IP specifications, and its final result as tested in the "as found" condition was a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Littler's pressure gauge was found by the Coast Guard testing to be + 200 psi out of calibration. (Actual air 500 psi/gauge reading 700 psi.)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Littler had a Sea Quest, Model 2113, BCD. Its visual condition was good. Its final result after pressure testing was a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final result summary of Mr. Littler's equipment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Overall the condition of the examined equipment was good. The 1st stage regulator was set up according to manufacturers recommended specifications. Both regulators were found to be easy to breathe.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could only speculate to identify the specific causes of any fatality. Diver experience and water confidence are usually generic influences in most cases. This coupled with any equipment challenges may result in an incident at sometime. In this case the pressure gauge used was not functioning as recommended by the manufacturer. This may have been a factor in the final outcome of the dive.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Two expert witnesses prepared reports relating to Mr. Ek's death. Both of them gave evidence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expert witnesses are Mr. Darcy Kieran of Montreal and Mr. Donald Munro of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Both of them are experienced professional scuba diving instructor trainers. Both of them are PADI Master Instructors and PADI Course Directors. Both of them are highly experienced in diving activities. The credentials of each of these experts are set out in detail in their reports. The resumes and qualifications of each of them are impressive.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Both of the expert witnesses provided the court with helpful explanatory evidence. Most of what they said was not controversial.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 of Mr. Darcy Kieran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Kieran prepared a report that is titled "Review of the Glen Olov Ek Diving Incident of October 2,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Paragraph 5.2.4 of the review is "Mr. Littler's Underwater Actions." In this paragraph Mr. Kieran criticizes the defendant's underwater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Kieran says that Mr. Littler should not have attempted to use Mr. Ek's alternate air source.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Kieran says that Mr. Littler chose the wrong option to address the low air situation he found himself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Kieran says that Mr. Littler should not have initiated buddy breathing using Mr. Ek's primary regulator.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Littler notes that at discovery, Mr. Littler said that it was possible that he let go of Mr. Ek during the ascent. Mr. Kieran writes "Letting go of a buoyant diver during an ascent would send that diver into an even more rapid ascent to the surface with increased risk of lung overexpansion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will refer to these criticisms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Kieran said that breath holding is the most dangerous activity in diving and the risks associated with breath holding are stressed in all PADI courses. Mr. Kieran's opinion is that it is not possible that Mr. Ek did not know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Kieran's opinion is that it is most likely that Mr. Ek held his breath because of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 of Mr. Donald Munro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Munro's report is dated August 24,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Munro says that PADI certified open water divers master the proper procedures for alternate air source use as both a donor and a receiver. Mr. Ek and Mr. Littler were both PADI certified open water divers.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Munro made these comments. Mandatory buddy breathing instruction in PADI courses was discontinued in the early 1990s. It is taught at the option of the instructor teaching the course. It is a skill that may not be taught in PADI open water courses. Mr. Ek may not have been trained in buddy breathing. Mr. Littler was trained in buddy breathing.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Munro writes that Mr. Ek would definitely have been trained never to hold his breath and to breathe a continuous stream of bubbles when a regulator was out of his mouth.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Munro writes that Mr. Ek would have mastered the controlled emergency swimming ascent which focuses on exhaling during ascent.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Munroe's opinion is that Mr. Ek's training should have enabled him to easily assist Mr. Littler and himself (self-rescue) with any out of air or low on air emergency.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Importance of Breathing During a Scuba Ascent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plaintiff and the defendant agree that the standards of conduct set out in PADI manuals define the standards of care that are of application to divers. The two diving experts who testified at the trial, Mr. Darcy Kieran and Mr. Donald Munro, both accept that the PADI standards of care are the criteria by which Mr. Ek's conduct and Mr. Littler's conduct ought to be judged.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PADI manual that was current in 2005 and that is of relevance to this proceeding is PADI Open Water Diver Manual, 1999 (the "manual"-Exhibit 42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Wide margins in the manual beside its text include illustrations, pictures, and review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Chapter 1 of the manual discusses breath holding. The text at pages 23 and 24 includes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Expanding air can cause lung over expansion (lung rupture), the most serious injury that can occur to a diver. For this reason, </w:t>
      </w:r>
      <w:r>
        <w:rPr>
          <w:rFonts w:ascii="arial" w:eastAsia="arial" w:hAnsi="arial" w:cs="arial"/>
          <w:b/>
          <w:color w:val="000000"/>
          <w:sz w:val="20"/>
          <w:lang w:val="en-US" w:eastAsia="en-US" w:bidi="ar-SA"/>
        </w:rPr>
        <w:t>the most important rule in scuba diving is to breathe continuously and never, never hold your breath.</w:t>
      </w:r>
      <w:r>
        <w:rPr>
          <w:rFonts w:ascii="arial" w:eastAsia="arial" w:hAnsi="arial" w:cs="arial"/>
          <w:color w:val="000000"/>
          <w:sz w:val="20"/>
          <w:lang w:val="en-US" w:eastAsia="en-US" w:bidi="ar-SA"/>
        </w:rPr>
        <w:t xml:space="preserve"> Lung over pressurization will occur unless you permit the pressure to equalize by breathing normally at all times. Lung over expansion can force air into the bloodstream and chest cavity, which can lead to severe injuries including paralysis and death.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Some people find they have a natural tendency to hold their breath when they first begin learning to use scuba, but this tendency must be changed. The lungs can be injured by even slight pressure changes if you hold your breath - even as little as a metre/two or three feet. So, it's important to </w:t>
      </w:r>
      <w:r>
        <w:rPr>
          <w:rFonts w:ascii="arial" w:eastAsia="arial" w:hAnsi="arial" w:cs="arial"/>
          <w:i/>
          <w:color w:val="000000"/>
          <w:sz w:val="20"/>
          <w:lang w:val="en-US" w:eastAsia="en-US" w:bidi="ar-SA"/>
        </w:rPr>
        <w:t>always</w:t>
      </w:r>
      <w:r>
        <w:rPr>
          <w:rFonts w:ascii="arial" w:eastAsia="arial" w:hAnsi="arial" w:cs="arial"/>
          <w:color w:val="000000"/>
          <w:sz w:val="20"/>
          <w:lang w:val="en-US" w:eastAsia="en-US" w:bidi="ar-SA"/>
        </w:rPr>
        <w:t xml:space="preserve"> breathe continuously when using scuba, even in shallow water.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lung overexpansion injuries are very serious and among the most difficult diving injuries to treat, they are also among the easiest to avoid: Simply breathe at all times and do not hold your breath when using scuba. During your confined water dives you'll practice some skills during which you take the scuba regulator out of your mouth, but even then you don't hold your breath. Instead, you'll learn to exhale a slow, steady stream of bubbles any time the regulator isn't in your mouth.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emphasis in bold is as in the manual.)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margin on page 24 includes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Most important rule of scuba diving!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lungs can be injured by even slight pressure changes if you hold your breath - even as little as a metre/two or three feet. So, it's important to always breathe continuously when using scuba, even in shallow water.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emphasis in bold is as in the manual).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This note is illustrated with a cartoon-like sketch in the margin showing a balloon-like object being filled with compressed air under water and then exploding at the surface because it was a "closed container no air can escape."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margin on page 26 includes four questions under a "</w:t>
      </w:r>
      <w:r>
        <w:rPr>
          <w:rFonts w:ascii="arial" w:eastAsia="arial" w:hAnsi="arial" w:cs="arial"/>
          <w:b/>
          <w:color w:val="000000"/>
          <w:sz w:val="20"/>
          <w:lang w:val="en-US" w:eastAsia="en-US" w:bidi="ar-SA"/>
        </w:rPr>
        <w:t>Quick Quiz."</w:t>
      </w:r>
      <w:r>
        <w:rPr>
          <w:rFonts w:ascii="arial" w:eastAsia="arial" w:hAnsi="arial" w:cs="arial"/>
          <w:color w:val="000000"/>
          <w:sz w:val="20"/>
          <w:lang w:val="en-US" w:eastAsia="en-US" w:bidi="ar-SA"/>
        </w:rPr>
        <w:t xml:space="preserve"> Self-assessment question No. 1 is this:</w:t>
      </w:r>
      <w:r>
        <w:rPr>
          <w:rFonts w:ascii="arial" w:eastAsia="arial" w:hAnsi="arial" w:cs="arial"/>
          <w:sz w:val="20"/>
          <w:lang w:val="en-US" w:eastAsia="en-US" w:bidi="ar-SA"/>
        </w:rPr>
        <w:cr/>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most important rule in scuba diving is: </w:t>
      </w:r>
      <w:r>
        <w:rPr>
          <w:rFonts w:ascii="arial" w:eastAsia="arial" w:hAnsi="arial" w:cs="arial"/>
          <w:b/>
          <w:color w:val="000000"/>
          <w:sz w:val="20"/>
          <w:lang w:val="en-US" w:eastAsia="en-US" w:bidi="ar-SA"/>
        </w:rPr>
        <w:t>Breathe continuously and never hold your breath.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True __ False __</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emphasis is as in the manual.)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 manual has other references to the importance of breathing, including references within the options relating to running low on air or out-of-air situations (at pages 158 and 159). For example, within Option 3, </w:t>
      </w:r>
      <w:r>
        <w:rPr>
          <w:rFonts w:ascii="arial" w:eastAsia="arial" w:hAnsi="arial" w:cs="arial"/>
          <w:i/>
          <w:color w:val="000000"/>
          <w:sz w:val="20"/>
          <w:lang w:val="en-US" w:eastAsia="en-US" w:bidi="ar-SA"/>
        </w:rPr>
        <w:t>Ascend using a controlled emergency swimming ascent,</w:t>
      </w:r>
      <w:r>
        <w:rPr>
          <w:rFonts w:ascii="arial" w:eastAsia="arial" w:hAnsi="arial" w:cs="arial"/>
          <w:color w:val="000000"/>
          <w:sz w:val="20"/>
          <w:lang w:val="en-US" w:eastAsia="en-US" w:bidi="ar-SA"/>
        </w:rPr>
        <w:t xml:space="preserve"> there is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simply involves looking up and then swimming to the surface, exhaling continuously while making an "aaaahhh" sound into your regulator to release expanding air and to prevent lung overexpansion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Ek took a number of PADI courses, including the advanced open water course and the rescue diver course. PADI courses stress the importance of continuously breathing.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On May 18, 2005, Mr. Ek signed a liability release form relating to third parties. It appears it was required for a training program. Mr. Ek signed this document just below a statement in larger type that he has read it before signing it. In the form, Mr. Ek acknowledges (in number 4) "I am aware of the dangers of breath holding while scuba diving . . ." In number 8, Mr. Ek acknowledges that "I understand that even though I follow all of the appropriate dive practices, there is still some risk of my sustaining decompression sickness, embolism or other hyperbaric injuries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expert evidence is that Mr. Ek must have been aware of the danger of breath holding.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am satisfied that breath holding during a scuba dive is negligent. It violates the most important rule of diving. It exposes the breath holding diver to serious injury or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find that Mr. Ek was aware of the grave danger of breath holding.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Allegations of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plaintiff submits that there are a number of reasons why the defendant should be found liable for Mr. Ek's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plaintiff's submissions include these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Littler did not monitor the pressure gauge to his air tank resulting in an unnecessary low on air situation;</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Littler dove deeper than 60 feet without being certified by PADI to dive to a depth deeper than 60 feet;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Littler did not take a refresher course in 2005 before diving after a long lay-off from diving;</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Littler used defective diving equipment;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Littler followed the wrong route on ascent after encountering a low on air situation;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Littler's use of PADI Option 2 in a low on air situation rather than PADI Option 1 was negligent;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Littler was negligent by not adequately examining Mr. Ek's octopus in the pre-dive check;</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Littler mishandled Mr. Ek's octopus while attempting to access Mr. Ek's air supply;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Littler should not have engaged in buddy-breathing;</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Littler was negligent by letting go of Mr. Ek on assent.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 will refer to each of these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 Mr. Littler did not monitor the pressure gauge to his air tank resulting in an unnecessary low on air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After Mr. Littler and Mr. Ek ascended from the floor of the sea to the deck of the MacKenzie, Mr. Littler saw from his pressure gauge that he had only 600 psi of air remaining. That was far less than he thought he would have. When he looked at his gauge, he expected to see that it would show that he had about 2000 psi left. The 600 psi reading prompted Mr. Littler to cause the dive to be "aborted," in the sense that he and Mr. Ek began their planned ascent.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manual says that there is no reason for a diver to run out of air. A diver should be making periodic checks of his pressure gauge to ensure that he has an adequate supply of 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Littler did not do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There may be reasons why Mr. Littler's consumption of air was greater than he expected. He may have used more air in his buoyancy control devices on descent than he anticipated. He may have been breathing harder than usual. The amount of air he was consuming at the depths involved may have been greater than he expected. Mr. Littler gave evidence suggesting that he was not paying attention to the passage of time. Exhibit 12 suggests that he and Mr. Ek were on the ocean floor for about 3 minutes. Mr. Littler was interviewed by Constable Josefsson on the day after the dive. He told her that they weren't there for even a minute. Mr. Littler and Mr. Ek were on the deck of the MacKenzie for about 7 minutes before ascending. Mr. Littler said that they aborted the dive after he looked at his pressure gauge. It is therefore likely that Mr. Littler was on the deck for some minutes before he looked at his pressure gauge. His evidence suggests that he thought that he was on the deck for a shorter time span than that before he checked his pressure gauge. The explanation why Mr. Littler had less air than he expected may be that he was not looking at his watch.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But whatever the reason for there being less air in Mr. Littler's tank than he thought was there, Mr. Littler ought to have known how much air he had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am of the opinion that Mr. Littler did not check his pressure gauge as frequently as he should have been checking it. Mr. Littler could not have checked his pressure gauge at all during the whole of the time that it was decreasing from a reading of +2000 psi to 600 psi. If he had checked his pressure gauge he would have seen that the pressure was below 2000 psi before he saw it was at 600 psi.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Littler should not have reached a pressure of 600 psi before starting the planned ascent. The pre-dive plan was to reach the surface with 300 psi to 500 psi of air remaining. That required starting the return before 600 psi. Mr. Littler should not have arrived at a low-on-air situation before initiating the ascent.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It may well be that Mr. Littler and Mr. Ek would have ascended uneventfully had Mr. Littler's pressure gauge not been 200 psi out of calibration. Even so, starting the ascent low on air materially contributed to the out of air situation that ensued.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 Littler's lack of care placed him at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Littler did not check his pressure gauge as often as he should have checked it. He unnecessarily encountered a low on air situation. I am of the opinion that Mr. Littler did not act with reasonable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But that does not mean that Mr. Littler committed a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At paragraph 57 of </w:t>
      </w:r>
      <w:r>
        <w:rPr>
          <w:rFonts w:ascii="arial" w:eastAsia="arial" w:hAnsi="arial" w:cs="arial"/>
          <w:i/>
          <w:color w:val="000000"/>
          <w:sz w:val="20"/>
          <w:lang w:val="en-US" w:eastAsia="en-US" w:bidi="ar-SA"/>
        </w:rPr>
        <w:t>Clements (Litigation Guardian of) v. Clements</w:t>
      </w:r>
      <w:r>
        <w:rPr>
          <w:rFonts w:ascii="arial" w:eastAsia="arial" w:hAnsi="arial" w:cs="arial"/>
          <w:color w:val="000000"/>
          <w:sz w:val="20"/>
          <w:lang w:val="en-US" w:eastAsia="en-US" w:bidi="ar-SA"/>
        </w:rPr>
        <w:t xml:space="preserve">, Frankel J.A. refers with approval to this statement of Lord Diplock in </w:t>
      </w:r>
      <w:r>
        <w:rPr>
          <w:rFonts w:ascii="arial" w:eastAsia="arial" w:hAnsi="arial" w:cs="arial"/>
          <w:i/>
          <w:color w:val="000000"/>
          <w:sz w:val="20"/>
          <w:lang w:val="en-US" w:eastAsia="en-US" w:bidi="ar-SA"/>
        </w:rPr>
        <w:t>Browning v. War Office</w:t>
      </w:r>
      <w:r>
        <w:rPr>
          <w:rFonts w:ascii="arial" w:eastAsia="arial" w:hAnsi="arial" w:cs="arial"/>
          <w:color w:val="000000"/>
          <w:sz w:val="20"/>
          <w:lang w:val="en-US" w:eastAsia="en-US" w:bidi="ar-SA"/>
        </w:rPr>
        <w:t>, [1962] 3 All E.R. 1089 at 1094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person who acts without reasonable care does no wrong in law; he commits no tort. He only does wrong, he only commits a tort, if his lack of care causes damage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Left unanswered is the question whether Mr. Littler, by not checking his pressure gauge as often as he should have checked it, thereby caused Mr. Ek foreseeable harm.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 Mr. Littler dove deeper than 60 feet without being certified by PADI to dive to a depth deeper than 60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plaintiff submits that because Mr. Littler did not have PADI's advanced open water certification, he was not certified to dive below 60 feet, and that he was therefore negligent in diving to the MacKenzie.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PADI is a for profit organization. It has a long list of course offerings. There are over 30 courses listed on a Continuing Education Flow Chart drawn on page 234 of the manual.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PADI is not the only organization offering diver training. There is no requirement for a diver to take any PADI course, nor is there any requirement for a diver to take a course offered by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Just because a diver has not taken PADI's wreck diver course or boat diver course or night diver course does not mean that the diver is not qualified and capable of making safe and responsible dives to wrecks or off boats or at night. At issue is not whether a diver has received a certificate to make a particular dive, but whether the diver is qualified to make the dive.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manual explains on page 233 that advanced open water certification requires five dives, including one underwater navigation dive, one deep dive, and three "Adventure Dives" of the diver's choosing.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Mr. Littler had made 50 or more successful dives to depths deeper than 60 feet. He had made dives with a dive master and with Navy divers. In my opinion, his lack of PADI certification is not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 am of the opinion that Mr. Littler was not negligent in diving deeper than 60 feet without taking a formal course certifying him to be qualified to dive to that depth.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Furthermore, in my opinion, Mr. Littler's not taking a further course did not have any bearing on the outcome of the dive.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3. Mr. Littler did not take a refresher course in 2005 after a long lay-off from diving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plaintiff submits that Mr. Littler should not have been diving at all in 2005 because he had not taken a refresher course as recommended by PADI, and that it was negligent of him to dive in 2005 without taking a refresher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manual refers to Scuba Review at page 235: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Scuba Review. Ditto, you already learned about this, but it's worth a reminder: If you go several months or longer without diving (it happens, best laid plans notwithstanding), you'll want to brush up your dive skills and knowledge. In Scuba Review, you complete some short self-study (with a workbook or CD-ROM) and review it with a PADI Divemaster, Assistant Instructor or Instructor. Then you make a confined water dive to put the polish back on your skills. Usually takes only a couple hours - easy way to limber up mentally and physically for diving.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 Munro testified that a refresher course may be of little real value to an experienced diver.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Mr. Littler pursued a graduated return to diving in 2005. By the time that he and Mr. Ek dove to the MacKenzie, Mr. Littler had made two trial dives near a dock and five open water dives with Mr. 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my opinion, Mr. Littler was not negligent in embarking on the dive to the MacKenzie without taking a formal refresher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Furthermore, in my opinion, Mr. Littler's not taking a refresher course did not have a bearing on the outcome of the dive.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4. Mr. Littler used defective diving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Canadian Coast Guard found that Mr. Littler's submersible pressure gauge was +200 psi out of calibration. The result of the pressure gauge being out of calibration in that fashion is that its reading indicated to Mr. Littler that he had more air available to him than was actually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Coast Guard final result summary says that the pressure gauge not functioning as recommended by the manufacturer may have been a factor in the final outcome of the dive. The summary notes that annual calibration/servicing and biannual inspection are recommended by the manufacturer for all gauges.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Both diving experts testified that it is not possible to predict the failure of a pressure gauge.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Mr. Littler took his equipment in 2005 to a PADI authorized facility to be checked out. He did this before he began his series of dives with Mr. Ek. The calibration of Mr. Littler's pressure gauge was not bench checked by the 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Mr. Littler submits that he knew his pressure gauge was functioning properly in 2005 on earlier dives because when it was attached to a filled tank of air its reading was the reading of a full tank of 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On this dive Mr. Littler was using a rented tank. It was Mr. Ek who rented the "filled" tank from a dive shop. For reasons that were not explained at trial, the shop did not fill the tank to its 3000 psi capacity. Mr. Littler's pressure gauge reading at the start of the dive was 2700 psi and not 3000 psi. It is therefore not known whether Mr. Littler's pressure gauge was already out of calibration when the dive began or whether it malfunctioned during the dive. If it was already out of calibration, Mr. Littler began the dive with 2500 psi of air and not 2700 psi of 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Mr. Ek and Mr. Littler both knew the tank reading was 2700 psi. Neither of them thought the pressure gauge was defective. Both of them thought the dive shop had not fully filled the tank.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Mr. Littler submits that because the pressure gauge accurately recorded the pressure of a full tank of air at the commencement of his earlier dives with Mr. Ek, the pressure gauge was not out of calibration at the start of those dives and that the gauge must have malfunctioned during this dive. He submits that the decision as to whether the pressure gauge needed pressure testing was the service shop's decision, and not his. He submits that even if the gauge had been pressure tested by Wilsons it would have shown the gauge was working and that this is known because the gauge was working at the start of the dives he made with Mr. Ek after he had Wilsons inspect his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Mr. Littler's evidence is that he did not know the gauge was out of calibration.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 am of the opinion that it has not been shown that the defendant was negligent by using a defective pressure gauge.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5. Mr. Littler followed the wrong route on ascent after encountering a low on air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plaintiff submits that Mr. Littler was negligent in not ascending to the surface immediately upon ascertaining that he had 600 psi of air remaining.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MacKenzie had a line attached to a point on it near its bow. The line was attached to a buoy that floated on the surface of the ocean. The pre-dive plan was for Mr. Ek and Mr. Littler to follow the bow line on descent and on ascent.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That was a safety measure. It allowed them to reach the MacKenzie without having to look for it. It was intended to ensure that they surfaced near their surface vessel.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Mr. Littler did not know his pressure gauge was out of calibration by 200 psi. 600 psi of air should have been sufficient for Mr. Ek and Mr. Littler to ascend as planned.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There was no good reason for Mr. Ek and Mr. Littler not to ascend as planned. The route for the ascent was a judgment call. In fact, Mr. Littler was following Mr. 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 am of the opinion that Mr. Littler was not negligent in ascending near the bow line.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6. Mr. Littler's use of PADI Option 2 in a low-on-air situation rather than PADI Option 1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Pages 158 and 159 of the manual deal with low on air and out of air emergencies. The text of that portion of the manual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Running low on or out of air</w:t>
      </w:r>
      <w:r>
        <w:rPr>
          <w:rFonts w:ascii="arial" w:eastAsia="arial" w:hAnsi="arial" w:cs="arial"/>
          <w:color w:val="000000"/>
          <w:sz w:val="20"/>
          <w:lang w:val="en-US" w:eastAsia="en-US" w:bidi="ar-SA"/>
        </w:rPr>
        <w:t>. Running out of air is probably the easiest problem to avoid, and air stoppage due to a malfunction is extremely remote (more about this in a moment). To keep from running excessively low on or out of air, make a habit of checking your SPG frequently. Obviously, your SPG only works if you look at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suppose the unlikely happens and your air either runs out or stops unexpectedly. It's still not a serious situation if you take a moment to consider your options and then act intelligently. Here are five options you can consider in a low-air situation, in their order of priority:</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i/>
          <w:color w:val="000000"/>
          <w:sz w:val="20"/>
          <w:lang w:val="en-US" w:eastAsia="en-US" w:bidi="ar-SA"/>
        </w:rPr>
        <w:t>Make a normal ascent</w:t>
      </w:r>
      <w:r>
        <w:rPr>
          <w:rFonts w:ascii="arial" w:eastAsia="arial" w:hAnsi="arial" w:cs="arial"/>
          <w:color w:val="000000"/>
          <w:sz w:val="20"/>
          <w:lang w:val="en-US" w:eastAsia="en-US" w:bidi="ar-SA"/>
        </w:rPr>
        <w:t>. Do what? No, it's not as odd as it sounds. If you're very low on air (you feel resistance and have to pull hard, but you're still getting something), your tank isn't completely empty. As you ascend, the water pressure surrounding you decreases, so more of the remaining air in your tank becomes usable. Breathing lightly (but continuously), you can make a controlled, continuous ascent to the surface.</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i/>
          <w:color w:val="000000"/>
          <w:sz w:val="20"/>
          <w:lang w:val="en-US" w:eastAsia="en-US" w:bidi="ar-SA"/>
        </w:rPr>
        <w:t>Ascend using an alternate air source</w:t>
      </w:r>
      <w:r>
        <w:rPr>
          <w:rFonts w:ascii="arial" w:eastAsia="arial" w:hAnsi="arial" w:cs="arial"/>
          <w:color w:val="000000"/>
          <w:sz w:val="20"/>
          <w:lang w:val="en-US" w:eastAsia="en-US" w:bidi="ar-SA"/>
        </w:rPr>
        <w:t>. Think of this as your best all-round choice when you're out of air. But for this to work, you must know how to locate your buddy's alternate, how to secure it and how to use it. Don't neglect these steps in your predive safety check.</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i/>
          <w:color w:val="000000"/>
          <w:sz w:val="20"/>
          <w:lang w:val="en-US" w:eastAsia="en-US" w:bidi="ar-SA"/>
        </w:rPr>
        <w:t>Ascend using a controlled emergency swimming ascent</w:t>
      </w:r>
      <w:r>
        <w:rPr>
          <w:rFonts w:ascii="arial" w:eastAsia="arial" w:hAnsi="arial" w:cs="arial"/>
          <w:color w:val="000000"/>
          <w:sz w:val="20"/>
          <w:lang w:val="en-US" w:eastAsia="en-US" w:bidi="ar-SA"/>
        </w:rPr>
        <w:t>. Supposing you're completely out of air and your buddy is too far away to provide an alternate air source (What did you learn about staying close to your buddy?) and the water is 10 to 12 metres/30 to 40 feet deep or less, you may decide to make a controlled emergency swimming ascent. This simply involves looking up and then swimming to the surface, exhaling continuously while making an aaaahhh sound into your regulator to release expanding air and to prevent lung over expansion injury. Upon reaching the surface, orally inflate your BCD for positive buoyancy. The emergency swimming ascent isn't difficult and you'll have a chance to practice during your third confined water dive.</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i/>
          <w:color w:val="000000"/>
          <w:sz w:val="20"/>
          <w:lang w:val="en-US" w:eastAsia="en-US" w:bidi="ar-SA"/>
        </w:rPr>
        <w:t>Buddy breathe with a single regulator</w:t>
      </w:r>
      <w:r>
        <w:rPr>
          <w:rFonts w:ascii="arial" w:eastAsia="arial" w:hAnsi="arial" w:cs="arial"/>
          <w:color w:val="000000"/>
          <w:sz w:val="20"/>
          <w:lang w:val="en-US" w:eastAsia="en-US" w:bidi="ar-SA"/>
        </w:rPr>
        <w:t>. Buddy breathing, which is sharing a single second stage between two divers, was once a standard air-sharing method, but became less and less favored as a viable option over the last 20 years. Alternate air sources have made buddy breathing unnecessary, along with the fact that buddy breathing is a moderately complex motor skill to perform in an emergency.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you're deeper than 12 metres/40 feet and there's no alternate air source available, buddy breathing may be an option if you and your buddy remain calm, and if you're both trained and practiced with it. Once you begin buddy breathing, you and your buddy should continue all the way to the surface without attempting to switch to another out-of-air option. Your instructor may have you practice buddy breathing, but keep in mind that sharing air with an alternate air source is far more preferable and makes buddy breathing an unnecessary option.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Make a buoyant emergency ascent</w:t>
      </w:r>
      <w:r>
        <w:rPr>
          <w:rFonts w:ascii="arial" w:eastAsia="arial" w:hAnsi="arial" w:cs="arial"/>
          <w:color w:val="000000"/>
          <w:sz w:val="20"/>
          <w:lang w:val="en-US" w:eastAsia="en-US" w:bidi="ar-SA"/>
        </w:rPr>
        <w:t xml:space="preserve">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Neither Mr. Ek nor Mr. Littler made an emergency buoyant ascent. That option involves dropping a diver's weights. Option 5 is not of relevance here, and I have not reproduced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In his report, Mr. Kieran writes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Littler was not out of air. He was just low on air. Therefore, the best option for Mr. Littler was simply to "make a normal ascent" (Option 1). Instead Mr. Littler went to Option 2; using Glen Ek's alternate air source (examination for discovery of Tom Littler, page 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second option is for when you are "out-of-air." When you are simply low on air, you can reach the surface by making a normal ascent (Option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At page 9 of an addendum to his report, Mr. Munroe writes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reserving any of these five options for only those divers who are experiencing an "out of air" situation is contrary to the principles taught in all PADI diver training. All five options can be used in "low on air" situations in order of priority.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Although it is Mr. Kieran's evidence that Option 2 is for an out-of-air emergency and not for a low on air situation, the manual says otherwise. The manual leaves Option 2 as an option available in a low-on-air situation. It reads "Here are five options you can consider in a low-air situation, in their order of priority".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Option 1 neither outlines nor limits the circumstances to which it applies. Option 1 does not refer to depths. It does not address the circumstance at which a different option is preferable. The manual leaves all five options open to a diver who encounters a low on air situation, and it does not address the circumstances in which options other than Option 1 are preferable to Option 1. That suggests that the choice or decision to use an option other than Option 1 is a matter of discretion for the diver who is low-on-air.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Mr. Littler's decision to use an alternate air source under Option 2 was in accordance with PADI protocol. It was not in breach of the protocol.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very reason why Mr. Ek had an alternate air source was to have an emergency source of air available for his diving buddy, Mr. Littler. Mr. Littler's attempts to get air from that air source should not have compromised Mr. Ek's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At para. 9.8 of his report, Mr. Munro notes that Mr. Ek completed PADI's Advanced Open Water Diver and Rescue Diver and Night Diver and Wreck Diver courses. His opinion is that Mr. Ek should easily have been able to assist Mr. Littler and himself (self-rescue) with any out of air or low on air emergency. Mr. Ek had mastered those skills only a few months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Mr. Littler's evidence is that his attempts to access Mr. Ek's octopus did not place Mr. Ek at risk. Mr. Ek maintained control of his primary regulator. He had a supply of air. Mr. Littler did not observe anything amiss in Mr. Ek's appearance.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Mr. Littler made emergency decisions in a short span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In my opinion, Mr. Littler's attempts to get air from Mr. Ek's octopus met the standards of care set out by PADI in the manual. Mr. Littler acted reasonably. He did not do anything that Mr. Ek should not have expected him to do in a low on air or out of air emergency.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Mr. Littler chose the second order of priority option rather than the first order of priority option. That was an option available to him. He was entitled to conclude that that was the best option available to him in the circumstances and at the depth at which he found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In my opinion, Mr. Littler was not negligent in following Option 2 rather than Option 1 and he was not negligent by attempting to access air from Mr. Ek's alternate air source.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7. Mr. Littler was negligent by not adequately examining Mr. Ek's octopus in the pre-dive check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plaintiff submits that Mr. Littler should have examined Mr. Ek's octopus more closely at the pre-dive inspection and that he should have removed the octopus in a trial procedure. The plaintiff submits that would have allowed Mr. Littler to see that it was attached with an elastic-like line, and it may have provided Mr. Littler with the opportunity of discovering that the mouthpiece was not properly secured to the regulator.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The evidence at trial is that it is not the practice for a diver to remove his buddy's octopus during a pre-dive check. The evidence is that that is not done. The plaintiff does not disagree, but refers to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in submitting that Mr. Littler was negligent in following an unreasonable practice even though he acted in accordance with accepted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In my view, nothing turns on Mr. Littler having to grab at the octopus twice before he attempted to breathe from it. The fact that it was attached to an elastic-like line did surprise him, but that did no more than momentarily delay his attempt to breathe from it. Mr. Littler said that he and Mr. Ek were free floating at the time, and that his having to grab twice at the octopus could not have compromised Mr. Ek. That evidence is borne out by the evidence that after Mr. Littler was unsuccessful in breathing from the octopus, Mr. Ek did not appear to be in distress and gave Mr. Littler a donation of 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It is a matter of speculation why Mr. Ek's mouthpiece became detached. It is improbable that anything Mr. Littler did in attempting to breathe through it could have caused it to become detached from the regulator. The mouthpiece is meant to be used in an emergency. Mr. Littler did not do anything out of the ordinary in attempting to breathe through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That octopus was part of Mr. Ek's equipment, not Mr. Littler's. Mr. Ek was responsible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There is no evidence that Mr. Ek knew the mouthpiece was not properly secured to the regulator, assuming it was not properly secured. I infer that he did not know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There is no reason to find that by freeing up the octopus, Mr. Littler would have accidentally discovering that the mouthpiece was not properly attached to the regulator, assuming it was not properly attached.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pre-dive check is not a check to see whether an octopus mouthpiece is properly attached to the octopus.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 am of the opinion that it has not been shown that Mr. Littler was negligent in the manner in which he inspected Mr. Ek's equipment in the pre-dive check.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In my opinion, the evidence at this trial does not show that the established practice of divers of not physically removing their buddy's octopus from its harness during the course of a pre-dive check is unreasonable.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8. Mr. Littler mishandled Mr. Ek's octopus while attempting to access Mr. Ek's air supply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Mr. Littler grabbed at Mr. Ek's octopus on two occasions. The second attempt was required because the octopus snapped away on the first attempt, apparently because it was attached to Mr. Ek's gear with an elastic-like 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 have already referred to this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octopus is a part of a diver's equipment. It is intended to provide an alternate source of air to a buddy diver in the event the buddy needs air. Mr. Littler was accessing equipment that was there for his use if needed. Mr. Ek and Mr. Littler were free floating at the time. In my opinion, Mr. Littler's actions did not compromise either him or Mr. Ek. I find that is so not only because of the nature of the acts themselves, but also because after Mr. Littler had tried to get air from the octopus and after the octopus had snapped back, and after the mouthpiece had come off it, Mr. Ek displayed no sign of distress. He shared air with Mr. Littler.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Mr. Kieran said that an octopus mouth piece should be difficult to come apart. He accepted that possible causes of Mr. Ek's mouth piece failure might have been the improper installation of the tie wrap that secures the mouth piece to the octopus regulator, or a structural failure in the mouthpiece. Mr. Kieran said that it is improbable that the failure was caused by the manner in which it was handled by Mr. Littler.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 find that Mr. Littler's attempts to get air from the octopus were not negligent.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9. Mr. Littler should not have engaged in buddy-breathing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Mr. Kieran writes that Mr. Littler ought not to have attempted to buddy breath with Mr. 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Option 4 on page 159 of the manual discourages buddy breathing. It says that buddy breathing may be an option if you are deeper than 40 feet and there is no alternate air supply and you and your buddy remain calm and you are both trained and practiced with it. The manual notes that once buddy breathing has been started, it should be continued all the way to the surface without attempting to switch to another out-of-air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Buddy breathing is explained on pages 213 and 214 of the manual. If Mr. Ek had read the manual he would have been familiar with its concept, although he may not have been trained and practiced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With the failure of the octopus mouthpiece, Mr. Ek's alternate air source was not available to Mr. Littler.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Mr. Littler did not know whether Mr. Ek was trained and practiced with buddy breathing. Mr. Littler gave Mr. Ek the "Buddy breathe or share air" sign as shown on illustration 13 of page 106 of the manual. There is only one signal. It applies to both buddy breathing and sharing 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Buddy breathing requires the involvement of both divers. Mr. Ek had a choice whether to buddy breathe.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Mr. Ek and Mr. Littler did not buddy breathe. Mr. Ek shared air-he "donated" a breath of air to Mr. Littler. Mr. Littler may have wanted Mr. Ek to buddy breathe, but they did not buddy breathe.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Mr. Littler was familiar with buddy breathing, but it was Mr. Ek who had control of his air supply. Mr. Ek had the choice of buddy breathing or sharing air or refusing to do either. He gave Mr. Littler a breath of air, and then withdrew from either sharing air or buddy breathing. He was entitled to do that. I am satisfied that he did withdraw from the process, and that he communicated his decision to Mr. Littler with his actions. That must have been so because Mr. Littler then again attempted to get air from Mr. Ek's octopus.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Because they did not buddy breathe, Mr. Littler was not negligent by engaging in buddy breathing.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Mr. Ek had received extensive PADI training in 2005. He was trained as an advanced open water diver and as a rescue diver. Mr. Munro's report and addendum outline the training that Mr. Ek must have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He writes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opinion is that as a certified, open-water diver, Mr. Littler would have mastered the proper procedures for alternate air source use as both a donor and a receiver. He would have been trained in buddy breathing, never to hold his breath, to breathe a continuous stream of bubbles when a regulator was out of the mouth, and that the donor of a regulator was in control of the buddy-breathing procedure and the ascent. He also would have been competent at recalling the hierarchy of methods used to ascend in an out-of-air emergency. He would have mastered the controlled emergency swimming ascent as well, which focuses on exhaling during ascent.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One of the knowledge reviews that Mr. Ek completed in 2005 asks him to briefly describe what he should do if he experiences stress while night diving. Mr. Ek printed: "STOP, RELAX, THINK, THEN ACT, BREATH SLOW, IF STILL STRESSED END DIVE."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Mr. Munro writes that the training courses Mr. Ek took should have addressed emergency situations, including out of air and panic in divers emergencies.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Mr. Kieran writes that the stress of buddy breathing or the exertion caused by buddy breathing may have caused Mr. Ek to hold his breath on ascent. Mr. Ek and Mr. Littler did not buddy breathe. The sharing of a breath of air is not physically demanding.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10. Mr. Littler was negligent by letting go of Mr. Ek on ascent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Mr. Kieran's statement that "letting go of a buoyant diver during an ascent would send that diver into an even more rapid ascent to the surface with increased risk of lung overexpansion injury" is correct if the diver who lets go of the "buoyant diver" is less buoyant than the "buoyant diver".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At the end of his cross examination at trial, Mr. Littler said that he did not know how the rapid ascent started. He said he did not know if he caused it or if Mr. Ek caused it or if a combination of their actions started it. He said that he did not know whether he let go of Mr. Ek or if Mr. Ek tried to vent air during the ascent. But he said that they rose together, and were as one as they ascended.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 am of the opinion that the evidence shows that it is far more likely than not that it was Mr. Ek who precipitated the rapid ascent to the surface, and that because Mr. Littler was releasing air from his BCDs, Mr. Littler was less buoyant than was Mr. 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But I also find that Mr. Littler did not send Mr. Ek into a more rapid ascent by letting go of him. I find that that did not happen. I am satisfied that Mr. Ek and Mr. Littler ascended together at about the same rate, and that both broke the surface of the water at about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Summary-Allegations of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 am of the opinion that Mr. Littler was negligent in not monitoring his pressure gauge.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 am of the opinion that he was otherwise not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Foreseeability and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The Supreme Court of Canada considers the issues of foreseeability and causation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Resurfice</w:t>
      </w:r>
      <w:r>
        <w:rPr>
          <w:rFonts w:ascii="arial" w:eastAsia="arial" w:hAnsi="arial" w:cs="arial"/>
          <w:color w:val="000000"/>
          <w:sz w:val="20"/>
          <w:lang w:val="en-US" w:eastAsia="en-US" w:bidi="ar-SA"/>
        </w:rPr>
        <w:t>, the judgment of the court was delivered by McLachlin C.J. C. She writes this in respect of foreseeability at paragraphs 5 to 8.</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two issues that divided the Alberta courts -- foreseeability and causation -- dominate the appeal before us. I will deal with each in turn.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Foreseeability</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requires breach of a duty of care arising from a reasonably foreseeable risk of harm to one person, created by the act or omission of another: </w:t>
      </w:r>
      <w:r>
        <w:rPr>
          <w:rFonts w:ascii="arial" w:eastAsia="arial" w:hAnsi="arial" w:cs="arial"/>
          <w:i/>
          <w:color w:val="000000"/>
          <w:sz w:val="20"/>
          <w:lang w:val="en-US" w:eastAsia="en-US" w:bidi="ar-SA"/>
        </w:rPr>
        <w:t>Jordan House Ltd. v. Menow</w:t>
      </w:r>
      <w:r>
        <w:rPr>
          <w:rFonts w:ascii="arial" w:eastAsia="arial" w:hAnsi="arial" w:cs="arial"/>
          <w:color w:val="000000"/>
          <w:sz w:val="20"/>
          <w:lang w:val="en-US" w:eastAsia="en-US" w:bidi="ar-SA"/>
        </w:rPr>
        <w:t xml:space="preserve">, </w:t>
      </w:r>
      <w:hyperlink r:id="rId771" w:history="1">
        <w:r>
          <w:rPr>
            <w:rFonts w:ascii="arial" w:eastAsia="arial" w:hAnsi="arial" w:cs="arial"/>
            <w:i/>
            <w:color w:val="0077CC"/>
            <w:sz w:val="20"/>
            <w:u w:val="single"/>
            <w:shd w:val="clear" w:color="auto" w:fill="FFFFFF"/>
            <w:lang w:val="en-US" w:eastAsia="en-US" w:bidi="ar-SA"/>
          </w:rPr>
          <w:t>[1974] S.C.R. 239</w:t>
        </w:r>
      </w:hyperlink>
      <w:r>
        <w:rPr>
          <w:rFonts w:ascii="arial" w:eastAsia="arial" w:hAnsi="arial" w:cs="arial"/>
          <w:color w:val="000000"/>
          <w:sz w:val="20"/>
          <w:lang w:val="en-US" w:eastAsia="en-US" w:bidi="ar-SA"/>
        </w:rPr>
        <w:t xml:space="preserve">, at p. 247, per Laskin J. (as he then was). By enforcing reasonable standards of conduct, so as to prevent the creation of reasonably foreseeable risks of harm, tort law serves as a disincentive to risk-creating behaviour: </w:t>
      </w:r>
      <w:r>
        <w:rPr>
          <w:rFonts w:ascii="arial" w:eastAsia="arial" w:hAnsi="arial" w:cs="arial"/>
          <w:i/>
          <w:color w:val="000000"/>
          <w:sz w:val="20"/>
          <w:lang w:val="en-US" w:eastAsia="en-US" w:bidi="ar-SA"/>
        </w:rPr>
        <w:t>Stewart v. Pettie</w:t>
      </w:r>
      <w:r>
        <w:rPr>
          <w:rFonts w:ascii="arial" w:eastAsia="arial" w:hAnsi="arial" w:cs="arial"/>
          <w:color w:val="000000"/>
          <w:sz w:val="20"/>
          <w:lang w:val="en-US" w:eastAsia="en-US" w:bidi="ar-SA"/>
        </w:rPr>
        <w:t xml:space="preserve">, </w:t>
      </w:r>
      <w:hyperlink r:id="rId772" w:history="1">
        <w:r>
          <w:rPr>
            <w:rFonts w:ascii="arial" w:eastAsia="arial" w:hAnsi="arial" w:cs="arial"/>
            <w:i/>
            <w:color w:val="0077CC"/>
            <w:sz w:val="20"/>
            <w:u w:val="single"/>
            <w:shd w:val="clear" w:color="auto" w:fill="FFFFFF"/>
            <w:lang w:val="en-US" w:eastAsia="en-US" w:bidi="ar-SA"/>
          </w:rPr>
          <w:t>[1995] 1 S.C.R. 131</w:t>
        </w:r>
      </w:hyperlink>
      <w:r>
        <w:rPr>
          <w:rFonts w:ascii="arial" w:eastAsia="arial" w:hAnsi="arial" w:cs="arial"/>
          <w:color w:val="000000"/>
          <w:sz w:val="20"/>
          <w:lang w:val="en-US" w:eastAsia="en-US" w:bidi="ar-SA"/>
        </w:rPr>
        <w:t xml:space="preserve">, at para. 50, per Major J. The major elements of a tort action -- duty, breach causing injury and cause -- reflect "the principle of moral wrongdoing which is the basis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L. Klar, "Downsizing Torts", in N. J. Mullany and A. M. Linden, eds., </w:t>
      </w:r>
      <w:r>
        <w:rPr>
          <w:rFonts w:ascii="arial" w:eastAsia="arial" w:hAnsi="arial" w:cs="arial"/>
          <w:i/>
          <w:color w:val="000000"/>
          <w:sz w:val="20"/>
          <w:lang w:val="en-US" w:eastAsia="en-US" w:bidi="ar-SA"/>
        </w:rPr>
        <w:t>Torts Tomorrow: A Tribute to John Fleming</w:t>
      </w:r>
      <w:r>
        <w:rPr>
          <w:rFonts w:ascii="arial" w:eastAsia="arial" w:hAnsi="arial" w:cs="arial"/>
          <w:color w:val="000000"/>
          <w:sz w:val="20"/>
          <w:lang w:val="en-US" w:eastAsia="en-US" w:bidi="ar-SA"/>
        </w:rPr>
        <w:t xml:space="preserve"> (1998), 305, at p. 307.</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trial judge found that it was not reasonably foreseeable that an operator of the ice-resurfacing machine at issue would mistake the gas tank and the hot water tank, and thus place (or allow to remain) a water hose in the gas tank, thereby generating vapourized gasoline that might be ignited by an open flame, leading to an explosion and fire. The trial judge based this conclusion on the evidence, including the different size of the two tanks (one was much taller than the other), and on the fact (as found by him) that the gas tank had a label on it that said "Gasoline Only". He emphasized Mr. Hanke's admission that he knew the difference between the two tanks, and found that he was not confused between them.</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of Appeal's first criticism on the foreseeability issue was that the trial judge failed to give sufficient "analytical emphasis" to various aspects of the plaintiff's evidence. It is true that, having found that the accident was due to operator error, the trial judge stated, "[t]hus, in this case I do not get to the point of reviewing alleged design error or failure to warn" (para. 65). However, he went on immediately to review all the design errors alleged by the plaintiff and to state why he rejected the allegations (para. 65). He dealt with the allegation of the similar caps, the location of the hot water tank adjacent to the gas tank, the alleged similarity between the two tanks and the issue of warning signs, disposing of each one in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At paragraph 11, she writes that foreseeability depends on what a reasonable person would anticipate, not on the seriousness of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She discusses the test for causation at paragraphs 18 to 23 as follows: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 Causation</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Test for Causation</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of Appeal found, correctly, that the trial judge had applied a "but for" test in determining causation, stating, "[t]he thrust of the reasoning is that 'but for' the Appellant putting or leaving the hose in the gasoline tank, the explosion would not have occurred" (para. 12). Referring to the observation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at para. 15, that the "but for" test "is unworkable in some circumstances", the Court of Appeal concluded that this was such a case and that the trial judge should have used a "material contribution" test instead of the "but for" test (para. 14).</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of Appeal erred in suggesting that, where there is more than one potential cause of an injury, the "material contribution" test must be used. To accept this conclusion is to do away with the "but for" test altogether, given that there is more than one potential cause in virtually all litigated cases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the Court of Appeal's reasons in this regard are endorsed, the only conclusion that could be drawn is that the default test for cause-in-fact is now the material contribution test. This is inconsistent with this Court's judgments in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at para. 14; </w:t>
      </w:r>
      <w:r>
        <w:rPr>
          <w:rFonts w:ascii="arial" w:eastAsia="arial" w:hAnsi="arial" w:cs="arial"/>
          <w:i/>
          <w:color w:val="000000"/>
          <w:sz w:val="20"/>
          <w:lang w:val="en-US" w:eastAsia="en-US" w:bidi="ar-SA"/>
        </w:rPr>
        <w:t>Walker Estate v. York Finch General Hospital</w:t>
      </w:r>
      <w:r>
        <w:rPr>
          <w:rFonts w:ascii="arial" w:eastAsia="arial" w:hAnsi="arial" w:cs="arial"/>
          <w:color w:val="000000"/>
          <w:sz w:val="20"/>
          <w:lang w:val="en-US" w:eastAsia="en-US" w:bidi="ar-SA"/>
        </w:rPr>
        <w:t xml:space="preserve">, </w:t>
      </w:r>
      <w:hyperlink r:id="rId773" w:history="1">
        <w:r>
          <w:rPr>
            <w:rFonts w:ascii="arial" w:eastAsia="arial" w:hAnsi="arial" w:cs="arial"/>
            <w:i/>
            <w:color w:val="0077CC"/>
            <w:sz w:val="20"/>
            <w:u w:val="single"/>
            <w:shd w:val="clear" w:color="auto" w:fill="FFFFFF"/>
            <w:lang w:val="en-US" w:eastAsia="en-US" w:bidi="ar-SA"/>
          </w:rPr>
          <w:t>[2001] 1 S.C.R. 647</w:t>
        </w:r>
      </w:hyperlink>
      <w:r>
        <w:rPr>
          <w:rFonts w:ascii="arial" w:eastAsia="arial" w:hAnsi="arial" w:cs="arial"/>
          <w:color w:val="000000"/>
          <w:sz w:val="20"/>
          <w:lang w:val="en-US" w:eastAsia="en-US" w:bidi="ar-SA"/>
        </w:rPr>
        <w:t xml:space="preserve">, </w:t>
      </w:r>
      <w:hyperlink r:id="rId773" w:history="1">
        <w:r>
          <w:rPr>
            <w:rFonts w:ascii="arial" w:eastAsia="arial" w:hAnsi="arial" w:cs="arial"/>
            <w:i/>
            <w:color w:val="0077CC"/>
            <w:sz w:val="20"/>
            <w:u w:val="single"/>
            <w:shd w:val="clear" w:color="auto" w:fill="FFFFFF"/>
            <w:lang w:val="en-US" w:eastAsia="en-US" w:bidi="ar-SA"/>
          </w:rPr>
          <w:t>2001 SCC 23</w:t>
        </w:r>
      </w:hyperlink>
      <w:r>
        <w:rPr>
          <w:rFonts w:ascii="arial" w:eastAsia="arial" w:hAnsi="arial" w:cs="arial"/>
          <w:color w:val="000000"/>
          <w:sz w:val="20"/>
          <w:lang w:val="en-US" w:eastAsia="en-US" w:bidi="ar-SA"/>
        </w:rPr>
        <w:t xml:space="preserve">, at paras. 87-88, and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at para. 78.</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Much judicial and academic ink has been spilled over the proper test for causation in cases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neither necessary nor helpful to catalogue the various debates. It suffices at this juncture to simply assert the general principles that emerge from the cases.</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the basic test for determining causation remains the "but for" test. This applies to multi-cause injuries. The plaintiff bears the burden of showing that "but for" the negligent act or omission of each defendant, the injury would not have occurred. Having done this,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apportioned, as permitted by statute.</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fundamental rule has never been displaced and remains the primary test for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As stated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at para. 14, per Major J.,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Similarly, as I noted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at para. 78, "[t]he rules of causation consider generally whether 'but for' the defendant's acts, the plaintiff's damages would have been incurred on a balance of probabilities."</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recognizes that compensation for negligent conduct should only be made "where a substantial connection between the injury and the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at p. 327, per Sopinka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Ediger v. Johnston</w:t>
      </w:r>
      <w:r>
        <w:rPr>
          <w:rFonts w:ascii="arial" w:eastAsia="arial" w:hAnsi="arial" w:cs="arial"/>
          <w:color w:val="000000"/>
          <w:sz w:val="20"/>
          <w:lang w:val="en-US" w:eastAsia="en-US" w:bidi="ar-SA"/>
        </w:rPr>
        <w:t xml:space="preserve"> </w:t>
      </w:r>
      <w:hyperlink r:id="rId774" w:history="1">
        <w:r>
          <w:rPr>
            <w:rFonts w:ascii="arial" w:eastAsia="arial" w:hAnsi="arial" w:cs="arial"/>
            <w:i/>
            <w:color w:val="0077CC"/>
            <w:sz w:val="20"/>
            <w:u w:val="single"/>
            <w:shd w:val="clear" w:color="auto" w:fill="FFFFFF"/>
            <w:lang w:val="en-US" w:eastAsia="en-US" w:bidi="ar-SA"/>
          </w:rPr>
          <w:t>2011 BCCA 253</w:t>
        </w:r>
      </w:hyperlink>
      <w:r>
        <w:rPr>
          <w:rFonts w:ascii="arial" w:eastAsia="arial" w:hAnsi="arial" w:cs="arial"/>
          <w:color w:val="000000"/>
          <w:sz w:val="20"/>
          <w:lang w:val="en-US" w:eastAsia="en-US" w:bidi="ar-SA"/>
        </w:rPr>
        <w:t xml:space="preserve">, (Notice of Appeal to Supreme Court of Canada, </w:t>
      </w:r>
      <w:hyperlink r:id="rId775" w:history="1">
        <w:r>
          <w:rPr>
            <w:rFonts w:ascii="arial" w:eastAsia="arial" w:hAnsi="arial" w:cs="arial"/>
            <w:i/>
            <w:color w:val="0077CC"/>
            <w:sz w:val="20"/>
            <w:u w:val="single"/>
            <w:shd w:val="clear" w:color="auto" w:fill="FFFFFF"/>
            <w:lang w:val="en-US" w:eastAsia="en-US" w:bidi="ar-SA"/>
          </w:rPr>
          <w:t>[2011] S.C.C.A. No. 371</w:t>
        </w:r>
      </w:hyperlink>
      <w:r>
        <w:rPr>
          <w:rFonts w:ascii="arial" w:eastAsia="arial" w:hAnsi="arial" w:cs="arial"/>
          <w:color w:val="000000"/>
          <w:sz w:val="20"/>
          <w:lang w:val="en-US" w:eastAsia="en-US" w:bidi="ar-SA"/>
        </w:rPr>
        <w:t>, filed Aug. 29,2011), Madam Justice D. Smith writes for the British Columbia Court of Appeal. The British Columbia Court of Appeal allows an appeal from a trial judgment finding that a physician attending at the birth of a child for injury caused by umbilical cord compression.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At paragraphs 79 and 80, Smith J.A. writes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[79]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the Court observed that "the courts have recognized that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 (para. 15). However, the phrase "material contribution" in this statement from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is not synonymous with the "material contribution test" referred to in Resurface. The distinction between the two was explained by Mr. Justice Smith, for the majority, in Sam v. Wilson, </w:t>
      </w:r>
      <w:hyperlink r:id="rId776" w:history="1">
        <w:r>
          <w:rPr>
            <w:rFonts w:ascii="arial" w:eastAsia="arial" w:hAnsi="arial" w:cs="arial"/>
            <w:i/>
            <w:color w:val="0077CC"/>
            <w:sz w:val="20"/>
            <w:u w:val="single"/>
            <w:shd w:val="clear" w:color="auto" w:fill="FFFFFF"/>
            <w:lang w:val="en-US" w:eastAsia="en-US" w:bidi="ar-SA"/>
          </w:rPr>
          <w:t>2007 BCCA 622</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[109] "Material contribution", as that phrase was used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is synonymous with "substantial connection", as that phrase was used by McLachlin C.J.C. above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This causal yardstick should not be confused with the "material contribution test". As McLachlin C.J.C. explained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at paras 24-29, the "material contribution test" applies as an exception to the "but for" test of causation when it is impossible for the plaintiff to prove that the defendant's negligent conduct caused the plaintiff's injury using the "but for" test, where it is clear that the defendant breached a duty of care owed the plaintiff thereby exposing the plaintiff to an unreasonable risk of injury, and where the plaintiff's injury falls within the ambit of the risk.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[80] In this particular case, the material contribution test was not applicable because it was not impossible for the respondent to prove that the appellant's negligent conduct caused Cassidy's injuries. The "but for" test of causation required the respondent to establish, on a balance of probabilities, a substantial connection between the risk of harm caused by the appellant's negligent acts (the breach of the "immediately available" standard of care and/or failure to obtain Mrs. Ediger's informed consent) and the resulting injuries to the respondent. In other words, in order to succeed, the respondent had to demonstrate that Cassidy's injuries fell within the type of risk to which Mrs. Ediger was exposed, i.e., the forceps procedure, and that the appellant's negligent conduct was the cause-in-fact or a "</w:t>
      </w:r>
      <w:r>
        <w:rPr>
          <w:rFonts w:ascii="arial" w:eastAsia="arial" w:hAnsi="arial" w:cs="arial"/>
          <w:i/>
          <w:color w:val="000000"/>
          <w:sz w:val="20"/>
          <w:lang w:val="en-US" w:eastAsia="en-US" w:bidi="ar-SA"/>
        </w:rPr>
        <w:t>real causa causans</w:t>
      </w:r>
      <w:r>
        <w:rPr>
          <w:rFonts w:ascii="arial" w:eastAsia="arial" w:hAnsi="arial" w:cs="arial"/>
          <w:color w:val="000000"/>
          <w:sz w:val="20"/>
          <w:lang w:val="en-US" w:eastAsia="en-US" w:bidi="ar-SA"/>
        </w:rPr>
        <w:t>" of Cassidy's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xml:space="preserve">  The reference in </w:t>
      </w:r>
      <w:r>
        <w:rPr>
          <w:rFonts w:ascii="arial" w:eastAsia="arial" w:hAnsi="arial" w:cs="arial"/>
          <w:i/>
          <w:color w:val="000000"/>
          <w:sz w:val="20"/>
          <w:lang w:val="en-US" w:eastAsia="en-US" w:bidi="ar-SA"/>
        </w:rPr>
        <w:t>Ediger</w:t>
      </w:r>
      <w:r>
        <w:rPr>
          <w:rFonts w:ascii="arial" w:eastAsia="arial" w:hAnsi="arial" w:cs="arial"/>
          <w:color w:val="000000"/>
          <w:sz w:val="20"/>
          <w:lang w:val="en-US" w:eastAsia="en-US" w:bidi="ar-SA"/>
        </w:rPr>
        <w:t xml:space="preserve"> to the material contribution test as explained in </w:t>
      </w:r>
      <w:r>
        <w:rPr>
          <w:rFonts w:ascii="arial" w:eastAsia="arial" w:hAnsi="arial" w:cs="arial"/>
          <w:i/>
          <w:color w:val="000000"/>
          <w:sz w:val="20"/>
          <w:lang w:val="en-US" w:eastAsia="en-US" w:bidi="ar-SA"/>
        </w:rPr>
        <w:t>Resurfice</w:t>
      </w:r>
      <w:r>
        <w:rPr>
          <w:rFonts w:ascii="arial" w:eastAsia="arial" w:hAnsi="arial" w:cs="arial"/>
          <w:color w:val="000000"/>
          <w:sz w:val="20"/>
          <w:lang w:val="en-US" w:eastAsia="en-US" w:bidi="ar-SA"/>
        </w:rPr>
        <w:t xml:space="preserve"> refers to McLachlin C.J.C.'s discussion of exceptions to the basic "but for"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Resurfice,</w:t>
      </w:r>
      <w:r>
        <w:rPr>
          <w:rFonts w:ascii="arial" w:eastAsia="arial" w:hAnsi="arial" w:cs="arial"/>
          <w:color w:val="000000"/>
          <w:sz w:val="20"/>
          <w:lang w:val="en-US" w:eastAsia="en-US" w:bidi="ar-SA"/>
        </w:rPr>
        <w:t xml:space="preserve"> McLachlin C.J.C. writes this at paragraphs 24 and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However, in special circumstances, the law has recognized exceptions to the basic "but for" test, and applied a "material contribution" test. Broadly speaking, the cases in which the "material contribution" test is properly applied involve two requirements.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First, it must be impossible for the plaintiff to prove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plaintiff's injury using the "but for" test. The impossibility must be due to factors that are outside of the plaintiff's control; for example, current limits of scientific knowledge. Second, it must be clear that the defendant breached a duty of care [page344] owed to the plaintiff, thereby exposing the plaintiff to an unreasonable risk of injury, and the plaintiff must have suffered that form of injury. In other words, the plaintiff's injury must fall within the ambit of risk created by the defendant's breach. In those exceptional cases where these two requirements are satisfied, liability may be imposed, even though the "but for" test is not satisfied, because it would offend basic notions of fairness and justice to deny liability by applying a "but for"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xml:space="preserve">  Madam Justice Kirkpatrick writes for the British Columbia Court of Appeal in </w:t>
      </w:r>
      <w:r>
        <w:rPr>
          <w:rFonts w:ascii="arial" w:eastAsia="arial" w:hAnsi="arial" w:cs="arial"/>
          <w:i/>
          <w:color w:val="000000"/>
          <w:sz w:val="20"/>
          <w:lang w:val="en-US" w:eastAsia="en-US" w:bidi="ar-SA"/>
        </w:rPr>
        <w:t>Bohun v. Segal,</w:t>
      </w:r>
      <w:r>
        <w:rPr>
          <w:rFonts w:ascii="arial" w:eastAsia="arial" w:hAnsi="arial" w:cs="arial"/>
          <w:color w:val="000000"/>
          <w:sz w:val="20"/>
          <w:lang w:val="en-US" w:eastAsia="en-US" w:bidi="ar-SA"/>
        </w:rPr>
        <w:t xml:space="preserve"> </w:t>
      </w:r>
      <w:hyperlink r:id="rId777" w:history="1">
        <w:r>
          <w:rPr>
            <w:rFonts w:ascii="arial" w:eastAsia="arial" w:hAnsi="arial" w:cs="arial"/>
            <w:i/>
            <w:color w:val="0077CC"/>
            <w:sz w:val="20"/>
            <w:u w:val="single"/>
            <w:shd w:val="clear" w:color="auto" w:fill="FFFFFF"/>
            <w:lang w:val="en-US" w:eastAsia="en-US" w:bidi="ar-SA"/>
          </w:rPr>
          <w:t>2008 BCCA 23</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Bohun</w:t>
      </w:r>
      <w:r>
        <w:rPr>
          <w:rFonts w:ascii="arial" w:eastAsia="arial" w:hAnsi="arial" w:cs="arial"/>
          <w:color w:val="000000"/>
          <w:sz w:val="20"/>
          <w:lang w:val="en-US" w:eastAsia="en-US" w:bidi="ar-SA"/>
        </w:rPr>
        <w:t>, the defendant's physician was found to have been negligent in delaying a diagnosis of the plaintiff's cancer. The delay in diagnosis increased the plaintiff's risk of death from the cancer from 21% (her risk when the diagnosis ought to have been made) to 23 or 24% (her risk when finally diagnosed). After considering other factors, the trial judge concluded that in absolute terms, there was 4% absolute increase in the plaintiff's risk of death because of the delay of diagnosis. That 4% absolute increase in the risk of death represented a causation probability of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At paragraph 51, Kirkpatrick J.A. notes that the trial judge anchored his decision to apply the material contribution test in the fact that it was impossible to know whether the migration of the plaintiff's cancer that caused her demise took place before or after the occasion when the diagnosis ought to have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She writes this at paragraph 52 and 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The appellant thus contends, and I agree, that based on the evidence of Dr. Olivotto and the application of the ADJUVANT! program to the circumstances that confronted the plaintiff, the defendant, while obviously not obliged to do so, had disproved causation. In order for the plaintiff to succeed, she had to prove that it was more probable than not that proper and timely diagnosis and treatment would have prevented her loss - namely, that she would likely have lived longer had Dr. Segal not been negligent (see </w:t>
      </w:r>
      <w:r>
        <w:rPr>
          <w:rFonts w:ascii="arial" w:eastAsia="arial" w:hAnsi="arial" w:cs="arial"/>
          <w:i/>
          <w:color w:val="000000"/>
          <w:sz w:val="20"/>
          <w:lang w:val="en-US" w:eastAsia="en-US" w:bidi="ar-SA"/>
        </w:rPr>
        <w:t>Hotson v. East Berkshire Area Health Authority</w:t>
      </w:r>
      <w:r>
        <w:rPr>
          <w:rFonts w:ascii="arial" w:eastAsia="arial" w:hAnsi="arial" w:cs="arial"/>
          <w:color w:val="000000"/>
          <w:sz w:val="20"/>
          <w:lang w:val="en-US" w:eastAsia="en-US" w:bidi="ar-SA"/>
        </w:rPr>
        <w:t xml:space="preserve">, [1987] 2 All E.R. 909 (H.L.)). To state it another way, Ms. Johnston had to establish that Dr. Segal's conduct made it more probable than not that the delayed diagnosis of her cancer would cause her death to occur earlier than it would have but for Dr.Segal's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Lord Hoffmann stated in </w:t>
      </w:r>
      <w:r>
        <w:rPr>
          <w:rFonts w:ascii="arial" w:eastAsia="arial" w:hAnsi="arial" w:cs="arial"/>
          <w:i/>
          <w:color w:val="000000"/>
          <w:sz w:val="20"/>
          <w:lang w:val="en-US" w:eastAsia="en-US" w:bidi="ar-SA"/>
        </w:rPr>
        <w:t>Barker v. Corus</w:t>
      </w:r>
      <w:r>
        <w:rPr>
          <w:rFonts w:ascii="arial" w:eastAsia="arial" w:hAnsi="arial" w:cs="arial"/>
          <w:color w:val="000000"/>
          <w:sz w:val="20"/>
          <w:lang w:val="en-US" w:eastAsia="en-US" w:bidi="ar-SA"/>
        </w:rPr>
        <w:t>, it was not enough to show that the defendant's conduct increased the likelihood of damage and may have caused it. The evidence of causation in this case fell far short of proof on a balance of probabilities.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[53] Having failed to establish causation on the available "but for" test, the causation analysis ought to have come to an end. It was not open to the plaintiff to prove, or to the trial judge to consider, the material contribution test. As stated in </w:t>
      </w:r>
      <w:r>
        <w:rPr>
          <w:rFonts w:ascii="arial" w:eastAsia="arial" w:hAnsi="arial" w:cs="arial"/>
          <w:i/>
          <w:color w:val="000000"/>
          <w:sz w:val="20"/>
          <w:lang w:val="en-US" w:eastAsia="en-US" w:bidi="ar-SA"/>
        </w:rPr>
        <w:t>Resurfice</w:t>
      </w:r>
      <w:r>
        <w:rPr>
          <w:rFonts w:ascii="arial" w:eastAsia="arial" w:hAnsi="arial" w:cs="arial"/>
          <w:color w:val="000000"/>
          <w:sz w:val="20"/>
          <w:lang w:val="en-US" w:eastAsia="en-US" w:bidi="ar-SA"/>
        </w:rPr>
        <w:t xml:space="preserve">, it must be impossible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using the "but for" analysis before resort can be made to the material contribution analysis. I do not read </w:t>
      </w:r>
      <w:r>
        <w:rPr>
          <w:rFonts w:ascii="arial" w:eastAsia="arial" w:hAnsi="arial" w:cs="arial"/>
          <w:i/>
          <w:color w:val="000000"/>
          <w:sz w:val="20"/>
          <w:lang w:val="en-US" w:eastAsia="en-US" w:bidi="ar-SA"/>
        </w:rPr>
        <w:t>Resurfice</w:t>
      </w:r>
      <w:r>
        <w:rPr>
          <w:rFonts w:ascii="arial" w:eastAsia="arial" w:hAnsi="arial" w:cs="arial"/>
          <w:color w:val="000000"/>
          <w:sz w:val="20"/>
          <w:lang w:val="en-US" w:eastAsia="en-US" w:bidi="ar-SA"/>
        </w:rPr>
        <w:t xml:space="preserve"> to mean that, because a plaintiff fails to prove causation on the "but for" analysis, a plaintiff may then resort to the less stringent material contribution test. As this Court recently stated in </w:t>
      </w:r>
      <w:r>
        <w:rPr>
          <w:rFonts w:ascii="arial" w:eastAsia="arial" w:hAnsi="arial" w:cs="arial"/>
          <w:i/>
          <w:color w:val="000000"/>
          <w:sz w:val="20"/>
          <w:lang w:val="en-US" w:eastAsia="en-US" w:bidi="ar-SA"/>
        </w:rPr>
        <w:t>B.S.A. Investors Ltd. v. DSB</w:t>
      </w:r>
      <w:r>
        <w:rPr>
          <w:rFonts w:ascii="arial" w:eastAsia="arial" w:hAnsi="arial" w:cs="arial"/>
          <w:color w:val="000000"/>
          <w:sz w:val="20"/>
          <w:lang w:val="en-US" w:eastAsia="en-US" w:bidi="ar-SA"/>
        </w:rPr>
        <w:t xml:space="preserve">, </w:t>
      </w:r>
      <w:hyperlink r:id="rId778" w:history="1">
        <w:r>
          <w:rPr>
            <w:rFonts w:ascii="arial" w:eastAsia="arial" w:hAnsi="arial" w:cs="arial"/>
            <w:i/>
            <w:color w:val="0077CC"/>
            <w:sz w:val="20"/>
            <w:u w:val="single"/>
            <w:shd w:val="clear" w:color="auto" w:fill="FFFFFF"/>
            <w:lang w:val="en-US" w:eastAsia="en-US" w:bidi="ar-SA"/>
          </w:rPr>
          <w:t>2007 BCCA 94</w:t>
        </w:r>
      </w:hyperlink>
      <w:r>
        <w:rPr>
          <w:rFonts w:ascii="arial" w:eastAsia="arial" w:hAnsi="arial" w:cs="arial"/>
          <w:color w:val="000000"/>
          <w:sz w:val="20"/>
          <w:lang w:val="en-US" w:eastAsia="en-US" w:bidi="ar-SA"/>
        </w:rPr>
        <w:t xml:space="preserve">, </w:t>
      </w:r>
      <w:hyperlink r:id="rId778" w:history="1">
        <w:r>
          <w:rPr>
            <w:rFonts w:ascii="arial" w:eastAsia="arial" w:hAnsi="arial" w:cs="arial"/>
            <w:i/>
            <w:color w:val="0077CC"/>
            <w:sz w:val="20"/>
            <w:u w:val="single"/>
            <w:shd w:val="clear" w:color="auto" w:fill="FFFFFF"/>
            <w:lang w:val="en-US" w:eastAsia="en-US" w:bidi="ar-SA"/>
          </w:rPr>
          <w:t>69 B.C.L.R. (4th) 242</w:t>
        </w:r>
      </w:hyperlink>
      <w:r>
        <w:rPr>
          <w:rFonts w:ascii="arial" w:eastAsia="arial" w:hAnsi="arial" w:cs="arial"/>
          <w:color w:val="000000"/>
          <w:sz w:val="20"/>
          <w:lang w:val="en-US" w:eastAsia="en-US" w:bidi="ar-SA"/>
        </w:rPr>
        <w:t>, leave to appeal to S.C.C. requested, where the reasons of the trial judge indicate that the plaintiff could not meet the burden of proving causation, then the plaintiff's action should be dismissed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Clements (Litigation guardian of) v. Clements</w:t>
      </w:r>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2010 BCCA 581</w:t>
        </w:r>
      </w:hyperlink>
      <w:r>
        <w:rPr>
          <w:rFonts w:ascii="arial" w:eastAsia="arial" w:hAnsi="arial" w:cs="arial"/>
          <w:color w:val="000000"/>
          <w:sz w:val="20"/>
          <w:lang w:val="en-US" w:eastAsia="en-US" w:bidi="ar-SA"/>
        </w:rPr>
        <w:t xml:space="preserve">, (Leave to Appeal to Supreme Court of Canada allowed on June 16, 2011, </w:t>
      </w:r>
      <w:hyperlink r:id="rId780" w:history="1">
        <w:r>
          <w:rPr>
            <w:rFonts w:ascii="arial" w:eastAsia="arial" w:hAnsi="arial" w:cs="arial"/>
            <w:i/>
            <w:color w:val="0077CC"/>
            <w:sz w:val="20"/>
            <w:u w:val="single"/>
            <w:shd w:val="clear" w:color="auto" w:fill="FFFFFF"/>
            <w:lang w:val="en-US" w:eastAsia="en-US" w:bidi="ar-SA"/>
          </w:rPr>
          <w:t>[2011] S.C.C.A. No. 61</w:t>
        </w:r>
      </w:hyperlink>
      <w:r>
        <w:rPr>
          <w:rFonts w:ascii="arial" w:eastAsia="arial" w:hAnsi="arial" w:cs="arial"/>
          <w:color w:val="000000"/>
          <w:sz w:val="20"/>
          <w:lang w:val="en-US" w:eastAsia="en-US" w:bidi="ar-SA"/>
        </w:rPr>
        <w:t xml:space="preserve">), Mr. Justice Frankel writes for the Court of Appeal. The issue in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was whether the trial judge was correct in finding for the plaintiff on the issue of causation on the basis of the "material contribution" test referred to in </w:t>
      </w:r>
      <w:r>
        <w:rPr>
          <w:rFonts w:ascii="arial" w:eastAsia="arial" w:hAnsi="arial" w:cs="arial"/>
          <w:i/>
          <w:color w:val="000000"/>
          <w:sz w:val="20"/>
          <w:lang w:val="en-US" w:eastAsia="en-US" w:bidi="ar-SA"/>
        </w:rPr>
        <w:t>Resurfice</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the trial judge concluded that the plaintiff had failed to meet the generally applicable "but-for" test for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Frankel J.A. writes this at paragraphs 40 and 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Causation is a fundamental element of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 person who suffers harm is entitled to compensation from those who caused that harm. The but-for test is the method by which factual causation is established. The way the test works is described in Linden and Feldthusen, Canadian Tort Law, 8th ed. (Markham, Ont.: LexisNexis Butterworths, 2006) at 116: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accident would not have occurred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this conduct is a cause of the injury. Put another way, if the accident would have occurred just the same, whether or not the defendant acted, this conduct is not a cause of the loss. </w:t>
      </w:r>
      <w:r>
        <w:rPr>
          <w:rFonts w:ascii="arial" w:eastAsia="arial" w:hAnsi="arial" w:cs="arial"/>
          <w:color w:val="000000"/>
          <w:sz w:val="20"/>
          <w:u w:val="single"/>
          <w:lang w:val="en-US" w:eastAsia="en-US" w:bidi="ar-SA"/>
        </w:rPr>
        <w:t>Thus the act of the defendant must have made a difference</w:t>
      </w:r>
      <w:r>
        <w:rPr>
          <w:rFonts w:ascii="arial" w:eastAsia="arial" w:hAnsi="arial" w:cs="arial"/>
          <w:color w:val="000000"/>
          <w:sz w:val="20"/>
          <w:lang w:val="en-US" w:eastAsia="en-US" w:bidi="ar-SA"/>
        </w:rPr>
        <w:t>. If the conduct had nothing to do with the loss, the actor escapes liability.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In </w:t>
      </w:r>
      <w:r>
        <w:rPr>
          <w:rFonts w:ascii="arial" w:eastAsia="arial" w:hAnsi="arial" w:cs="arial"/>
          <w:i/>
          <w:color w:val="000000"/>
          <w:sz w:val="20"/>
          <w:lang w:val="en-US" w:eastAsia="en-US" w:bidi="ar-SA"/>
        </w:rPr>
        <w:t>Cork v. Kirby McLean, Ltd.</w:t>
      </w:r>
      <w:r>
        <w:rPr>
          <w:rFonts w:ascii="arial" w:eastAsia="arial" w:hAnsi="arial" w:cs="arial"/>
          <w:color w:val="000000"/>
          <w:sz w:val="20"/>
          <w:lang w:val="en-US" w:eastAsia="en-US" w:bidi="ar-SA"/>
        </w:rPr>
        <w:t>, [1952] 2 All E.R. 402 at 407 (C.A.), Lord Denning (as he then was) stated the test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Subject to the question of remoteness, causation is, I think, a question of fact. If you can say that the damage would not have happened but for a particular fault, then that fault is in fact a cause of the damage; but if you can say that the damage would have happened just the same, fault or no fault, then the fault is not a cause of the damage. It often happens that each of the parties at fault can truly say to the other: "But for your fault, it would not have happened." In such a case both faults are in fact causes of the damage.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Barker v. Corus</w:t>
      </w:r>
      <w:r>
        <w:rPr>
          <w:rFonts w:ascii="arial" w:eastAsia="arial" w:hAnsi="arial" w:cs="arial"/>
          <w:color w:val="000000"/>
          <w:sz w:val="20"/>
          <w:lang w:val="en-US" w:eastAsia="en-US" w:bidi="ar-SA"/>
        </w:rPr>
        <w:t xml:space="preserve"> (UK) Plc, [2006] UKHL 20, [2006] 2 A.C. 572 at para.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xml:space="preserve">  After referring to the "material contribution test" referred to in </w:t>
      </w:r>
      <w:r>
        <w:rPr>
          <w:rFonts w:ascii="arial" w:eastAsia="arial" w:hAnsi="arial" w:cs="arial"/>
          <w:i/>
          <w:color w:val="000000"/>
          <w:sz w:val="20"/>
          <w:lang w:val="en-US" w:eastAsia="en-US" w:bidi="ar-SA"/>
        </w:rPr>
        <w:t>Resurfice</w:t>
      </w:r>
      <w:r>
        <w:rPr>
          <w:rFonts w:ascii="arial" w:eastAsia="arial" w:hAnsi="arial" w:cs="arial"/>
          <w:color w:val="000000"/>
          <w:sz w:val="20"/>
          <w:lang w:val="en-US" w:eastAsia="en-US" w:bidi="ar-SA"/>
        </w:rPr>
        <w:t>, Frankel J.A. writes this at paragraphs 45 and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It is important to keep in mind that the material-contribution test discussed in </w:t>
      </w:r>
      <w:r>
        <w:rPr>
          <w:rFonts w:ascii="arial" w:eastAsia="arial" w:hAnsi="arial" w:cs="arial"/>
          <w:i/>
          <w:color w:val="000000"/>
          <w:sz w:val="20"/>
          <w:lang w:val="en-US" w:eastAsia="en-US" w:bidi="ar-SA"/>
        </w:rPr>
        <w:t>Resurfice Corp</w:t>
      </w:r>
      <w:r>
        <w:rPr>
          <w:rFonts w:ascii="arial" w:eastAsia="arial" w:hAnsi="arial" w:cs="arial"/>
          <w:color w:val="000000"/>
          <w:sz w:val="20"/>
          <w:lang w:val="en-US" w:eastAsia="en-US" w:bidi="ar-SA"/>
        </w:rPr>
        <w:t xml:space="preserve">. is not a test for determining </w:t>
      </w:r>
      <w:r>
        <w:rPr>
          <w:rFonts w:ascii="arial" w:eastAsia="arial" w:hAnsi="arial" w:cs="arial"/>
          <w:color w:val="000000"/>
          <w:sz w:val="20"/>
          <w:u w:val="single"/>
          <w:lang w:val="en-US" w:eastAsia="en-US" w:bidi="ar-SA"/>
        </w:rPr>
        <w:t>factual causation</w:t>
      </w:r>
      <w:r>
        <w:rPr>
          <w:rFonts w:ascii="arial" w:eastAsia="arial" w:hAnsi="arial" w:cs="arial"/>
          <w:color w:val="000000"/>
          <w:sz w:val="20"/>
          <w:lang w:val="en-US" w:eastAsia="en-US" w:bidi="ar-SA"/>
        </w:rPr>
        <w:t xml:space="preserve">. It does not provide a framework for determining whether a plaintiff has proven on a balance of probabilities that a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in fact caused harm. Rather, it provides a basis for finding </w:t>
      </w:r>
      <w:r>
        <w:rPr>
          <w:rFonts w:ascii="arial" w:eastAsia="arial" w:hAnsi="arial" w:cs="arial"/>
          <w:color w:val="000000"/>
          <w:sz w:val="20"/>
          <w:u w:val="single"/>
          <w:lang w:val="en-US" w:eastAsia="en-US" w:bidi="ar-SA"/>
        </w:rPr>
        <w:t>legal causation</w:t>
      </w:r>
      <w:r>
        <w:rPr>
          <w:rFonts w:ascii="arial" w:eastAsia="arial" w:hAnsi="arial" w:cs="arial"/>
          <w:color w:val="000000"/>
          <w:sz w:val="20"/>
          <w:lang w:val="en-US" w:eastAsia="en-US" w:bidi="ar-SA"/>
        </w:rPr>
        <w:t xml:space="preserve"> when there is a possibility that the defendant's negligent actions could have been a factual cause.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In </w:t>
      </w:r>
      <w:r>
        <w:rPr>
          <w:rFonts w:ascii="arial" w:eastAsia="arial" w:hAnsi="arial" w:cs="arial"/>
          <w:i/>
          <w:color w:val="000000"/>
          <w:sz w:val="20"/>
          <w:lang w:val="en-US" w:eastAsia="en-US" w:bidi="ar-SA"/>
        </w:rPr>
        <w:t>Chambers v. Goertz</w:t>
      </w:r>
      <w:r>
        <w:rPr>
          <w:rFonts w:ascii="arial" w:eastAsia="arial" w:hAnsi="arial" w:cs="arial"/>
          <w:color w:val="000000"/>
          <w:sz w:val="20"/>
          <w:lang w:val="en-US" w:eastAsia="en-US" w:bidi="ar-SA"/>
        </w:rPr>
        <w:t xml:space="preserve">, </w:t>
      </w:r>
      <w:hyperlink r:id="rId781" w:history="1">
        <w:r>
          <w:rPr>
            <w:rFonts w:ascii="arial" w:eastAsia="arial" w:hAnsi="arial" w:cs="arial"/>
            <w:i/>
            <w:color w:val="0077CC"/>
            <w:sz w:val="20"/>
            <w:u w:val="single"/>
            <w:shd w:val="clear" w:color="auto" w:fill="FFFFFF"/>
            <w:lang w:val="en-US" w:eastAsia="en-US" w:bidi="ar-SA"/>
          </w:rPr>
          <w:t>2009 BCCA 358</w:t>
        </w:r>
      </w:hyperlink>
      <w:r>
        <w:rPr>
          <w:rFonts w:ascii="arial" w:eastAsia="arial" w:hAnsi="arial" w:cs="arial"/>
          <w:color w:val="000000"/>
          <w:sz w:val="20"/>
          <w:lang w:val="en-US" w:eastAsia="en-US" w:bidi="ar-SA"/>
        </w:rPr>
        <w:t xml:space="preserve">, </w:t>
      </w:r>
      <w:hyperlink r:id="rId781" w:history="1">
        <w:r>
          <w:rPr>
            <w:rFonts w:ascii="arial" w:eastAsia="arial" w:hAnsi="arial" w:cs="arial"/>
            <w:i/>
            <w:color w:val="0077CC"/>
            <w:sz w:val="20"/>
            <w:u w:val="single"/>
            <w:shd w:val="clear" w:color="auto" w:fill="FFFFFF"/>
            <w:lang w:val="en-US" w:eastAsia="en-US" w:bidi="ar-SA"/>
          </w:rPr>
          <w:t>96 B.C.L.R. (4th) 236</w:t>
        </w:r>
      </w:hyperlink>
      <w:r>
        <w:rPr>
          <w:rFonts w:ascii="arial" w:eastAsia="arial" w:hAnsi="arial" w:cs="arial"/>
          <w:color w:val="000000"/>
          <w:sz w:val="20"/>
          <w:lang w:val="en-US" w:eastAsia="en-US" w:bidi="ar-SA"/>
        </w:rPr>
        <w:t xml:space="preserve">, Mr. Justice K. Smith discussed the fact that the use of the material-contribution test leads to the finding of a legal, as opposed to a factual, connection between a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harm suffered by a plaintiff: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In the passages from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to which Mr. Ahmad refers, Chief Justice McLachlin, writing for the Court, used the phrase in connection with cases in which it is impossible for the plaintiff to prove a causal link between the breach of duty and the harm, such as where the explication of the causal link is beyond the limits of current scientific knowledge (</w:t>
      </w:r>
      <w:r>
        <w:rPr>
          <w:rFonts w:ascii="arial" w:eastAsia="arial" w:hAnsi="arial" w:cs="arial"/>
          <w:i/>
          <w:color w:val="000000"/>
          <w:sz w:val="20"/>
          <w:lang w:val="en-US" w:eastAsia="en-US" w:bidi="ar-SA"/>
        </w:rPr>
        <w:t>Fairchild v. Glenhaven Funeral Services Ltd.</w:t>
      </w:r>
      <w:r>
        <w:rPr>
          <w:rFonts w:ascii="arial" w:eastAsia="arial" w:hAnsi="arial" w:cs="arial"/>
          <w:color w:val="000000"/>
          <w:sz w:val="20"/>
          <w:lang w:val="en-US" w:eastAsia="en-US" w:bidi="ar-SA"/>
        </w:rPr>
        <w:t xml:space="preserve">, [2002] UKHL 22, [2002] 3 All E.R. 305; </w:t>
      </w:r>
      <w:r>
        <w:rPr>
          <w:rFonts w:ascii="arial" w:eastAsia="arial" w:hAnsi="arial" w:cs="arial"/>
          <w:i/>
          <w:color w:val="000000"/>
          <w:sz w:val="20"/>
          <w:lang w:val="en-US" w:eastAsia="en-US" w:bidi="ar-SA"/>
        </w:rPr>
        <w:t>Barker v. Corus</w:t>
      </w:r>
      <w:r>
        <w:rPr>
          <w:rFonts w:ascii="arial" w:eastAsia="arial" w:hAnsi="arial" w:cs="arial"/>
          <w:color w:val="000000"/>
          <w:sz w:val="20"/>
          <w:lang w:val="en-US" w:eastAsia="en-US" w:bidi="ar-SA"/>
        </w:rPr>
        <w:t xml:space="preserve"> (UK) Plc., [2006] UKHL 20, [2006] 2 A.C. 572 - cases in which the defendants' breach of duty materially increased </w:t>
      </w:r>
      <w:r>
        <w:rPr>
          <w:rFonts w:ascii="arial" w:eastAsia="arial" w:hAnsi="arial" w:cs="arial"/>
          <w:color w:val="000000"/>
          <w:sz w:val="20"/>
          <w:u w:val="single"/>
          <w:lang w:val="en-US" w:eastAsia="en-US" w:bidi="ar-SA"/>
        </w:rPr>
        <w:t>the risk of harm</w:t>
      </w:r>
      <w:r>
        <w:rPr>
          <w:rFonts w:ascii="arial" w:eastAsia="arial" w:hAnsi="arial" w:cs="arial"/>
          <w:color w:val="000000"/>
          <w:sz w:val="20"/>
          <w:lang w:val="en-US" w:eastAsia="en-US" w:bidi="ar-SA"/>
        </w:rPr>
        <w:t xml:space="preserve"> but it was not possible to prove a causal connection to the harm itself); where it is impossible to prove which of two simultaneous acts by two negligent actors caused the loss (</w:t>
      </w:r>
      <w:r>
        <w:rPr>
          <w:rFonts w:ascii="arial" w:eastAsia="arial" w:hAnsi="arial" w:cs="arial"/>
          <w:i/>
          <w:color w:val="000000"/>
          <w:sz w:val="20"/>
          <w:lang w:val="en-US" w:eastAsia="en-US" w:bidi="ar-SA"/>
        </w:rPr>
        <w:t>Cook v. Lewis</w:t>
      </w:r>
      <w:r>
        <w:rPr>
          <w:rFonts w:ascii="arial" w:eastAsia="arial" w:hAnsi="arial" w:cs="arial"/>
          <w:color w:val="000000"/>
          <w:sz w:val="20"/>
          <w:lang w:val="en-US" w:eastAsia="en-US" w:bidi="ar-SA"/>
        </w:rPr>
        <w:t xml:space="preserve">, </w:t>
      </w:r>
      <w:hyperlink r:id="rId782" w:history="1">
        <w:r>
          <w:rPr>
            <w:rFonts w:ascii="arial" w:eastAsia="arial" w:hAnsi="arial" w:cs="arial"/>
            <w:i/>
            <w:color w:val="0077CC"/>
            <w:sz w:val="20"/>
            <w:u w:val="single"/>
            <w:shd w:val="clear" w:color="auto" w:fill="FFFFFF"/>
            <w:lang w:val="en-US" w:eastAsia="en-US" w:bidi="ar-SA"/>
          </w:rPr>
          <w:t>[1951] S.C.R. 830</w:t>
        </w:r>
      </w:hyperlink>
      <w:r>
        <w:rPr>
          <w:rFonts w:ascii="arial" w:eastAsia="arial" w:hAnsi="arial" w:cs="arial"/>
          <w:color w:val="000000"/>
          <w:sz w:val="20"/>
          <w:lang w:val="en-US" w:eastAsia="en-US" w:bidi="ar-SA"/>
        </w:rPr>
        <w:t xml:space="preserve">, </w:t>
      </w:r>
      <w:hyperlink r:id="rId782" w:history="1">
        <w:r>
          <w:rPr>
            <w:rFonts w:ascii="arial" w:eastAsia="arial" w:hAnsi="arial" w:cs="arial"/>
            <w:i/>
            <w:color w:val="0077CC"/>
            <w:sz w:val="20"/>
            <w:u w:val="single"/>
            <w:shd w:val="clear" w:color="auto" w:fill="FFFFFF"/>
            <w:lang w:val="en-US" w:eastAsia="en-US" w:bidi="ar-SA"/>
          </w:rPr>
          <w:t>[1952] 1 D.L.R. 1</w:t>
        </w:r>
      </w:hyperlink>
      <w:r>
        <w:rPr>
          <w:rFonts w:ascii="arial" w:eastAsia="arial" w:hAnsi="arial" w:cs="arial"/>
          <w:color w:val="000000"/>
          <w:sz w:val="20"/>
          <w:lang w:val="en-US" w:eastAsia="en-US" w:bidi="ar-SA"/>
        </w:rPr>
        <w:t>); and where it may be impossible to prove what a third party, whose conduct was a "but for" cause of the loss, would have done absent the defendant's careless conduct (</w:t>
      </w:r>
      <w:r>
        <w:rPr>
          <w:rFonts w:ascii="arial" w:eastAsia="arial" w:hAnsi="arial" w:cs="arial"/>
          <w:i/>
          <w:color w:val="000000"/>
          <w:sz w:val="20"/>
          <w:lang w:val="en-US" w:eastAsia="en-US" w:bidi="ar-SA"/>
        </w:rPr>
        <w:t>Walker Estate v. York Finch General Hospital</w:t>
      </w:r>
      <w:r>
        <w:rPr>
          <w:rFonts w:ascii="arial" w:eastAsia="arial" w:hAnsi="arial" w:cs="arial"/>
          <w:color w:val="000000"/>
          <w:sz w:val="20"/>
          <w:lang w:val="en-US" w:eastAsia="en-US" w:bidi="ar-SA"/>
        </w:rPr>
        <w:t xml:space="preserve">, </w:t>
      </w:r>
      <w:hyperlink r:id="rId773" w:history="1">
        <w:r>
          <w:rPr>
            <w:rFonts w:ascii="arial" w:eastAsia="arial" w:hAnsi="arial" w:cs="arial"/>
            <w:i/>
            <w:color w:val="0077CC"/>
            <w:sz w:val="20"/>
            <w:u w:val="single"/>
            <w:shd w:val="clear" w:color="auto" w:fill="FFFFFF"/>
            <w:lang w:val="en-US" w:eastAsia="en-US" w:bidi="ar-SA"/>
          </w:rPr>
          <w:t>2001 SCC 23</w:t>
        </w:r>
      </w:hyperlink>
      <w:r>
        <w:rPr>
          <w:rFonts w:ascii="arial" w:eastAsia="arial" w:hAnsi="arial" w:cs="arial"/>
          <w:color w:val="000000"/>
          <w:sz w:val="20"/>
          <w:lang w:val="en-US" w:eastAsia="en-US" w:bidi="ar-SA"/>
        </w:rPr>
        <w:t xml:space="preserve">, </w:t>
      </w:r>
      <w:hyperlink r:id="rId773" w:history="1">
        <w:r>
          <w:rPr>
            <w:rFonts w:ascii="arial" w:eastAsia="arial" w:hAnsi="arial" w:cs="arial"/>
            <w:i/>
            <w:color w:val="0077CC"/>
            <w:sz w:val="20"/>
            <w:u w:val="single"/>
            <w:shd w:val="clear" w:color="auto" w:fill="FFFFFF"/>
            <w:lang w:val="en-US" w:eastAsia="en-US" w:bidi="ar-SA"/>
          </w:rPr>
          <w:t>[2001] 1 S.C.R. 647</w:t>
        </w:r>
      </w:hyperlink>
      <w:r>
        <w:rPr>
          <w:rFonts w:ascii="arial" w:eastAsia="arial" w:hAnsi="arial" w:cs="arial"/>
          <w:color w:val="000000"/>
          <w:sz w:val="20"/>
          <w:lang w:val="en-US" w:eastAsia="en-US" w:bidi="ar-SA"/>
        </w:rPr>
        <w:t xml:space="preserve">, </w:t>
      </w:r>
      <w:hyperlink r:id="rId773" w:history="1">
        <w:r>
          <w:rPr>
            <w:rFonts w:ascii="arial" w:eastAsia="arial" w:hAnsi="arial" w:cs="arial"/>
            <w:i/>
            <w:color w:val="0077CC"/>
            <w:sz w:val="20"/>
            <w:u w:val="single"/>
            <w:shd w:val="clear" w:color="auto" w:fill="FFFFFF"/>
            <w:lang w:val="en-US" w:eastAsia="en-US" w:bidi="ar-SA"/>
          </w:rPr>
          <w:t>198 D.L.R. (4th) 193</w:t>
        </w:r>
      </w:hyperlink>
      <w:r>
        <w:rPr>
          <w:rFonts w:ascii="arial" w:eastAsia="arial" w:hAnsi="arial" w:cs="arial"/>
          <w:color w:val="000000"/>
          <w:sz w:val="20"/>
          <w:lang w:val="en-US" w:eastAsia="en-US" w:bidi="ar-SA"/>
        </w:rPr>
        <w:t xml:space="preserve">). As this Court noted in </w:t>
      </w:r>
      <w:r>
        <w:rPr>
          <w:rFonts w:ascii="arial" w:eastAsia="arial" w:hAnsi="arial" w:cs="arial"/>
          <w:i/>
          <w:color w:val="000000"/>
          <w:sz w:val="20"/>
          <w:lang w:val="en-US" w:eastAsia="en-US" w:bidi="ar-SA"/>
        </w:rPr>
        <w:t>Sam v. Wilson</w:t>
      </w:r>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2007 BCCA 622</w:t>
        </w:r>
      </w:hyperlink>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78 B.C.L.R. (4th) 199</w:t>
        </w:r>
      </w:hyperlink>
      <w:r>
        <w:rPr>
          <w:rFonts w:ascii="arial" w:eastAsia="arial" w:hAnsi="arial" w:cs="arial"/>
          <w:color w:val="000000"/>
          <w:sz w:val="20"/>
          <w:lang w:val="en-US" w:eastAsia="en-US" w:bidi="ar-SA"/>
        </w:rPr>
        <w:t xml:space="preserve"> at para. 109, </w:t>
      </w:r>
      <w:hyperlink r:id="rId776" w:history="1">
        <w:r>
          <w:rPr>
            <w:rFonts w:ascii="arial" w:eastAsia="arial" w:hAnsi="arial" w:cs="arial"/>
            <w:i/>
            <w:color w:val="0077CC"/>
            <w:sz w:val="20"/>
            <w:u w:val="single"/>
            <w:shd w:val="clear" w:color="auto" w:fill="FFFFFF"/>
            <w:lang w:val="en-US" w:eastAsia="en-US" w:bidi="ar-SA"/>
          </w:rPr>
          <w:t>249 B.C.A.C. 228</w:t>
        </w:r>
      </w:hyperlink>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this use of "material contribution" does not signify a test of causation at all; rather it is a policy-driven rule of law designed to permit plaintiffs to recover in such cases despite their failure to prove causation. In such cases, plaintiffs are permitted to "jump the evidentiary gap"</w:t>
      </w:r>
      <w:r>
        <w:rPr>
          <w:rFonts w:ascii="arial" w:eastAsia="arial" w:hAnsi="arial" w:cs="arial"/>
          <w:color w:val="000000"/>
          <w:sz w:val="20"/>
          <w:lang w:val="en-US" w:eastAsia="en-US" w:bidi="ar-SA"/>
        </w:rPr>
        <w:t xml:space="preserve">: see "Lords a'leaping evidentiary gaps", (2002) Torts Law Journal 276, and "Cause-in-Fact and the Scope of Liability for Consequences", (2003) 119 L.Q.R. 388, both by Professor Jane Stapleton. </w:t>
      </w:r>
      <w:r>
        <w:rPr>
          <w:rFonts w:ascii="arial" w:eastAsia="arial" w:hAnsi="arial" w:cs="arial"/>
          <w:b/>
          <w:color w:val="000000"/>
          <w:sz w:val="20"/>
          <w:lang w:val="en-US" w:eastAsia="en-US" w:bidi="ar-SA"/>
        </w:rPr>
        <w:t>That is because to deny liability "would offend basic notions of fairness and justice"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para. 25.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[Underlining in original; bold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xml:space="preserve">  Mr. Justice Frankel concludes that resort to the material contribution test discussed in </w:t>
      </w:r>
      <w:r>
        <w:rPr>
          <w:rFonts w:ascii="arial" w:eastAsia="arial" w:hAnsi="arial" w:cs="arial"/>
          <w:i/>
          <w:color w:val="000000"/>
          <w:sz w:val="20"/>
          <w:lang w:val="en-US" w:eastAsia="en-US" w:bidi="ar-SA"/>
        </w:rPr>
        <w:t>Resurfice</w:t>
      </w:r>
      <w:r>
        <w:rPr>
          <w:rFonts w:ascii="arial" w:eastAsia="arial" w:hAnsi="arial" w:cs="arial"/>
          <w:color w:val="000000"/>
          <w:sz w:val="20"/>
          <w:lang w:val="en-US" w:eastAsia="en-US" w:bidi="ar-SA"/>
        </w:rPr>
        <w:t xml:space="preserve"> is appropriate in only two situations: ones involving circular causation and ones involving dependency causation. He says "in all other cases, causation must be determined on the but-for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Frankel J.A. summarizes at paragraph 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In summary, having regard to the over-arching policy that the material-contribution test is available only when a denial of liability under the but-for test would offend basic notions of fairness and justice, I agree with the following statement made by Professor Knutsen in setting out his conclusions (at 187):</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"but for" test rarely fails, and currently only in situations involving circular causation and dependency causation:</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Circular causation involves factual situations where it is impossible for the plaintiff to prove which one of two or more possible tortious causes are the cause of the plaintiff's harm;</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Dependency causation involves factual situations where it is impossible for the plaintiff to prove if a third party would have taken some action in the face of a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such third party's action would have facilitated harm to the plaintiff;</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"but for" test fails, the plaintiff must meet two pre-conditions to utilize the material contribution test for causation:</w:t>
      </w:r>
    </w:p>
    <w:p>
      <w:pPr>
        <w:numPr>
          <w:numId w:val="2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must be impossible for the plaintiff to prove causation (either due to circular or dependency causation); and,</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be able to prove that the defendant breached the standard of care, exposed the plaintiff to an unreasonable risk of injury, and the plaintiff must have suffered that type of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I am of the opinion that the trial evidence establishes that Mr. Ek died as a consequence of ascending with a closed glottis. It is, in my opinion, more likely than not that that is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 manual states that the proper speed for ascending is no faster than 60 feet per minute, and that a slower rate is acceptable and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Mr. Ek was aware of that. In two of the Knowledge Reviews that he completed in 2005, Mr. Ek wrote that the recommended rate of ascent is no faster than 60 feet per minute.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Chapter five of the manual explains that the risks associated with rapid ascents include decompression sickness and insufficient time for the body to eliminate nitrogen.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It appears to me that Mr. Ek's outcome would have been the same whether his ascent with a closed glottis had been rapid or not rapid. The gas expansion in his lungs was a consequence of ascending. Mr. Ek died because the air in his lungs was within a contained area while the ambient air pressure was decreasing.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It may be less likely that a diver will hold his breath during a slow ascent than during a rapid ascent. It is not known whether the rate of Mr. Ek's ascent is related to his glottis being closed on ascent.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It has not been shown that the rate of Mr. Ek's ascent was a reason why his glottis was closed on ascent. Even if it was, it was Mr. Ek, and not Mr. Littler, who initiated the rapid ascent.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There are reasons other than the holding of one's breath why a diver's glottis might close, although the holding of breath is the most common cause of a diver's glottis to close.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If the closing of Mr. Ek's glottis was caused by a reason other than Mr. Ek holding his breath, then it has not been shown that Mr. Littler did anything to cause Mr. Ek's glottis to close.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 have concluded, however, that it is more likely than not that Mr. Ek held his breath for at least a portion of his ascent, and that the holding of his breath caused the injury that led to his demise.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The plaintiff submits that but for Mr. Littler running low on air, Mr. Ek would not have ascended in the manner that he did. He submits that "but for" the low air situation, Mr. Ek would not have died.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xml:space="preserve">  In the alternative, the plaintiff submits that the "material contribution" exception to the basic "but for" test, as explained in </w:t>
      </w:r>
      <w:r>
        <w:rPr>
          <w:rFonts w:ascii="arial" w:eastAsia="arial" w:hAnsi="arial" w:cs="arial"/>
          <w:i/>
          <w:color w:val="000000"/>
          <w:sz w:val="20"/>
          <w:lang w:val="en-US" w:eastAsia="en-US" w:bidi="ar-SA"/>
        </w:rPr>
        <w:t>Resurfice</w:t>
      </w:r>
      <w:r>
        <w:rPr>
          <w:rFonts w:ascii="arial" w:eastAsia="arial" w:hAnsi="arial" w:cs="arial"/>
          <w:color w:val="000000"/>
          <w:sz w:val="20"/>
          <w:lang w:val="en-US" w:eastAsia="en-US" w:bidi="ar-SA"/>
        </w:rPr>
        <w:t xml:space="preserve"> is of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xml:space="preserve">  Chapter 4 of </w:t>
      </w:r>
      <w:r>
        <w:rPr>
          <w:rFonts w:ascii="arial" w:eastAsia="arial" w:hAnsi="arial" w:cs="arial"/>
          <w:i/>
          <w:color w:val="000000"/>
          <w:sz w:val="20"/>
          <w:lang w:val="en-US" w:eastAsia="en-US" w:bidi="ar-SA"/>
        </w:rPr>
        <w:t>Recreation and the Law</w:t>
      </w:r>
      <w:r>
        <w:rPr>
          <w:rFonts w:ascii="arial" w:eastAsia="arial" w:hAnsi="arial" w:cs="arial"/>
          <w:color w:val="000000"/>
          <w:sz w:val="20"/>
          <w:lang w:val="en-US" w:eastAsia="en-US" w:bidi="ar-SA"/>
        </w:rPr>
        <w:t>, Second Edition, (Thomson Canada Ltd., 1997) discusses "Responsibility and Liability" in recreational settings.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The authors begin by saying that everyone involved in recreation has responsibility for his or her own safety. They also say that participants have responsibility for the safety of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xml:space="preserve">  At pages 41 and 42, the authors write this in respect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refers to conduct which involves neglect or a failure to act with the care that would normally be expected in the circumstances.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composed of the following elements: a duty requiring conformity to a certain standard of conduct, failure to conform to this required standard of care, material injury resulting to the interests of the injured person (plaintiff), a reasonable connection between the defendant's conduct and the resulting injury, and the absence of any conduct by the plaintiff limiting his recovering in full for the loss he has suffered by, for example, assuming the risk of the activity or by contributing to his own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objective standard of conduct has evolved which is to act as a </w:t>
      </w:r>
      <w:r>
        <w:rPr>
          <w:rFonts w:ascii="arial" w:eastAsia="arial" w:hAnsi="arial" w:cs="arial"/>
          <w:i/>
          <w:color w:val="000000"/>
          <w:sz w:val="20"/>
          <w:lang w:val="en-US" w:eastAsia="en-US" w:bidi="ar-SA"/>
        </w:rPr>
        <w:t>reasonable person</w:t>
      </w:r>
      <w:r>
        <w:rPr>
          <w:rFonts w:ascii="arial" w:eastAsia="arial" w:hAnsi="arial" w:cs="arial"/>
          <w:color w:val="000000"/>
          <w:sz w:val="20"/>
          <w:lang w:val="en-US" w:eastAsia="en-US" w:bidi="ar-SA"/>
        </w:rPr>
        <w:t xml:space="preserve"> considering all the circumstances of the situation. A reasonable person is presumed to be free from over-apprehension and from over-confidence and is a person of ordinary prudence, able to perceive risk, and has the skill necessary to complete the duties required by the position. People who undertake duties that require special skills or training must have the standard of proficiency required by the activity. Thus, a physical education teacher must have the skills and proficiency of such a teacher rather than those of an untrained member of the public. Similarly, a child is expected to confirm to the standard appropriate for normal children of similar age and experience. A commonly accepted practice or procedure does not necessarily mean that it is a safe practice acceptable to a court of the care that should have been taken in the circumstances.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involves an </w:t>
      </w:r>
      <w:r>
        <w:rPr>
          <w:rFonts w:ascii="arial" w:eastAsia="arial" w:hAnsi="arial" w:cs="arial"/>
          <w:i/>
          <w:color w:val="000000"/>
          <w:sz w:val="20"/>
          <w:lang w:val="en-US" w:eastAsia="en-US" w:bidi="ar-SA"/>
        </w:rPr>
        <w:t>unreasonable</w:t>
      </w:r>
      <w:r>
        <w:rPr>
          <w:rFonts w:ascii="arial" w:eastAsia="arial" w:hAnsi="arial" w:cs="arial"/>
          <w:color w:val="000000"/>
          <w:sz w:val="20"/>
          <w:lang w:val="en-US" w:eastAsia="en-US" w:bidi="ar-SA"/>
        </w:rPr>
        <w:t xml:space="preserve"> risk of harm. Although risk is relative to each person, unreasonable risk is one that would cause a reasonable person to consider the proposed action, the likelihood that harm will result and the kind and amount of such harm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xml:space="preserve">  The plaintiff submits that it is more likely than not that Mr. Ek panicked. She submits that Mr. Littler's actions caused Mr. Ek to panic. The plaintiff points to the array of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she has advanced in submitting that Mr. Littler caused Mr. Ek to ascend as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Ediger,</w:t>
      </w:r>
      <w:r>
        <w:rPr>
          <w:rFonts w:ascii="arial" w:eastAsia="arial" w:hAnsi="arial" w:cs="arial"/>
          <w:color w:val="000000"/>
          <w:sz w:val="20"/>
          <w:lang w:val="en-US" w:eastAsia="en-US" w:bidi="ar-SA"/>
        </w:rPr>
        <w:t xml:space="preserve"> Madam Justice Smith writes this at paragraph 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[67]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determined by the "but for" test. The test requires the plaintiff to prove, on a balance of probabilities,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[68] There are two aspects to the causation inquiry. The first requires the plaintiff to identify the specific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defendant that caused the specific harm to the plaintiff. This is sometimes referred to as the cause-in-fact (i.e., factual causation) of the plaintiff's injuries and requires a substantial connection between the defendant's negligent act and the harm to the plaintiff. The second aspect of the inquiry requires the plaintiff to establish the proximate cause between the defendant's negligent conduct and the plaintiff's loss or harm. This is sometimes referred to as the cause-in-law (i.e., legal causation) and requires the loss or harm caused by the negligent conduct to fall "within the range of that for which it is just to make the defendant responsible" (</w:t>
      </w:r>
      <w:r>
        <w:rPr>
          <w:rFonts w:ascii="arial" w:eastAsia="arial" w:hAnsi="arial" w:cs="arial"/>
          <w:i/>
          <w:color w:val="000000"/>
          <w:sz w:val="20"/>
          <w:lang w:val="en-US" w:eastAsia="en-US" w:bidi="ar-SA"/>
        </w:rPr>
        <w:t>W.V.H. Rogers, Winfield and Jolowicz</w:t>
      </w:r>
      <w:r>
        <w:rPr>
          <w:rFonts w:ascii="arial" w:eastAsia="arial" w:hAnsi="arial" w:cs="arial"/>
          <w:color w:val="000000"/>
          <w:sz w:val="20"/>
          <w:lang w:val="en-US" w:eastAsia="en-US" w:bidi="ar-SA"/>
        </w:rPr>
        <w:t xml:space="preserve"> on Tort, 17th ed. (London: Sweet &amp; Maxwell, 2006) at 6-1. And see: L.N. Klar, Tort Law, 4th ed. (Toronto: Thomson Carswell, 2008) at 428-429). Legal causation defines the limits of a defendant's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Mr. Ek was an experienced and trained diver. It was reasonable of Mr. Littler to act on the basis that Mr. Ek would follow PADI protocol and act reasonably and responsibly having regard to his own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The cause in fact identified at trial is that Mr. Littler did not appropriately monitor his supply of air and that his failure to do that contributed to him encountering low on air and out of air situations. The issue is whether there is cause in law. Is there a proximate cause between that conduct and Mr. Ek's loss and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Mr. Ek had received extensive PADI training in 2005. The training included training as a rescue diver and as an advanced open water diver. It addressed stress. Breathing while diving is the most important principle of diving.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Mr. Ek was aware of the risk of gas expansion on ascent. In my opinion, it was not reasonably foreseeable that a result of Mr. Littler not monitoring his pressure gauge would be that Mr. Ek would ascend while holding his breath.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Mr. Ek ascended with his regulator in his mouth. He had a supply of air in his tank. He had control over his air supply.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xml:space="preserve">  The defendant is liable for specific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 is not liable for non-negligent acts even if they were "factors" in the final outcome of the dive.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For example, the Coast Guard said that a factor in the final outcome of the dive may have been that Mr. Littler's pressure gauge was not functioning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It has not been shown that the gauge was faulty at the start of the dive. It has not been shown that the gauge ought to have been replaced before this dive. It has not been shown that Mr. Littler ought to have known or suspected that the gauge was faulty or might malfunction. I have found that Mr. Littler was not negligent by embarking on this dive with a faulty pressure gauge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xml:space="preserve">  The malfunctioning of Mr. Littler's pressure gauge may have been a factor in the final outcome of the dive. That does not mean Mr. Littler is liable to the plaintiff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because the gauge malfunctioned.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The plaintiff advances allegations that are not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For example, the plaintiff submits that the defendant should have taken further PADI courses before embarking on this dive.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The evidence does not show that Mr. Littler would have learned anything from the advanced open water course or from a refresher course that he did not already know. The evidence does not show that additional training or certification would have made any difference to the outcome of the dive.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I have concluded that nothing that Mr. Littler did after he encountered his low on air situation was negligent. He followed PADI protocol. The protocol contemplates that a low on air diver will make decisions as to options of ascent. Mr. Littler did that. He did not do anything that was out of the ordinary. He did not act unreasonably.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Mr. Munroe said that he could not say Mr. Littler somehow caused Mr. Ek's death. He said, for example, that Mr. Ek's regulator was not wrenched away from him. (Mr. Ek had no water in his lungs.) Mr. Munro said that he could not connect the closing of Mr. Ek's glottis to anything that had occurred before his ascent. He said that there was no reason for Mr. Ek to have ascended rapidly, but even then, Mr. Ek had his regulator in his mouth, and there was no reason for him to hold his breath.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In my opinion, Mr. Littler did not negligently cause Mr. Ek to hold his breath. Mr. Ek was an experienced diver. His breath holding was an unforeseeable event. It was a breach of the "most important rule of scuba diving". Tragically, it appears to have caused his demise.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xml:space="preserve">  The plaintiff submits, in the alternative, that if causation on the basic "but for" test has not been established, and in my opinion it has not been established, that the defendant should be found liable under the "special circumstances" exception to the basic test as explained in </w:t>
      </w:r>
      <w:r>
        <w:rPr>
          <w:rFonts w:ascii="arial" w:eastAsia="arial" w:hAnsi="arial" w:cs="arial"/>
          <w:i/>
          <w:color w:val="000000"/>
          <w:sz w:val="20"/>
          <w:lang w:val="en-US" w:eastAsia="en-US" w:bidi="ar-SA"/>
        </w:rPr>
        <w:t>Resurfice.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The plaintiff submits that "it is impossible to prove specifically what caused Mr. Ek to engage in a rapid ascent or to close his glottis, thereby suffering an intrapulmonary rupture. Mr. Ek is not able to testify and explain the reason for this event occurring."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The plaintiff submits that "we do not know what caused Mr. Ek to rise to the surface rapidly", and "it is beyond the plaintiff's ability to establish the validity of the but-for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The plaintiff submits that the injury therefore falls "within the ambit of the risk created by the defendant's breach", and that the injury is therefore "reasonably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Bohun</w:t>
      </w:r>
      <w:r>
        <w:rPr>
          <w:rFonts w:ascii="arial" w:eastAsia="arial" w:hAnsi="arial" w:cs="arial"/>
          <w:color w:val="000000"/>
          <w:sz w:val="20"/>
          <w:lang w:val="en-US" w:eastAsia="en-US" w:bidi="ar-SA"/>
        </w:rPr>
        <w:t xml:space="preserve">, Kirkpatrick J.A. writes that a plaintiff may not resort to the less stringent "material contribution" test because a plaintiff fails to prove causation on the "but for" analysis. She writes that the causation analysis in </w:t>
      </w:r>
      <w:r>
        <w:rPr>
          <w:rFonts w:ascii="arial" w:eastAsia="arial" w:hAnsi="arial" w:cs="arial"/>
          <w:i/>
          <w:color w:val="000000"/>
          <w:sz w:val="20"/>
          <w:lang w:val="en-US" w:eastAsia="en-US" w:bidi="ar-SA"/>
        </w:rPr>
        <w:t>Bohun</w:t>
      </w:r>
      <w:r>
        <w:rPr>
          <w:rFonts w:ascii="arial" w:eastAsia="arial" w:hAnsi="arial" w:cs="arial"/>
          <w:color w:val="000000"/>
          <w:sz w:val="20"/>
          <w:lang w:val="en-US" w:eastAsia="en-US" w:bidi="ar-SA"/>
        </w:rPr>
        <w:t xml:space="preserve"> ought to have ended when the plaintiff failed to prove "but-for"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Frankel J.A. writes this at paragraph 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However, I do not read </w:t>
      </w:r>
      <w:r>
        <w:rPr>
          <w:rFonts w:ascii="arial" w:eastAsia="arial" w:hAnsi="arial" w:cs="arial"/>
          <w:i/>
          <w:color w:val="000000"/>
          <w:sz w:val="20"/>
          <w:lang w:val="en-US" w:eastAsia="en-US" w:bidi="ar-SA"/>
        </w:rPr>
        <w:t>Resurfice Corp.</w:t>
      </w:r>
      <w:r>
        <w:rPr>
          <w:rFonts w:ascii="arial" w:eastAsia="arial" w:hAnsi="arial" w:cs="arial"/>
          <w:color w:val="000000"/>
          <w:sz w:val="20"/>
          <w:lang w:val="en-US" w:eastAsia="en-US" w:bidi="ar-SA"/>
        </w:rPr>
        <w:t xml:space="preserve"> as supporting resort to the material-contribution test whenever a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materially increased a plaintiff's risk of injury and it is impossible for the plaintiff to prove that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factual cause of the injury. To do so would substantially alter the existing law and would have the effect of displacing but-for as the primary test for determining causation. It is only in exceptional circumstances that resort to the material-contribution test will, as a matter of policy,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The plaintiff seeks to have the defendant found liable for Mr. Ek's death in circumstances where it cannot be shown that the defendant caused Mr. Ek's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Resurfice,</w:t>
      </w:r>
      <w:r>
        <w:rPr>
          <w:rFonts w:ascii="arial" w:eastAsia="arial" w:hAnsi="arial" w:cs="arial"/>
          <w:color w:val="000000"/>
          <w:sz w:val="20"/>
          <w:lang w:val="en-US" w:eastAsia="en-US" w:bidi="ar-SA"/>
        </w:rPr>
        <w:t xml:space="preserve"> McLachlin C.J.C. says that in special circumstances the law recognizes exceptions to the basic "but for" test and applies a "material contribution" test. She says that, broadly speaking, the proper application of the "material contribution" test involves two requirements. She refers to them at paragraph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In my opinion, neither of those two requirements is present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First, the plaintiff has failed to establish liability using the "but-for" test because of a lack of evidence and not because proof is impossible due to factors that are outside the plaintiff's control, such as current limits of scientific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Second, the plaintiff has not shown that the defendant negligently exposed Mr. Ek to an unreasonable risk of injury and that Mr. Ek suffered that form of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The plaintiff refers to conduct that was not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It is not known why Mr. Ek held his breath on ascent. It has not been shown that Mr. Littler negligently caused or materially contributed to Mr. Ek holding his breath on ascent.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In my opinion, there is no reason to hold Mr. Littler liable for losses that it has not been shown that he caused.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The action is dismissed. Unless there is some reason to speak to costs, the defendant is entitled to his costs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S.J. SHABBITS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4" style="position:absolute;z-index:2518476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83"/>
          <w:headerReference w:type="default" r:id="rId784"/>
          <w:footerReference w:type="even" r:id="rId785"/>
          <w:footerReference w:type="default" r:id="rId786"/>
          <w:headerReference w:type="first" r:id="rId787"/>
          <w:footerReference w:type="first" r:id="rId78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89" w:history="1">
        <w:r>
          <w:rPr>
            <w:rFonts w:ascii="arial" w:eastAsia="arial" w:hAnsi="arial" w:cs="arial"/>
            <w:b/>
            <w:bCs/>
            <w:i/>
            <w:color w:val="0077CC"/>
            <w:kern w:val="32"/>
            <w:sz w:val="28"/>
            <w:szCs w:val="32"/>
            <w:u w:val="single"/>
            <w:shd w:val="clear" w:color="auto" w:fill="FFFFFF"/>
            <w:lang w:val="en-US" w:eastAsia="en-US" w:bidi="ar-SA"/>
          </w:rPr>
          <w:t>Foster v. Perry, [2005] B.C.J. No. 1874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Pitfield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6 - 10 and 13 - 15, 2005 (Kamloops).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25,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Chilliwack Registry No. S0012681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1874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90" w:history="1">
        <w:r>
          <w:rPr>
            <w:rFonts w:ascii="arial" w:eastAsia="arial" w:hAnsi="arial" w:cs="arial"/>
            <w:i/>
            <w:color w:val="0077CC"/>
            <w:sz w:val="20"/>
            <w:u w:val="single"/>
            <w:shd w:val="clear" w:color="auto" w:fill="FFFFFF"/>
            <w:lang w:val="en-US" w:eastAsia="en-US" w:bidi="ar-SA"/>
          </w:rPr>
          <w:t>2005 BCSC 1214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90" w:history="1">
        <w:r>
          <w:rPr>
            <w:rFonts w:ascii="arial" w:eastAsia="arial" w:hAnsi="arial" w:cs="arial"/>
            <w:i/>
            <w:color w:val="0077CC"/>
            <w:sz w:val="20"/>
            <w:u w:val="single"/>
            <w:shd w:val="clear" w:color="auto" w:fill="FFFFFF"/>
            <w:lang w:val="en-US" w:eastAsia="en-US" w:bidi="ar-SA"/>
          </w:rPr>
          <w:t>142 A.C.W.S. (3d) 99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Victoria Carla Foster, plaintiff, and Dianne Marie Perry, defendant, and VSA Highway Maintenance Ltd.,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5"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8" w:name="Keywords_36"/>
      <w:bookmarkEnd w:id="238"/>
      <w:r>
        <w:rPr>
          <w:rFonts w:ascii="arial" w:eastAsia="arial" w:hAnsi="arial" w:cs="arial"/>
          <w:b/>
          <w:color w:val="000000"/>
          <w:sz w:val="20"/>
          <w:lang w:val="en-US" w:eastAsia="en-US" w:bidi="ar-SA"/>
        </w:rPr>
        <w:t>Damages — Special damages — Child care — Cost of housekeeping services — Loss of income — Fatal injuries — Funeral expenses — Loss of guidance, care and companionship.</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9" w:name="Case Summary_33"/>
            <w:bookmarkEnd w:id="23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Foster, against the defendant, Perry, for damages sustained as a result of the death of Foster's husband. His death occurred when the fuel tanker truck he was driving exploded upon its collision with Perry's vehicle. Foster was 43-years-old and had two children, aged 12 and eight at the time of the accident. The deceased worked as a short-haul truck driver with a fuel company and worked as many hours as he could. Perry commenced a third party proceeding against VSA Highway Maintenance Ltd., the contractor responsible for winter maintenance of the highway on which the accident occurred. The Worker's Compensation Board had determined that the deceased was a worker in the course of employment at the time of his death.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0" w:name="Holdings of Court_30"/>
            <w:bookmarkEnd w:id="240"/>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found on the evidence that Perry negligently operated her motor vehicle. At the time of the accident her vehicle had rotated across the highway due partly to the slippery conditions but also due to her failure to use four-wheel drive, her failure to add weight to the box of her pickup to increase traction, and her failure to use winter snow tires. Perry's vehicle had crossed the centerline of the highway and she failed to rebut the resulting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Perry had lived in the area for 32 years and was aware of the dangers of winter driving. VSA did not breach its duty of care in maintaining the highway, as it had made a reasonable decision to use sand rather than salt on the highway given the weather conditions. Perry was the only driver to encounter control problems on that day. Damages were assessed at $35,000 per child for the loss of care, guidance, and affection. Damages for loss of inheritance, as the Fosters were consuming most of what the deceased earned, was set at $10,000 and $5,000. The deceased's parents sought an award of economic loss. Though the deceased had provided some assistance to his parents, future assistance was questionable and the loss to the parents was set at $5,000 each. The deceased's annual earning capacity as a short-haul truck driver for the purpose of economic loss was determined to be $62,900. Foster's earning capacity for her newly acquired computer skills was $18,600. Foster's loss was set at $450,000 with a negative contingency of 20 per cent to account for labour market contingencies and possibility of divorce and remarriage. The award for loss of dependency was set at $375,000. The loss to the children was set at $32,500 and $55,000 respectively. For loss of household services the Statistics Canada average was accepted as to the number of hours per week he would have performed. The total damage award for loss of household and childcare services performed by the deceased was $175,000. Special damages of $5,574 were awarded for funeral costs.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1" w:name="Legislation Cited_25"/>
      <w:bookmarkEnd w:id="24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6"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Family Compensation Act,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(Motor Vehicle) Act, </w:t>
      </w:r>
      <w:hyperlink r:id="rId791" w:history="1">
        <w:r>
          <w:rPr>
            <w:rFonts w:ascii="arial" w:eastAsia="arial" w:hAnsi="arial" w:cs="arial"/>
            <w:i/>
            <w:color w:val="0077CC"/>
            <w:sz w:val="20"/>
            <w:u w:val="single"/>
            <w:shd w:val="clear" w:color="auto" w:fill="FFFFFF"/>
            <w:lang w:val="en-US" w:eastAsia="en-US" w:bidi="ar-SA"/>
          </w:rPr>
          <w:t>R.S.B.C. 1996, c. 231, s. 55</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Worker's Compensation Act, R.S.B.C. 1996, c. 492, s. 10(7)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2" w:name="Counsel_35"/>
      <w:bookmarkEnd w:id="24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7" style="position:absolute;z-index:251798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Richard W. McMullan James P. O'Flynn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James A. Horne, Q.C. Tara J. Decker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William S. Dick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3" w:name="Judgment_36"/>
      <w:bookmarkEnd w:id="243"/>
      <w:r>
        <w:pict>
          <v:line id="_x0000_s1208" style="position:absolute;z-index:25184870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4" w:name="PITFIELD J."/>
            <w:bookmarkEnd w:id="244"/>
            <w:r>
              <w:rPr>
                <w:rFonts w:ascii="arial" w:eastAsia="arial" w:hAnsi="arial" w:cs="arial"/>
                <w:b/>
                <w:color w:val="000000"/>
                <w:sz w:val="30"/>
                <w:lang w:val="en-US" w:eastAsia="en-US" w:bidi="ar-SA"/>
              </w:rPr>
              <w:t>PITFIELD J.</w:t>
            </w:r>
          </w:p>
        </w:tc>
      </w:tr>
    </w:tbl>
    <w:p>
      <w:pP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Robert Foster died tragically when the fuel tanker truck he was driving exploded after colliding with a pick-up truck operated by Ms. Dianne Perry. The accident occurred at 9:50 a.m., December 10, 2001, on a section of Highway 6 between New Denver and Nakusp, British Columbia, known as the Roseberry Bluffs. Mr. Foster was 39 years of age. He was survived by his wife, Ms. Victoria Foster, who was then 43, and two children, Lauren and Mitchell, who were 12 and 8 years of age, respectively, at the date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Ms. Foster brings this action for damages pursuant to the Family Compensation Act,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 xml:space="preserve">. She claims that Ms. Perry negligently operated her vehicle in the winter conditions that prevailed at the time of the accident and was its sole cause. Ms. Perry denies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She claims the accident resulted from adverse road conditions which she had no reason to anticipate. She does not allege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Foster.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Perry commenced a third party proceeding against Her Majesty the Queen in Right of the Province of British Columbia and VSA Highway Maintenance Ltd., the contractor responsible, by agreement with the Province, for the winter maintenance of the portion of Highway 6 on which the accident occurred. The action against the Province was dismissed before trial. The third party proceeding against VSA persisted because of Ms. Perry's claim that the company was negligent in maintaining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Workers' Compensation Board has determined that Mr. Foster was a worker in the course of employment at the time of his death. The Board has also determined that VSA was an employer so that any action or conduct by it or its employees that caused or materially contributed to the accident arose out of and in the course of employment for purposes of the Workers Compensation Act, </w:t>
      </w:r>
      <w:r>
        <w:rPr>
          <w:rFonts w:ascii="arial" w:eastAsia="arial" w:hAnsi="arial" w:cs="arial"/>
          <w:i/>
          <w:color w:val="000000"/>
          <w:sz w:val="20"/>
          <w:lang w:val="en-US" w:eastAsia="en-US" w:bidi="ar-SA"/>
        </w:rPr>
        <w:t>R.S.B.C. 1996, c. 492</w:t>
      </w:r>
      <w:r>
        <w:rPr>
          <w:rFonts w:ascii="arial" w:eastAsia="arial" w:hAnsi="arial" w:cs="arial"/>
          <w:color w:val="000000"/>
          <w:sz w:val="20"/>
          <w:lang w:val="en-US" w:eastAsia="en-US" w:bidi="ar-SA"/>
        </w:rPr>
        <w:t xml:space="preserve">. While the Board rulings absolve VSA of liability if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the accident, I am obliged to determine the portion of the damage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VSA or its employees because of s. 10(7) which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10(7) If, in an action brought by a worker or dependant of a worker or by the Board, it is found that the injury, disablement or death, as the case may be, was due partly to a breach of duty of care of one or more employers or workers under this Part, no damages, contributions or indemnity are recoverable for the portion of the loss or damage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that employer or worker; but the portion of the loss or damage caused by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be determined although the employer or worker is not a party to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Foster has filed a provisional claim with the Workers' Compensation Board. In the event she recovers less in this action against Ms. Perry than the value of the benefits that would be payable to her and the children under the Workers Compensation Act, she will be in a position to assert a claim for some or all of those benefits. In the event Ms. Foster is awarded damages against Ms. Perry in excess of the benefits that would be payable to her and the children as survivors of a worker engaged in the course of employment, no benefits will be payable under the Workers Compensation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Counsel applied at trial to have the action against VSA dismissed because it could not be held liable for damages. I granted an order dismissing the claim for damages but declined to dismiss the third party proceeding in its entirety. The fact that the Workers Compensation Act requires a finding and declaration in relation to the portion of the loss or damage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VSA compels me to conclude that VSA should be a party to a proceeding of this kind from the outset and remain so to the end. In that way, relevant and important pre-trial production and discovery procedures will be readily available to the plaintiff and VSA will be bound by the declaration that must be made.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Findings in Relation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Ms. Perry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On all of the evidence that was adduced at trial, I find that Ms. Perry negligently operated her motor vehicle and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the accident. I have reached my conclusions on the following facts as I find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the time of the collision, Ms. Perry's northbound vehicle was in the southbound lane of the highway. At the time of impact, Ms. Perry's vehicle had rotated in a clockwise direction so that the rear of the vehicle was facing uphill with the front pointed approximately 120 degrees relative to the highway centerline northbound. A combination of speed estimated at 75 kph, and lack of traction resulting from the failure to use the four-wheel drive mechanism with which her vehicle was equipped, the use of all-season rather than winter snow tires when not in four-wheel drive, and the failure to add weight to the box of the pick-up in order to improve traction when not in four-wheel drive caused the rear of Ms. Perry's vehicle to yaw on a slippery section of highway, the condition of which was not unusual or abnormal in the vicinity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Foster was proceeding southbound in his tanker truck carrying approximately 17,000 litres of gasoline and diesel. He took evasive action by moving to the right side of the southbound lane in an attempt to avoid the pick-up as he descended Roseberry Bluffs. He was unable to avoid the pick-up and his vehicle struck the left rear panel of the Perry vehicle. The collision caused the pick-up to rotate in a counter-clockwise direction, its momentum causing it to continue to ascend the hill for some distance. Mr. Foster's vehicle struck the right-hand guard rail from which it was deflected into the northbound lane. His vehicle crossed that lane and struck the northbound guard rail whereupon it exploded.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fact that Ms. Perry's vehicle crossed the centerline into the southbound lane raises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operation of her vehicle that she must rebut: Redlack v. Vekved </w:t>
      </w:r>
      <w:hyperlink r:id="rId792" w:history="1">
        <w:r>
          <w:rPr>
            <w:rFonts w:ascii="arial" w:eastAsia="arial" w:hAnsi="arial" w:cs="arial"/>
            <w:i/>
            <w:color w:val="0077CC"/>
            <w:sz w:val="20"/>
            <w:u w:val="single"/>
            <w:shd w:val="clear" w:color="auto" w:fill="FFFFFF"/>
            <w:lang w:val="en-US" w:eastAsia="en-US" w:bidi="ar-SA"/>
          </w:rPr>
          <w:t>(1996), 82 B.C.A.C. 313</w:t>
        </w:r>
      </w:hyperlink>
      <w:r>
        <w:rPr>
          <w:rFonts w:ascii="arial" w:eastAsia="arial" w:hAnsi="arial" w:cs="arial"/>
          <w:color w:val="000000"/>
          <w:sz w:val="20"/>
          <w:lang w:val="en-US" w:eastAsia="en-US" w:bidi="ar-SA"/>
        </w:rPr>
        <w:t xml:space="preserve"> at para. 17. The evidence adduced on behalf of Ms. Perry does not rebut the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Perry has resided in the Slocan Valley where Highway 6 is located for a period of approximately 32 years. She has driven a motor vehicle throughout that period of time. She readily acknowledged that she was familiar with the dangers associated with the operation of a motor vehicle in the winter driving conditions which she knew to be a part of Valley life. The road conditions did not catch Ms. Perry by surprise on December 10, 2001. On that day she intended to pick up a friend in order that they could travel to a winter cabin to prepare for Christmas. Ms. Perry was early for the rendezvous with the result that she drove from her residence in the vicinity of Silverton north to New Denver where she had coffee. Snow accumulation must have been readily observable at the time as snow had been recorded earlier in the morning and may still have been falling as she travelled to New Denver.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After leaving New Denver to travel north to meet her friend, Ms. Perry travelled a portion of highway to which salt had been applied. For reasons which I will explain in due course, the application of salt had softened the compact road surface to a distance of not less than two or three kilometres south of the accident scene. From that point on, compact snow covered with a modest amount of fresh-fallen snow was obvious on the approach to Roseberry Bluffs and the accident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Perry's vehicle was a four-wheel drive equipped with all-season tires represented by the manufacturer, Michelin, as suitable for mud and snow. Ms. Perry knew that all-season tires were different from winter-tread snow tires but she thought that the tires with which her vehicle was equipped were suitable for use in the winter conditions with which she was familiar.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 ordinary course, a snowmobile was loaded in the box of the Perry pick-up. The snowmobile had been removed from the vehicle the day before the accident. No additional weight had been placed in the box of the truck which was therefore empty.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posted speed limit at the accident scene was 80 kph. Ms. Perry estimated that she was driving at approximately 75 kph at the time the rear of her truck began to yaw. Common sense and the evidence of the plaintiff's expert witness, Mr. Leggett, suggest and I find that the yaw was induced by excessive rear-wheel rotation, itself the result of attempting to gain the speed required to propel the vehicle up the slippery Roseberry Bluffs, which resulted in the loss of traction and spinning wheels. I accept the evidence of the expert witness that if Ms. Perry's vehicle had been in four-wheel drive, the yaw would have been avoided on the balance of probabilities. Ms. Perry acknowledged that she could have engaged four-wheel drive while in motion by the flip of a switch, sometimes referred to as engaging four-wheel drive "on the fly".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find that Ms. Perry was negligent in omitting to improve the traction afforded by mud and snow as opposed to winter tires by adding weight over the rear-drive wheels of the pick-up truck and omitting to engage four-wheel drive in order to permit safe vehicle operation at a reduced rate of speed. The omissions required Ms. Perry to drive at a rate of speed that would allow her to ascend Roseberry Bluffs without the loss of traction. The attempt to gain speed and inadequate traction induced yaw.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all respects, Ms. Perry operated her vehicle otherwise than in the reasonably prudent manner to be expected of a driver of her ability having regard for the prevailing road conditions. Ms. Perry's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Findings in Relation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VSA Highway Maintenance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Whether or not VSA was negligent in maintaining Highway 6 to an acceptable level must be determined by reference to its conduct on the day of the accident. Notwithstanding the able submissions of Mr. Horne on behalf of Ms. Perry, the evidence compels me to conclude that VSA did not breach its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VSA was responsible for the winter maintenance of the portion of Highway 6 on which the collision occurred pursuant to a contract with the Province of British Columbia. The introductory portion of the Maintenance Standard incorporated into the contract relates to the application of winter abrasive and de-icing chemicals and provides as follows: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Winter Abrasive and De-Icing Chemical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Maintenance Service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Contractor will perform Winter Abrasive and De-Icing Chemical application as required on Highways to restore surface conditions on the Highways which constitute or have the potential to create an unsafe condition for the travelling public or other Highway users to a safe condition by:</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preventing hazardous, Slippery surface conditions from developing;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eliminating hazardous, Slippery surface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one or more of the following groups of maintenance activities and in accordance with this Maintenance Standard.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Routine Maintenance Services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Contractor will restore surface traction and prevent Slippery surface conditions from occurring on Highway surfaces.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Preventative Maintenance Services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are no Preventative Maintenance Services requirements for Winter Abrasive and De-Icing Chemical application within this Maintenance Standard.</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Annual Maintenance Services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are no Annual Maintenance Services requirements for Winter Abrasive and De-Icing Chemical application within this Maintenance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Section 4(b) of the Standard provides as follows: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Miscellaneous</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Additional winter patrols for inspection of Highway surface conditions will be required to ensure Travelled Lanes are not Slippery. The patrol vehicles will respond to Slippery Highway surfaces by immediately applying Winter Abrasives or De-Icing Chemicals. Slippery conditions or icing may occur at shaded Highway sections, Overpasses and Bridge Decks, particularly at night. Patrol vehicles will be prepared to deal with the conditions when detected, by carrying Winter Abrasive or De-Icing Chemical.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issue to be addressed is not whether VSA breached any term of its contract with the Province. As stated by the Court of Appeal in Mochinski v. Trendline Industries Ltd. </w:t>
      </w:r>
      <w:hyperlink r:id="rId793" w:history="1">
        <w:r>
          <w:rPr>
            <w:rFonts w:ascii="arial" w:eastAsia="arial" w:hAnsi="arial" w:cs="arial"/>
            <w:i/>
            <w:color w:val="0077CC"/>
            <w:sz w:val="20"/>
            <w:u w:val="single"/>
            <w:shd w:val="clear" w:color="auto" w:fill="FFFFFF"/>
            <w:lang w:val="en-US" w:eastAsia="en-US" w:bidi="ar-SA"/>
          </w:rPr>
          <w:t>(1996), 23 B.C.L.R. (3d) 292</w:t>
        </w:r>
      </w:hyperlink>
      <w:r>
        <w:rPr>
          <w:rFonts w:ascii="arial" w:eastAsia="arial" w:hAnsi="arial" w:cs="arial"/>
          <w:color w:val="000000"/>
          <w:sz w:val="20"/>
          <w:lang w:val="en-US" w:eastAsia="en-US" w:bidi="ar-SA"/>
        </w:rPr>
        <w:t xml:space="preserve"> (C.A.), "the correct approach is to examine the question in a wider context and to determine whether, on the facts ..., [VSA] was negligent". In Benoit v. Farrell Estate </w:t>
      </w:r>
      <w:hyperlink r:id="rId794" w:history="1">
        <w:r>
          <w:rPr>
            <w:rFonts w:ascii="arial" w:eastAsia="arial" w:hAnsi="arial" w:cs="arial"/>
            <w:i/>
            <w:color w:val="0077CC"/>
            <w:sz w:val="20"/>
            <w:u w:val="single"/>
            <w:shd w:val="clear" w:color="auto" w:fill="FFFFFF"/>
            <w:lang w:val="en-US" w:eastAsia="en-US" w:bidi="ar-SA"/>
          </w:rPr>
          <w:t>(2004), 27 B.C.L.R. (4th) 226</w:t>
        </w:r>
      </w:hyperlink>
      <w:r>
        <w:rPr>
          <w:rFonts w:ascii="arial" w:eastAsia="arial" w:hAnsi="arial" w:cs="arial"/>
          <w:color w:val="000000"/>
          <w:sz w:val="20"/>
          <w:lang w:val="en-US" w:eastAsia="en-US" w:bidi="ar-SA"/>
        </w:rPr>
        <w:t xml:space="preserve"> (C.A.), the Court of Appeal described the duty of care in the following terms, at para. 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road must be kept in such a reasonable state of repair that those requiring to use it may, exercising ordinary care, travel upon it with safety. What is a reasonable state of repair is a question of fact, depending upon all the surrounding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Steen v. British Columbia (Minister of Transportation and Highways) </w:t>
      </w:r>
      <w:hyperlink r:id="rId795" w:history="1">
        <w:r>
          <w:rPr>
            <w:rFonts w:ascii="arial" w:eastAsia="arial" w:hAnsi="arial" w:cs="arial"/>
            <w:i/>
            <w:color w:val="0077CC"/>
            <w:sz w:val="20"/>
            <w:u w:val="single"/>
            <w:shd w:val="clear" w:color="auto" w:fill="FFFFFF"/>
            <w:lang w:val="en-US" w:eastAsia="en-US" w:bidi="ar-SA"/>
          </w:rPr>
          <w:t>(1999), 64 B.C.L.R. (3d) 111</w:t>
        </w:r>
      </w:hyperlink>
      <w:r>
        <w:rPr>
          <w:rFonts w:ascii="arial" w:eastAsia="arial" w:hAnsi="arial" w:cs="arial"/>
          <w:color w:val="000000"/>
          <w:sz w:val="20"/>
          <w:lang w:val="en-US" w:eastAsia="en-US" w:bidi="ar-SA"/>
        </w:rPr>
        <w:t xml:space="preserve"> (S.C.), Romilly J. cited reasoning of the Federal Court of Appeal in Swanson Estate v. Canada </w:t>
      </w:r>
      <w:r>
        <w:rPr>
          <w:rFonts w:ascii="arial" w:eastAsia="arial" w:hAnsi="arial" w:cs="arial"/>
          <w:i/>
          <w:color w:val="000000"/>
          <w:sz w:val="20"/>
          <w:lang w:val="en-US" w:eastAsia="en-US" w:bidi="ar-SA"/>
        </w:rPr>
        <w:t>(1991), 80 D.L.R. (4th) 741</w:t>
      </w:r>
      <w:r>
        <w:rPr>
          <w:rFonts w:ascii="arial" w:eastAsia="arial" w:hAnsi="arial" w:cs="arial"/>
          <w:color w:val="000000"/>
          <w:sz w:val="20"/>
          <w:lang w:val="en-US" w:eastAsia="en-US" w:bidi="ar-SA"/>
        </w:rPr>
        <w:t xml:space="preserve"> (F.C.A.), in relation to the responsibility of public authorities as follows, at p. 752: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is required of them is that they perform their duties in a reasonably competent way, to behave as would reasonably competent inspectors in similar circumstances, no more and no less. In evaluating their conduct, courts will consider custom and practice, any legislative provisions and any other guidelines that are relevant. The risk of harm and its severity will be balanced against the object and the cost of the remedial measures. In the end, the court must determine whether the employees of the defendant lived up to or departed from the standard of care demanded of them, in the same way as in other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find the following facts in relation to the actions of VSA on December 10,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George Iverson, a VSA shift foreman, arrived at the maintenance yard at approximately 4:30 a.m. on December 10th. Snow had just begun to fall as he got to the yard. He checked the weather forecast for the area which predicted snowfall accumulations of five to ten centimetres. There is insufficient evidence from which one could conclude that VSA knew or ought to have known on the evening of December 9th that exceptional conditions would likely prevail on the morning of December 10th.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Iverson determined that in the circumstances, sand should be applied to the highway. I accept his evidence and that of the plaintiff's expert witness, Mr. Leggett, and find that the application of an abrasive in the form of sand is to be preferred when snowfall accumulations are predicted. Salt should only be used when snow has stopped, it is thought that the snowfall accumulation would not be sufficient to dilute the de-icing capacity of salt thereby increasing the risk of refreezing, or it would be possible to remove the slush created by the de-icing compound by plowing before re-freezing occurs.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Iverson proceeded to plow the highway to the limit of the VSA maintenance territory, some 27.5 kilometres north of New Denver. He instructed Mr. James Hughes, another VSA employee, to plow and sand south on Highway 6 to the limits of the territory some 30 kilometres from New Denver.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Iverson plowed to the northern limit of the VSA territory where he reversed his course, plowing and sanding as he returned. Iverson completed a second circuit because the width of the plow on his vehicle was less than the width of the highway lane itself. He did not want to leave an accumulation of snow at the edge of either lane. I find his decision to complete the second circuit to remove snow from the width of each lane rather than immediately engaging in a salting process was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Iverson returned to the maintenance yard after completing the two circuits. There he met Mr. Ken Simpson, the VSA maintenance supervisor. They discussed the maintenance activities in which they should engage having regard for the observations Iverson had made on his circuits to the north and the prevailing weather conditions. They concluded that they should apply salt to the road as the snow appeared to be tapering or had ceased. Hughes was instructed by radio to begin salting the southern portion of the VSA territory.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Iverson drove his truck to the salt shed located near Silverton, just south of New Denver, and, after loading with salt, proceeded north, salting as he went. He commenced the process at or just before 7:30 a.m. After salting for approximately 10 kilometres, Iverson noted that the spinner did not appear to be dispersing salt on the road surface. He stopped his vehicle to inspect the machinery and determined that the chain mechanism which moves salt from the box to the spinner for dispersal on the road surface had broken. He concluded that he was unable to repair the chain and he returned to the maintenance yard. En route, he inquired over his radio of Hughes's whereabouts and the whereabouts of another employee, Mr. Milton, who was working on Highway 31A, east of Highway 6. Iverson concluded that Hughes was in the best position to continue salting the northern portion of Highway 6 and he instructed him to do so once he had completed salting to the south.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Hughes completed work on his southern route, loaded more salt at Silverton, and proceeded north of New Denver to pick up where Iverson had left off. He did not reach Roseberry Bluffs before the collision involving the Foster and Perry vehicles at approximately 9:50 a.m. December 10th.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Counsel for Ms. Perry claims that VSA and its employees were negligent because they omitted to apply salt in the first instance; allowed Milton to continue working on Highway 31A which was of lesser priority than Highway 6 rather than summoning him to work on Highway 6; failed to warn those driving on the highway in the vicinity of Roseberry Bluffs of the slippery conditions to be encountered there when those conditions had been detected by Simpson who drove by the scene at approximately 9:00 a.m. in the course of inspecting road surfaces in the northern portion of the territory; omitted to have abrasive ready for immediate application from Simpson's patrol vehicle; and omitted to call in additional staff in order to deal with the adverse road conditions. There is no suggestion, nor could there be, that VSA was negligent in the inspection or maintenance of Iverson's vehicle in which the chain mechanism failed. There is no evidence to suggest that VSA was negligent in not having another vehicle available for Iverson's immediate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find that the decision to use sand rather than salt at the outset was reasonable having regard for the forecast and predicted snow accumulations. As it turned out, the actual amount of snow that fell was less than that predicted but the reasonableness of Iverson's decision must be measured with foresight rather than hindsight.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find that the decision to have Hughes continue salting to the north after completing salting to the south rather than calling Milton in from Highway 31A was reasonable having regard for the needs and conditions on Highway 6. No witness testified to the fact that the December 10th conditions were anything other than normal winter conditions to be expected at that time of year in that part of the province. No witness testified that the Roseberry Bluffs portion of the road was unique in the VSA territory or that it required care and attention that was not required by other portions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find that it was reasonable for Iverson to conclude that Hughes could complete salting north from the point where the break-down occurred and that no time advantage would be gained by re-directing Milton to that portion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argument that has greatest appeal, at least on the surface, is the defendant's suggestion that Simpson should have stopped to warn drivers of the slippery conditions at Roseberry Bluffs when he observed the conditions around 9:00 a.m. on December 10th. In the end, that argument must fail for a number of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Simpson, alone in his vehicle, was not in a position to warn drivers both at the top of the hill and at the bottom. It was not his opinion, or that of any other witness, that the conditions at Roseberry Bluffs on the day and at the time in question were anything other than normal winter conditions that required ordinary winter maintenance. Neither Simpson nor any other witness was of the view that the conditions were extraordinary or extreme so that a road closure was justified or required. While there is evidence that vehicles attempting to stop upon approaching the accident scene encountered slippery conditions as did individuals who walked on the highway when approaching the scene, the evidence of other witnesses was that they had driven the Roseberry Bluffs without incident very shortly before the time of the accident. No one using the highway had reported conditions that required immediate attention. Ms. Perry was the only driver to encounter control problems and that for the reasons I have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find that Simpson's vehicle was not a patrol vehicle within the meaning of s. 4(b) of the Maintenance Standard. I accept his evidence that he was travelling the road in a supervisory capacity. It was not his job or duty as area supervisor to drive a vehicle throughout the territory that was capable of applying abrasive or de-icing chemicals to the road surface when icy conditions were detected.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There is evidence that other vehicles owned by VSA were in the shop for repair or maintenance. As I have stated, there is no evidence that VSA or its employees were negligent in the maintenance or servicing of the company's vehicles. Regardless of the manner in which one construes the contractual obligation imposed by s. 4(b) of the Maintenance Standard, there was no vehicle available to perform a general patrol function. That situation did not result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VSA.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sum, I find there was nothing in the conduct of VSA or any of its employees which departed from the standard to be expected of or imposed upon the Province and its agent, the contractor, in relation to the maintenance of Highway 6 in winter conditions. Whether or not VSA was in breach of its contract with the Province by failing to have a patrol vehicle capable of applying abrasive and de-icing materials on the road is a matter between the contractor and the Province. The standard with which I must be concerned is not that imposed by a contractual term but the standard which is to be reasonably expected of the Province, the owner of public highways, which has delegated its responsibility to a contractor, in this case VSA.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the circumstances of this case, it was Ms. Perry who failed to take account of the readily observable prevailing conditions and whose failure caused her vehicle to leave the northbound lane of traffic as she ascended Roseberry Bluffs.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As required by s. 10(7) of the Workers Compensation Act I declare that no portion of the damage or loss resulting from the collision of the Perry and Foster vehicles was caused or materially contributed to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VSA or its employees.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Assessment of Damages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Care, Guidance and Affection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seeks an award of $35,000 for each child under the heading of loss of care, guidance and affection. The defendant suggests that the sum of $25,000 should be awarded to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evolution of what has been termed "the conventional award" under this heading of damages was discussed by C.L. Smith J. in McVea (Guardian ad Litem of) v. T.B. </w:t>
      </w:r>
      <w:hyperlink r:id="rId796" w:history="1">
        <w:r>
          <w:rPr>
            <w:rFonts w:ascii="arial" w:eastAsia="arial" w:hAnsi="arial" w:cs="arial"/>
            <w:i/>
            <w:color w:val="0077CC"/>
            <w:sz w:val="20"/>
            <w:u w:val="single"/>
            <w:shd w:val="clear" w:color="auto" w:fill="FFFFFF"/>
            <w:lang w:val="en-US" w:eastAsia="en-US" w:bidi="ar-SA"/>
          </w:rPr>
          <w:t>(2002), 5 B.C.L.R. (4th) 367</w:t>
        </w:r>
      </w:hyperlink>
      <w:r>
        <w:rPr>
          <w:rFonts w:ascii="arial" w:eastAsia="arial" w:hAnsi="arial" w:cs="arial"/>
          <w:color w:val="000000"/>
          <w:sz w:val="20"/>
          <w:lang w:val="en-US" w:eastAsia="en-US" w:bidi="ar-SA"/>
        </w:rPr>
        <w:t xml:space="preserve"> (S.C.) at paras. 68 - 76. The amount of the award has increased moderately over time to account for inflation. At the same time, as Madam Justice Smith stated, "a qualitative rather than a quantitative measure is the appropriate one but, for good reason, only the roughest measures have been used in the cases". The need for a conventional award results from the fact "that the attributes of a parent and the degree of love and direction he or she gave is difficult to measure precisely": see Bresch (Public Trustee of) v. Mallis (deceased) </w:t>
      </w:r>
      <w:hyperlink r:id="rId797" w:history="1">
        <w:r>
          <w:rPr>
            <w:rFonts w:ascii="arial" w:eastAsia="arial" w:hAnsi="arial" w:cs="arial"/>
            <w:i/>
            <w:color w:val="0077CC"/>
            <w:sz w:val="20"/>
            <w:u w:val="single"/>
            <w:shd w:val="clear" w:color="auto" w:fill="FFFFFF"/>
            <w:lang w:val="en-US" w:eastAsia="en-US" w:bidi="ar-SA"/>
          </w:rPr>
          <w:t>(1996), 29 C.C.L.T. (2d) 160</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evidence indicates that Mr. Foster was a loving, caring, and supportive father who was close to his children. His role as father was important for the two children who were 8 and 12 years of age at the date of his death, and would likely become increasingly so as the children passed through adolescence to become young adults intent upon pursuing, most assuredly in Lauren's case and likely in Mitchell's case too, post secondary education. While the nature of Mr. Foster's work as a long haul driver had limited his time with his children, pre-accident, the pattern had changed although short haul trucking required him to leave home early in the morning and to return, on occasion, in the early to late evening. Throughout his working career, Mr. Foster provided both children with encouragement and support for their endeavours including education and extra-curricular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all of the circumstances, I consider $35,000 to represent a reasonable measure of the conventional award to each child.</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Inheritance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Ms. Foster and her children are entitled to damages reflecting the present value of the inheritance they might reasonably be expected to receive from Mr. Foster but for his premature death. The principle was stated as follows by Viscount Simon in Nance v. British Columbia Electric, </w:t>
      </w:r>
      <w:hyperlink r:id="rId798" w:history="1">
        <w:r>
          <w:rPr>
            <w:rFonts w:ascii="arial" w:eastAsia="arial" w:hAnsi="arial" w:cs="arial"/>
            <w:i/>
            <w:color w:val="0077CC"/>
            <w:sz w:val="20"/>
            <w:u w:val="single"/>
            <w:shd w:val="clear" w:color="auto" w:fill="FFFFFF"/>
            <w:lang w:val="en-US" w:eastAsia="en-US" w:bidi="ar-SA"/>
          </w:rPr>
          <w:t>[1951] 3 D.L.R. 705</w:t>
        </w:r>
      </w:hyperlink>
      <w:r>
        <w:rPr>
          <w:rFonts w:ascii="arial" w:eastAsia="arial" w:hAnsi="arial" w:cs="arial"/>
          <w:color w:val="000000"/>
          <w:sz w:val="20"/>
          <w:lang w:val="en-US" w:eastAsia="en-US" w:bidi="ar-SA"/>
        </w:rPr>
        <w:t xml:space="preserve"> (J.C.P.C.) at 714: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would be proper to award a sum representing such portion of any additional savings which he would or might have accumulated during the period for which, but for his accident, he would have lived, as on his death at the end of this period would probably have accrued to his wife and family by devolution either on his intestacy or under his will, if he made a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Foster owned no assets of any permanent value and had accumulated no savings at the time of his death. The evidence establishes that the Foster family spent all of its disposable income to meet the family's living requirements and was not in a position to set aside any amount as permanent savings. While the pattern might have changed given Mr. Foster's job prospects at the date of his death, the plaintiff did not adduce any evidence with a view to estimating the size of Mr. Foster's estate had he survived for the duration of his normal life expectancy, most likely because any evidence of that kind would have been based on speculation and conjecture.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Fosters rented the home in which they lived. While they had discussed the possibility of purchasing the property, there is little evidence to suggest that their economic circumstances and living pattern would have permitted them to accumulate the down payment that would support the financing required to complete the purchase in the short to medium term. Neither of Mr. Foster's parents testified to their testamentary plans. One cannot and does not know of the extent to which Mr. Foster might have benefited from his parents' estates.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Foster's employer had agreed to match his contribution to a registered retirement savings plan to the extent of $165 annually. Contributions of that amount would have produced a plan balance that would likely have been consumed in daily living on retirement.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and Ms. Foster were contemplating accumulating funds to assist in their children's education. The loss of that potential benefit has been reflected in my assessment of economic dependency.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Given Mr. Foster's income prospects, it would be unreasonable to conclude that he would not endeavour to save something for his and Ms. Foster's retirement and that some residual amount of savings would remain at his death in ordinary circumstances. I anticipate, however, that what might have been accumulated at that time would have passed to Ms. Foster on Mr. Foster's death, had she survived him, to provide for her ongoing support during her lifetime. In all of the circumstances, I conclude that it is most unlikely the children would have inherited an amount from their father on his death in the ordinary course of events that would justify anything other than a nominal award under this heading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assess the present value of Ms. Foster's loss of inheritance at $10,000 and the children's loss at the amount of $5,000 each.</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Parents' Claim for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Foster's parents, Norman and Patricia Foster, claim that they have suffered and will continue to suffer economic loss as a result of their son's death. There is evidence that Mr. Foster assisted his parents in several respects prior to his death. While he provided emotional support, evidence is lacking regarding the extent to which his parents relied on his support as opposed to enjoying the support of all of their children. Mr. Foster helped his parents relocate from Chemainus to Ashcroft. There is a lack of evidence on the question whether the parents will be without such help in the future or whether they will find help from their other adult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evidence supports the conclusion that Mr. Foster was able to work a maximum of 55 hours per week. If he were to do that, as the plaintiff contends he would have done, attend to the household needs to the extent claimed, and provide the guidance, care and attention to Lauren and Mitchell as one would expect, his ability to provide assistance to his parents would be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claims $25,000 as damages for each parent. The defendant says no award is justified. In all of the circumstances, I conclude that a nominal award to Mr. Foster's parents is justified. I assess their loss in the amount of $5,000 each.</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Dependency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parties advance markedly divergent claims in relation to the assessment of damages for loss of economic dependency and loss of household services as summarized in the following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8"/>
        <w:gridCol w:w="1359"/>
        <w:gridCol w:w="1359"/>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Plaintiff</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Defendant</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1255"/>
        <w:gridCol w:w="1568"/>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Victoria Foster</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Dependency</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$471,490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$260,664</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Household Services</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$162,463</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$ 62,340</w:t>
            </w:r>
          </w:p>
        </w:tc>
        <w:tc>
          <w:tcPr>
            <w:tcW w:w="256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3"/>
        <w:gridCol w:w="1359"/>
        <w:gridCol w:w="1673"/>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Lauren Foster</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Dependency</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$ 36,238</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$ 22,739</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Household Services</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$ 20,181</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$ 10,497</w:t>
            </w:r>
          </w:p>
        </w:tc>
        <w:tc>
          <w:tcPr>
            <w:tcW w:w="256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3"/>
        <w:gridCol w:w="1359"/>
        <w:gridCol w:w="2091"/>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Mitchell Foster</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Dependency</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$ 60,282</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$ 35,761</w:t>
            </w:r>
          </w:p>
        </w:tc>
        <w:tc>
          <w:tcPr>
            <w:tcW w:w="215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Household Services</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$ 39,459</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$ 26,373</w:t>
            </w:r>
          </w:p>
        </w:tc>
        <w:tc>
          <w:tcPr>
            <w:tcW w:w="215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15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$790,113</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$418,374</w:t>
            </w:r>
          </w:p>
        </w:tc>
        <w:tc>
          <w:tcPr>
            <w:tcW w:w="215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differences are primarily attributable to competing assessments in relation to Mr. and Ms. Foster's income-earning capacity and appropriate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task in a case such as this is to appropriately assess damages having regard for the particular circumstances. Assessment is not a mechanical or mathematical task. The assessment is intended to compensate claimants for the economic loss resulting from the loss of a spouse and father and therefore must reflect the likely post-accident income-earning capacity of the deceased and a surviving spouse having regard for life expectancy, consider the impact of co-dependency, and make provision for the fact of personal consumption. Once an assessment of the present value of the loss has been made, relevant contingencies must be taken into account and the assessment revised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plaintiff's assessment of Mr. Foster's income-earning capacity is founded on the assumption that he would earn employment income of $67,900 which approximates the average earnings of a senior driver employed by Castle Fuels Inc., by whom Mr. Foster was employed, in 2003 and 2004. The defendant's assumption is that he would have earned $49,000 annually, that being the average of his income in the period 1997 to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the 1997 through 2001 taxation years, Mr. Foster reported employment earnings of $29,040, $44,036, $43,152, $59,118 and $50,598, respectively. He received Workers' Compensation benefits for part of the 1997 year. The character of his employment changed from long haul to short haul driver when he and his family moved to Salmon Arm and he began driving for Spring Fuel Distributors Inc. in December 1999. He began working with Castle Fuels Inc. in October 2001, when that company acquired the Salmon Arm portion of the Spring Fuels Ltd. business. The owner of Spring Fuels had recommended that Castle Fuels employ Mr. Foster.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effect of the change in the nature of Mr. Foster's employment is evident from the increase in earnings in 2000 and 2001 up to his death on December 10th. Mr. Foster earned $7,378.70 in the short time he was employed by Castle Fuels Inc. from November 1st through December 10th, an amount that translates to annual income of approximately $64,000 without accurate allowance for holidays and vacation. Mr. Windsor, Castle Fuels' principal, testified that he anticipated Mr. Foster would have earned $63,500 in 2002, inclusive of taxable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Robert Carson, an expert witness on behalf of the plaintiff, testified that Mr. Foster's employment income averaged $49,000 in the period 1997 through 2001, and approximated $62,900 from November 2003, both estimates reflecting constant 2004 dollars. Mr. Brian Gosling, an expert witness on behalf of the defendant, did not dispute Mr. Carson's assumptions but added a third estimate, namely the average of British Columbia male truck drivers' income in the amount of $42,900.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Plaintiff's counsel submitted that the assessment of Mr. Foster's future earning capacity should reflect Mr. Windsor's testimony that his top drivers earned $67,000 to $68,500 before benefits in 2003 and 2004. Mr. Windsor did not describe the circumstances of those drivers. Defendant's counsel submitted that the assessment should proceed on the basis of maintainable income of $49,000.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do not find either submission compelling. I must be concerned with Mr. Foster's personal earning capacity as reflected in his actual earnings and reasonable adjustments having regard for his individual employment circumstances. Having regard for the average earnings of truck drivers, Mr. Foster appears to have been earning at the top end of the scale. At the least, there is no evidence of opportunities for significant increases in earning capacity. In this case Mr. Foster's historical average earnings do not provide a reliable base from which to predict the future because of injury in 1997 and the material change in employment circumstances in 2000 which significantly increased his income. His actual earnings in 2000 and 2001 were greatly in excess of the 1997-2001 average.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find Mr. Carson's estimate of $62,900 to be the most reliable base from which to assess the impact of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 and the defendant assess Ms. Foster's income-earning capacity from a base of $18,600 and $23,160, respectively. The plaintiff's estimate reflects average earnings of a computer drafting technician, in which area Ms. Foster has training, discounted substantially because of her lack of employment history involving her newly acquired skills and her absence from the work force generally over a considerable period of time. The defendant's estimate proceeds from the same base average but allows a smaller discount in respect of similar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Foster completed a five-month digital mapping and computer drafting course described as "ArcInfo" at Okanagan University College. Her plans to pursue employment engaging her newly acquired skills in the forest industry were deterred by the onset of breast cancer in September 2001. The cancer is presently suppressed. She has not pursued employment in her area of expertise since Mr. Foster's death. I am not persuaded by the evidence that the prospects for employment requiring her skills are good. Since her husband's death, she has been engaged in retail sales at a modest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find that the plaintiff's estimate of her earning potential at $18,600 annually from January 2006 provides the most reasonable base from which to proceed. I proceed with the assessment of damages overall on the basis that Ms. Foster earned no income in the period from the accident to the date of trial. The result flowed from the fact of illness and labour market exigencies rather than the death of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expert witnesses called by the plaintiff and defendant do not differ materially in the method by which they have endeavoured to estimate the loss of dependency. Their principal differences are these: estimated income to be earned by Mr. and Ms. Foster; the effect of delayed entry by Ms. Foster into the employment market; and the effect of taxable and non-taxable employment benefits on the assessment of dependency loss. I have addressed the question of income-earning capacity and need say no more about it. The experts agree that delay in entering the employment market beyond 2004 should increase the assessment of Ms. Foster's dependency loss, and increases in the assessment of her earning capability will reduce her loss. The defendant says that the effect of non wage taxable and non-taxable benefits cannot be fairly assessed because of lack of evidence on the question whether such benefits were included in employment income estimates provided by Castle Fuels Inc., and by the possibility that the procurement of employment by Ms. Foster may provide a substitute for some of the benefits associated with her husband's employment that have been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delay in entering the employment market by 2004 was not indicative of a failure to mitigate. Instead, it resulted from the onset of cancer and the lack of employment opportunities in Salmon Arm. As I have previously stated, it is likely Ms. Foster will begin employment in early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agree with the defendant's observation that on the evidence it is difficult to differentiate between taxable and non-taxable employment benefits and their impact on the earning estimates provided by Mr. Windsor, the principal of Castle Fuels Inc. Moreover, the value of the savings option was conditional upon equal contribution by an employee to the limit of a specified maximum. Having regard for the family's circumstances, I am not confident it was within their means to contribute to the full extent available to them, at least in the near term. In addition, it is possible that some of the benefits that have been lost, particularly in respect of medical and health insurance, will be replaced by Ms. Foster's future employers.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 estimates Ms. Foster's loss at approximately $464,000 before contingencies. The defendant's estimate approximates $396,000. The plaintiff's estimate may over-emphasize the significance of non-wage employment benefits and under-estimate Ms. Foster's income-earning capacity. In all of the circumstances, I conclude that the appropriate measure of Ms. Foster's loss, before taking into account the contingencies of divorce, remarriage and the labour market generally is $450,000.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assessment of dependency loss must reflect contingencies. The possibility of divorce would reduce the loss as would remarriage. There is nothing in the record to indicate that Mr. and Ms. Foster had encountered marriage difficulties indicative of the potential for divorce. Ms. Foster testifies to the fact that remarriage is not in her present contemplation. She is not presently involved in a relationship. The experts express the divorce contingency for a couple such as Mr. and Ms. Foster between 7% and 12% and the remarriage contingency, between 13% and 24%. The plaintiff's expert says no more than a minor labour market contingency is justified in relation to Mr. Foster. The defendant's expert is less optimistic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am satisfied some contingency should be recognized for the possibility of divorce and remarriage as should a contingency in relation to labour market conditions. Mr. Foster was an experienced driver who was able to transport dangerous goods. The evidence of his employer was that he served as a good employee, there was a demand for drivers, and Mr. Foster had the skills required to do the job. At the same time, one cannot lose sight of the fact that changes in the labour market occur, intentions and career aspirations change as health and one's ability to work and the conditions which prevail today may not persist over the longer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all of the circumstances pertaining to Mr. and Ms. Foster, I am satisfied that a negative contingency of approximately 20% adequately accounts for the labour market contingencies and the unpredictable possibility of divorce and remarriage. I assess Ms. Foster's loss of dependency in the amount of $375,000. I will allocate the award between past and future loss by reference to the average of the actual allocations made by Mr. Carson on behalf of the plaintiff and Mr. Gosling on behalf of the defendant. In the result, the award in respect of past loss is $54,900 and that in respect of future loss, $320,100.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Before allowance for contingencies, the plaintiff estimates the dependency loss sustained by Lauren and Mitchell at the amounts of $38,200 and $63,500, respectively, while the defendant estimates the losses at $25,300 and $39,700, respectively. All estimates reflect what I have found to be inappropriate estimates of Mr. and Ms. Foster's income-earning capacity. The plaintiff would apply a 5% labour market contingency while the defendant considers a 10% contingency to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consider an appropriate labour market contingency to be 10% in this family's circumstances. After making allowance for the contingency, I assess the dependency loss sustained by Lauren and Mitchell at the amounts of $32,500 and $55,000, respectively. I allocate $15,900 of Lauren's award to her past loss and $16,600 to her future loss. I allocate $16,500 of Mitchell's award to his past loss and $38,500 to his future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Household and Childcare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Ms. Foster and the children must be compensated for the value of the loss of household services provided to them by Mr. Foster. The children must also be compensated for the value of the loss of childcare services that would have been provided by Mr. Foster had he survived. The awards are not dependent upon the likelihood of replacement cost being incurred. Rather, the award is an attempt to monetize the value of a deceased's contribution to the household: Jung v. Krimmer </w:t>
      </w:r>
      <w:hyperlink r:id="rId799" w:history="1">
        <w:r>
          <w:rPr>
            <w:rFonts w:ascii="arial" w:eastAsia="arial" w:hAnsi="arial" w:cs="arial"/>
            <w:i/>
            <w:color w:val="0077CC"/>
            <w:sz w:val="20"/>
            <w:u w:val="single"/>
            <w:shd w:val="clear" w:color="auto" w:fill="FFFFFF"/>
            <w:lang w:val="en-US" w:eastAsia="en-US" w:bidi="ar-SA"/>
          </w:rPr>
          <w:t>(1987), 15 B.C.L.R. (2d) 90</w:t>
        </w:r>
      </w:hyperlink>
      <w:r>
        <w:rPr>
          <w:rFonts w:ascii="arial" w:eastAsia="arial" w:hAnsi="arial" w:cs="arial"/>
          <w:color w:val="000000"/>
          <w:sz w:val="20"/>
          <w:lang w:val="en-US" w:eastAsia="en-US" w:bidi="ar-SA"/>
        </w:rPr>
        <w:t xml:space="preserve"> (S.C.), varied on other grounds </w:t>
      </w:r>
      <w:hyperlink r:id="rId800" w:history="1">
        <w:r>
          <w:rPr>
            <w:rFonts w:ascii="arial" w:eastAsia="arial" w:hAnsi="arial" w:cs="arial"/>
            <w:i/>
            <w:color w:val="0077CC"/>
            <w:sz w:val="20"/>
            <w:u w:val="single"/>
            <w:shd w:val="clear" w:color="auto" w:fill="FFFFFF"/>
            <w:lang w:val="en-US" w:eastAsia="en-US" w:bidi="ar-SA"/>
          </w:rPr>
          <w:t>(1990), 47 B.C.L.R. (2d) 145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 proposes that the assessment of the value of Mr. Foster's contribution to these activities be derived from Ms. Foster's estimates of the manner in which Mr. Foster spent his time on a daily basis for the benefit of the household. She estimates he spent 2.8 and 1.5 hours per day providing household services and childcare services, respectively. The statistical averages, according to Statistics Canada, are 2.1 and 0.5 hours per day,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am not persuaded that Ms. Foster's estimates are reliable although they represent her effort to recall and classify matters to which she would have given little thought prior to her husband's death. On cross-examination, Ms. Foster acknowledged that some of the services for which she had provided separate entries would be performed in conjunction with other services. Her estimates contain some element of double-counting. In addition, I am mindful of Mr. Windsor's testimony regarding Mr. Foster's usual working day and week. He tended to work the maximum permitted hours. He started work early in the morning, meaning that he was not available to provide household services in the morning. Because he tended to work 12 hour days, he would return to the house in the evening. On occasion he remained on the road overnight. All of these factors lead me to conclude that Mr. Foster did not provide 4.3 hours of household and child care service on a daily basis. I conclude that the Statistics Canada average provides a better base from which to proceed and it is possibly optimistic given Mr. Foster's work pattern, commitment, and responsibilities.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 and defendant experts develop their respective assessments from common, average hourly rates for domestic household service providers and average hourly child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plaintiff's expert acknowledges that some provision must be made for the fact the some of the household services provided by Mr. Foster were of a kind which were principally for his benefit. The defendant's expert agrees. They differ as to the amount of the reduction.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defendant's expert suggests that some productivity gains would be derived by the use of hired specialists where appropriate so that the time estimate should be further reduced to reflect that fact. The plaintiff's expert disagrees. I am of the opinion that no reduction should be made on account of productivity. Were such an allowance to be made, specialist rather than generalist hourly wage rates would have to be used. There is no basis from which to know whether the productivity gain would be less than, equal to, or in excess of the change in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Finally, the defendant's expert claims that adjustment should be included in the assessment to account of the divorce and remarriage contingency. That contingency is similar to that employed in the assessment of the loss of dependency. I find the suggestion to be reasonable although, in the Foster family circumstances, I consider the appropriate contingency adjustment to be less than that employed by the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Without any adjustments for contingencies and personal consumption of the value of household services and using the Statistics Canada averages, Mr. Carson estimates the value of household and child care services provided by Mr. Foster to be the sum of $270,710. If the estimate is adjusted to reflect a personal benefit or exclusive use contingency of 20% and a 10% divorce and remarriage contingency, both of which I regard as reasonable, the estimate would be reduced to the sum of approximately $195,000.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Gosling estimates the value of the household services and childcare loss, adjusted for productivity gains, to be $122,161. His estimate employs a different Statistics Canada average of 1.9 hour per day compared to that of 2.1 hours employed by Mr. Carson on behalf of the plaintiff, a difference of 10%. If, as I suggest is appropriate, Mr. Gosling's estimate is revised to reflect an hourly estimate comparable to that used by Mr. Carson and to eliminate the provision for alleged productivity gains, the Gosling estimate would increase to $154,534. Mr. Gosling's estimate also reflects his view that Mr. Foster's contribution to household services would likely change when children leave the home and fewer services are required for their benefit and when Mr. Foster retires, a view not shared by Mr. Carson. Finally, if provision is made for a 10% divorce and remarriage contingency and a 10% benefit derived by Ms. Foster as she is required to perform fewer household services for Mr. Foster, the Gosling estimate is reduced to approximately $125,173.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am reminded that the task is to assess a fair and reasonable measure of damages and to refrain from any attempt at mathematical precision. The fact is that the future cannot be known and the contribution of a spouse to household and childcare services cannot be determined with any degree of precision. I assess the value of the loss of household and childcare services provided by Mr. Foster at the sum of $175,000, and allocate the amount to Ms. Foster, Lauren and Mitchell in the amounts of $124,250, $16,600 and $34,150, respectively. Of those amounts, the sums of $9,530, $11,920 and $11,920, respectively, represent the losses arising up to the date of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 claims funeral costs of $7,804.99 which have not been paid. Interest of $2,230, computed at a rate in excess of the court order interest rate, is included in the sum. I award special damages of $5,574.99 together with court order interest.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Summary of Damages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awards I have made are summarized in the following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41"/>
        <w:gridCol w:w="1987"/>
        <w:gridCol w:w="1359"/>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Ms. Foster</w:t>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Lauren</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Mitchell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927"/>
        <w:gridCol w:w="1255"/>
        <w:gridCol w:w="1987"/>
        <w:gridCol w:w="1255"/>
        <w:gridCol w:w="3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Inheritance:</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$ 5,000</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$ 5,000</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078"/>
        <w:gridCol w:w="2091"/>
        <w:gridCol w:w="1255"/>
        <w:gridCol w:w="3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Care, Guidance</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and Affection:</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35,000</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35,000</w:t>
            </w:r>
          </w:p>
        </w:tc>
        <w:tc>
          <w:tcPr>
            <w:tcW w:w="297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091"/>
        <w:gridCol w:w="1359"/>
        <w:gridCol w:w="2091"/>
        <w:gridCol w:w="1255"/>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 Dependency:</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54,900</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15,900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16,500</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320,100</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16,600</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38,500</w:t>
            </w:r>
          </w:p>
        </w:tc>
        <w:tc>
          <w:tcPr>
            <w:tcW w:w="297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1359"/>
        <w:gridCol w:w="648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Household</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34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Service:</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34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9,530</w:t>
            </w:r>
          </w:p>
        </w:tc>
        <w:tc>
          <w:tcPr>
            <w:tcW w:w="634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114,720</w:t>
            </w:r>
          </w:p>
        </w:tc>
        <w:tc>
          <w:tcPr>
            <w:tcW w:w="6349"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973"/>
        <w:gridCol w:w="2091"/>
        <w:gridCol w:w="1255"/>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Household and</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Childcare Service:</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11,920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11,920</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4,680</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22,230</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510"/>
        <w:gridCol w:w="1464"/>
        <w:gridCol w:w="64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5,574.99</w:t>
            </w:r>
          </w:p>
        </w:tc>
        <w:tc>
          <w:tcPr>
            <w:tcW w:w="634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2405"/>
        <w:gridCol w:w="2091"/>
        <w:gridCol w:w="1255"/>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$514,824.99</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$89,100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$129,150</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2614"/>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Norman Foster</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Patricia Foster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(father)</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(mother)</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404"/>
        <w:gridCol w:w="1046"/>
        <w:gridCol w:w="2614"/>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Services</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Management Fee, Tax Gross-up, S. 55 Annuity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parties made submissions in relation to a management fee and the appropriate tax gross-up. They also made submissions with respect to the propriety of an order under s. 55 of the Insurance (Motor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I will ask counsel to supplement or revise their submissions in respect of those matters and to provide submissions in relation to costs having regard for the damages I have assessed. The plaintiff shall provide written submissions to the court and counsel for the defendant not later than September 30, 2005. The defendant shall provide the court and counsel for the plaintiff a response not later than 15 business days after receipt of the plaintiff's submission. The plaintiff is at liberty to provide the court and counsel for the defendant with a reply not later than five business days after receipt of the defendant's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PITFIELD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9" style="position:absolute;z-index:251888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01"/>
          <w:headerReference w:type="default" r:id="rId802"/>
          <w:footerReference w:type="even" r:id="rId803"/>
          <w:footerReference w:type="default" r:id="rId804"/>
          <w:headerReference w:type="first" r:id="rId805"/>
          <w:footerReference w:type="first" r:id="rId80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07" w:history="1">
        <w:r>
          <w:rPr>
            <w:rFonts w:ascii="arial" w:eastAsia="arial" w:hAnsi="arial" w:cs="arial"/>
            <w:b/>
            <w:bCs/>
            <w:i/>
            <w:color w:val="0077CC"/>
            <w:kern w:val="32"/>
            <w:sz w:val="28"/>
            <w:szCs w:val="32"/>
            <w:u w:val="single"/>
            <w:shd w:val="clear" w:color="auto" w:fill="FFFFFF"/>
            <w:lang w:val="en-US" w:eastAsia="en-US" w:bidi="ar-SA"/>
          </w:rPr>
          <w:t>Hogstead (Litigation Guardian of) v. Spiers, [2013] B.C.J. No. 883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P.M. Willcock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8-12, 15-16,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April 22,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M110349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883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764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William John Hogstead, by his litigation guardian Denise MacPherson, Plaintiff, and Robert Wallace Spiers, 594009 B.C. Ltd., C. Keay Investments Ltd., C. Keay Investments Ltd. doing business as C. Keay Investments and/or Ocean Trailer Rentals Ltd. and BA Holdings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0"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5" w:name="Keywords_37"/>
      <w:bookmarkEnd w:id="245"/>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Equal apportionment — Application by plaintiff for assessment of liability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in motor vehicle accident — Plaintiff's expert's evidence was accepted that impact of vehicles' wheels occurred with both over centre line of road — Defendant had caused his tractor-trailer to cross over centre line and was presumptively at fault — Defendant had not clearly seen or tried to avoid plaintiff's vehicle — Defendant had not disproved fault — Plaintiff was also presumptively at fault — Liability was apportioned equally.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Liability — Civil 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Application by plaintiff for assessment of liability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in motor vehicle accident — Plaintiff's expert's evidence was accepted that impact of vehicles' wheels occurred with both over centre line of road — Defendant had caused his tractor-trailer to cross over centre line and was presumptively at fault — Defendant had not clearly seen or tried to avoid plaintiff's vehicle — Defendant had not disproved fault — Plaintiff was also presumptively at fault — Liability was apportioned equally.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6" w:name="Case Summary_34"/>
            <w:bookmarkEnd w:id="24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for assessment of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 motor vehicle accident. The primary question was whether the accident had happened when either one, or both of the plaintiff and defendant vehicles had crossed the centre line into the opposing lane. The plaintiff had been driving a pick-up truck westbound on a highway at 7:15 p.m. The defendant had been driving a tractor and trailer eastbound. The plaintiff's truck had been sideswiped by the defendant. Prior to the accident, the plaintiff had been administered a drug at a hospital at 2 p.m., and the records noted he should not drive. The defendant submitted the plaintiff had been impaired. The defendant testified he first saw the plaintiff's truck when it was 100 yards away, that it had moved into his lane when it was 50 metres ahead of him, and although he turned his wheels and moved over, a collision was unavoidable. Two witnesses testified the defendant pulled into the oncoming westbound lane to pass them immediately before the collision; however, one witness had originally stated the passing had occurred by "a lake", which was where a passing lane existed. The second witness stated he had seen the plaintiff's truck and it was in the middle of the westbound lane prior to the collision. The plaintiff's expert stated the vehicles had collided at an angle of about one to three degrees from head-on and put both the wheels of the plaintiff's vehicle and defendant's vehicle over the centre line on the basis of a gouge in the road surface. The defendant's expert stated the plaintiff's truck had been considerably over the centre line and that the defendant's vehicle might have been wholly inside its lane.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7" w:name="Holdings of Court_31"/>
            <w:bookmarkEnd w:id="247"/>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 the cognitive effects of the drug administered were reported to last "several hours", it was not found the drug affected the plaintiff's driving at the time of the accident. There were frailties in the evidence of the witnesses that caused little weight to be given to their testimony. The defendant had passed the witnesses in the passing lane; this was consistent with the evidence of the defendant and the witness's original testimony. The second witness also could not have seen the plaintiff's truck prior to the accident and thus could not say where it was located in the lane. The plaintiff's expert's evidence was accepted as to the gouge in the road, and that the impact of the vehicles' wheels occurred over the centre. The defendant had caused his tractor-trailer to cross over the centre line and was presumptively at fault. The defendant had not clearly seen or tried to avoid the plaintiff's vehicle, and had not recognized that his own vehicle was over the centre line. The defendant had not disproved fault. The plaintiff was also presumptively at fault. Liability was apportioned equally between the parties.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8" w:name="Legislation Cited_26"/>
      <w:bookmarkEnd w:id="24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1"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808" w:history="1">
        <w:r>
          <w:rPr>
            <w:rFonts w:ascii="arial" w:eastAsia="arial" w:hAnsi="arial" w:cs="arial"/>
            <w:i/>
            <w:color w:val="0077CC"/>
            <w:sz w:val="20"/>
            <w:u w:val="single"/>
            <w:shd w:val="clear" w:color="auto" w:fill="FFFFFF"/>
            <w:lang w:val="en-US" w:eastAsia="en-US" w:bidi="ar-SA"/>
          </w:rPr>
          <w:t>RSBC 1996, CHAPTER 318, s. 144</w:t>
        </w:r>
      </w:hyperlink>
      <w:r>
        <w:rPr>
          <w:rFonts w:ascii="arial" w:eastAsia="arial" w:hAnsi="arial" w:cs="arial"/>
          <w:color w:val="000000"/>
          <w:sz w:val="20"/>
          <w:lang w:val="en-US" w:eastAsia="en-US" w:bidi="ar-SA"/>
        </w:rPr>
        <w:t>, s. 150(1) (a), s. 154(1), s. 155(1)(a)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251" w:history="1">
        <w:r>
          <w:rPr>
            <w:rFonts w:ascii="arial" w:eastAsia="arial" w:hAnsi="arial" w:cs="arial"/>
            <w:i/>
            <w:color w:val="0077CC"/>
            <w:sz w:val="20"/>
            <w:u w:val="single"/>
            <w:shd w:val="clear" w:color="auto" w:fill="FFFFFF"/>
            <w:lang w:val="en-US" w:eastAsia="en-US" w:bidi="ar-SA"/>
          </w:rPr>
          <w:t>RSBC 1996, CHAPTER 333, s. 1(2)</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9" w:name="Counsel_36"/>
      <w:bookmarkEnd w:id="24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2" style="position:absolute;z-index:251799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Brian J. Webster, Q.C., Daniel Corrin.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Jeff W. Joudrey.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0" w:name="Judgment_37"/>
      <w:bookmarkEnd w:id="250"/>
      <w:r>
        <w:pict>
          <v:line id="_x0000_s1213" style="position:absolute;z-index:2518497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1" w:name="P.M. WILLCOCK J."/>
            <w:bookmarkEnd w:id="251"/>
            <w:r>
              <w:rPr>
                <w:rFonts w:ascii="arial" w:eastAsia="arial" w:hAnsi="arial" w:cs="arial"/>
                <w:b/>
                <w:color w:val="000000"/>
                <w:sz w:val="30"/>
                <w:lang w:val="en-US" w:eastAsia="en-US" w:bidi="ar-SA"/>
              </w:rPr>
              <w:t>P.M. WILLCOCK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William Hogstead was severely injured when a pickup truck he was driving west on highway 16 sideswiped a tractor and trailer being driven east on the highway by the defendant, Robert Spiers at about 7:15 pm on January 6, 2010. The left side wheels were torn off the plaintiff's vehicle, leaving a gouge on the road at about the point of impact. The plaintiff's pickup truck skidded and spun along the road, coming to a stop in a snow bank on the north side of the road west of the point of the collision, close to the intersection of Highway 16 and Isle Pierre Road. The defendant's truck also left the road, coming to a stop at a point about 100 metres east of the point of impact, also in the snow on the north side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Accident reconstruction experts Messrs. Brown and Gough agree that a crescent-shaped gouge and two other indentations in the road mark the point of first significant impact between the vehicles, that which tore off the front wheel of Mr. Hogstead's pickup. The gouges suggest that at least part of the impact occurred above the centre line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Brown says a crescent shaped gouge on the centrelines of the highway was probably caused by the rim of the pickup's front wheel. If that is the case the most significant contact occurred above the centreline and both vehicles were over the centre of the road at impact and marginally into lane reserved for travel in the opposite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Gough says the gouge on the centreline was probably not caused by the rim of the front wheel. He says the left front wheel of the pickup was probably further into the eastbound lane and the contact between the vehicle tires may have occurred entirely within Mr. Spiers' lane. In coming to this conclusion Mr. Gough relies principally upon:</w:t>
      </w:r>
      <w:r>
        <w:rPr>
          <w:rFonts w:ascii="arial" w:eastAsia="arial" w:hAnsi="arial" w:cs="arial"/>
          <w:sz w:val="20"/>
          <w:lang w:val="en-US" w:eastAsia="en-US" w:bidi="ar-SA"/>
        </w:rPr>
        <w:cr/>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presence of gouges in the road south of the large crescent-shaped gouge over the centreline, suggesting the pickup travelled well into the eastbound lane;</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absence of evidence of evidence on the wheel rim that it came into contact with the asphalt as suggested by Mr. Brown, suggesting it did not cause the crescent-shaped gouge on the centreline; and</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damage to the outside of the tractor's front wheel is limited to its outside rim, suggesting there was little overlap between the wheels of the two vehicles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parties seek to address the question of liability for the accident before assessment of the quantum of damages sustained by Mr. Hogstead. The liability assessment hinges primarily on the resolution of the question where the principal impact occurred. There is some evidence that as Mr. Spiers approached the scene of the accident he was passing in a no-passing zone. There is evidence he had been working long days and was tired. There is evidence that as Mr. Hogstead approached the scene he moved from the shoulder of the highway across his own lane and finally into the eastbound lane. There is evidence he was driving while impaired by medication prescribed for him earlier in the day at Prince George Regional Hospital. The causative role of the errors or omissions of the parties can only be assessed, however, once it is determined where and how the collision occurred. That determination must be made in light of the physical evidence. The recollection of those present at the scene is of some, but limited, value in making the determination because of their restricted ability to make observations in a traumatic circumstances in the dark, and because of frailties of their memories and the passage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Admissions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following facts are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January 6, 2010, at approximately 7:15 pm, a Chevrolet pick-up driven by the plaintiff westbound on Highway 16 and a 2003 Peterbilt tractor/trailer unit driven eastbound on Highway 16 collided.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William John Hogstead was the owner and driver of the 1988 Chevrolet pick-up.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2003 Peterbilt tractor bore British Columbia license plate number P95978, and the attached 2005 Utility Van trailer had a British Columbia license plate number 32492B.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Robert Wallace Spiers was the driver of the tractor at the time of the collision. 594009 BC Ltd was the owner of the tractor. Linda Ann Spiers is the sole director of 594009 BC Ltd. C. Keay and Ocean Trailer were the owners and lessors of the trailer. BA Holdings was the lessee of the trailer.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Highway 16 travels east/west from Prince Rupert to Prince George. The collision occurred approximately 40 kilometers west of Prince George.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the time of the collision, Hogstead was driving west on Highway 16 toward his home in Endako, British Columbia. Spiers was driving east on Highway 16 towards Prince George, where he lived.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Isle Pierre Road intersects with Highway 16 approximately 40 kilometers west of Prince George. Isle Pierre Road starts at Highway 16 and runs north of the highway, so the intersection of Isle Pierre Road and Highway 16 is roughly a T-shaped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the time and location of the collision, it was dark, with some artificial lighting. The ambient temperature was below zero. There were some patches of snow, but the road markings were generally visible. There was snow on the ground at the side of Highway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the time of the collision, the plaintiff was wearing a three-point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Two painted solid yellow lines divide the lanes of travel on Highway 16 at the collision location. The posted speed limit there was 100 kilometers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sustained a brain injury in the collision. As a result of his injuries, he is unable to manage his financial affairs and requires the assistance of a committee. As a result of his injuries, the plaintiff is unable to provide reliable evidence regarding the events of January 6, 2010. I understand that to mean that the plaintiff is capable physically of terrifying, and he would do so, but his evidence is unreliable as he is known to confabulate as a result of his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is an admission that RCMP Traffic Analyst, Staff Sergeant Bill Hudyma (S/Sgt. Hudyma) attended the location of the collision, made observations of the scene and the vehicles there and at the towing yard. His observation notes are marked as Exhibit 5 at trial. They are agreed to be true and accurate observations of the scene and of the vehicles involved in the collision and the collision location. Similarly, the investigation notes made by S/Sgt. Hudyma are admitted as true and accurate. His collision analysis measurement log is also admitted into evidence and agreed to be accurate.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Topography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road at the location of the accident is well-travelled by and familiar to both drivers. Highway 16 is undulating as it approaches the T-intersection of Isle Pierre Road from both directions. The intersection is at the crest of a rise in the road from which the road falls away at a slope of about two degrees in each direction for about a kilometre. As drivers approach, their vision of oncoming vehicles is marginally restricted by the rise. Passing by approaching drivers in each direction is prohibited. There are three streetlights on the south side of the intersection, one at about the middle of Isle Pierre Road and one 50 meters to each side of that light. Mr. Spiers knew the lights to cause some difficulty making out the presence of approaching vehicles 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accident happened in mid-winter, but that does not appear to have been a factor, except for snow covering the sides of the road and, apparently, from the photographs, obscuring fog lines at the road edge. The roads were clear and dry, there was no ice, and no one complains of a lack of control or traction.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William Hogstead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Hogstead has no recollection of the accident and , as mentioned previously, is incompetent to testify. His wife testified to what can be reconstructed of his activities on the day of the accident. Medical records were entered as evidence of the treatment he received earlier in the day at Prince George Regional Hospital. The defendant relied on those medical records and called Dr. James Kennedy, a pharmacologist and toxicologist, to establish that at the time of the accident, Mr. Hogstead was probably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records indicate Mr. Hogstead had a CT arthrogram of his shoulder at about 11:30 am on January 6, 2010. He was discharged soon thereafter, but returned to the hospital at about 1:45 p.m. complaining of chest pain. He was given 2 mg of Ativan intravenously at about 2:00 p.m. After receiving the medication, Mr. Hogstead reported he felt better. He slept for some time. He was dressed and reported that he felt much better at 4:00 p.m. At 4:50 p.m., the records indicate he was discharged, and the records include a note that he ought not to drive. No one was called to say that specific warning had been given to Mr. Hogstead, or in what terms it was given, if it was. He spoke to his wife on leaving the hospital, but did not mention if he had been told not to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absence of any evidence of what occurred on discharge I cannot find that the note " driving" under the heading "Treatment" in an emergency room record is sufficient to establish that Mr. Hogstead was warned specifically not to drive or, if so, for how long. The evidence of impairment was vague, and there was no evidence of actual impairment. Dr. Kennedy testified with respect to the effects of Ativan. He said that, on average, the effects last eight to ten hours. It usually causes cognitive impairment, defined in very non-specific terms by Dr. Kennedy, lasting several hours. The impairment would be most significant in the hours after the administration of the medication. Dr. Kennedy did not specifically say what impairment might have been expected in this case, at 7:00 p.m., five hours after the injection. There is some evidence Mr. Hogstead remained in Prince George shopping and eating until leaving on the drive home. He had driven only 40 km west at the time the accident occurred at 7:15 p.m., suggesting he left Prince George at sometime around 6:30 - 6:45 p.m., almost two hours after his discharge from hospital. On this evidence, I cannot find that Ativan in fact affected Mr. Hogstead's driving.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Robert Spiers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Spiers testified. He was driving a tractor trailer on the night of the accident and is an experienced driver. He began January 6, 2010 in Burns Lake, drove to Terrace, where he made a delivery and had lunch, and was returning to his home in Prince George when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he approached Bednesti, he came upon another vehicle on the road driving slower than the speed at which his cruise control was set, about 100 kph. He followed the vehicle for awhile then, as he neared a passing lane at Tamarac Lake, about four kilometers west of the accident scene, he approached the rear of that other vehicle, intending to signal his intention to pass. He says he passed the vehicle in a passing lane at Tamarac Lake and then continued on at about 100 kph from there to the location of the accident, over about 3 1/2 km of bare, relatively straight highway, with some gradual changes in elevation.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 says he first saw the Hogstead vehicle as it was about 100 yards east of him, in the turn lane for Isle Pierre Road, travelling west at a speed that he estimated at around 60 kph. He says he did not see it earlier because of the rise in the highway at Isle Pierre Road. The oncoming vehicle gradually moved over into the westbound lane of the highway and, when he was about 50 metres away, it moved into his lane. He turned his wheel and believes he moved over on the road by as much as six feet, but could not avoid a collision. He felt his truck jostled, tried to maintain control but could not, and his truck moved across the road, coming to a stop in the snow on the north side of the highway. He knew he had hit a vehicle, but could not see what happened as it passed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When he got out of his truck he saw a car stopped on the south side of the road behind him (as it turns out, the vehicle driven by a witness, McKinley). Seeing no other vehicle, he was uncertain what had occurred and asked the occupants of that vehicle if he had hit something and what had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cross-examination, Mr. Spiers was forthright and honest. He acknowledged he was tired and did not sleep well on the road. He admitted he had worked long days and there was economic pressure to do so. He admitted inaccuracies in his earlier testimony and statements. In my view, he was attempting to testify honestly, but was mistaken or confused about some of the particulars to which he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 acknowledged that he gave a statement to an ICBC adjuster on January 7, 2010, the day after the accident, in which he said that when he first saw Hogstead's vehicle moving toward the centre of the road, he thought Hogstead was changing lanes because one of the two westbound lanes ended. He says that to his surprise, Hogstead simply continued to move across the road into his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cross-examination, he agreed there were not two westbound lanes at the location of the collision. The accident did not happen at a point where two westbound lanes existed, or at a point where they merged or ended. In fact, it happened at a point where a turn lane was emerging from the one westbound lane and the road was widening as it approached Isle Pierre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At trial, Mr. Spiers said the snowploughs had extended the length of the turn lane, however, and although there was no marked or paved lane, that he thought the Hogstead vehicle had been travelling on the shoulder when he first saw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 acknowledged he had spoken to an RCMP officer, Constable Eggen, ten days after the accident on January 16, 2010, and said the Hogstead vehicle had "veered" or "swerved" toward him before the collision, but admitted at trial those were inaccurate words to describe events, and that there was never a sudden or dramatic change in the direction of travel of the Hogstead vehicle. It slowly and steadily moved over into his lane from the moment he first observed it. He attributed the error in that statement to limited vocabulary and a bad choice of words. He acknowledged he told Cst. Eggen he had passed another vehicle about ten miles west of the accident scene and admitted that was a mistake on his part. He is now certain, having revisited the scene, that the pass occurred at Tamarac Lake, about four kilometers from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 acknowledged he spoke to an ICBC adjuster on February 17, 2010. The adjuster's notes of that conversation read, in part:</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said he thought he had his cruise control set &amp; didn't think he was travelling over 105 kph;</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says the posted speed limit there is 100 kph, not 110 kph; -says he never moved out of his lane of travel as he approached the crest of the hill;</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said the witnesses were travelling in the curb lane beside him, and near the crest of the hill the 2 lanes merge into one. the witnesses' lane merges into the def's centre lane; ...</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 said the witnesses could not have seen Hogstead because Hogstead was on the other side of the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Spiers does not believe he told the adjuster the witnesses were travelling in the curb lane beside him as he approached the crest of the hill at Isle Pierre Road, despite the note made by the adjuster. He acknowledges he told the adjuster, as reported, that the witnesses could not have seen Hogstead's vehicle approaching because of the rise in the road. He maintains that is the case. He maintains that he passed the witnesses' vehicle in a passing lane on a hill. The adjuster's notes are consistent with that evidence and only inconsistent with Speirs' evidence insofar as they suggest the passing lane was on the hill leading up to the crest of the highway at Isle Pierre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Either Mr. Spiers' evidence is inconsistent or inaccurate, or the adjuster confounded the two hills, the hill at which Mr. Spiers says he passed the McKinley vehicle at Tamarac Lake, and the hill at Isle Pierre Road. The adjuster was not called to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the whole, Mr. Spiers evidence is relatively consistent. It is, however, at odds with some of the physical evidence. It is unlikely Mr. Spiers first saw the Hogstead vehicle when it was only 100 yards away, unless he was not paying attention. The sightlines, as measured by engineers, provide a much longer opportunity to see approaching vehicles over the crest at Isle Pierre Road. Further, the evidence suggests Mr. Spiers did not move his truck significantly to the right on seeing the Hogstead vehicle before the collision. Last, for reasons set out below, I find it unlikely the collision occurred while the Spiers vehicle was travelling entirely within the eastbound lane of Highway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Denise McKinley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Two independent witnesses, Denise McKinley and Nathan Peters, were travelling east on Highway 16 in a vehicle driven by Ms. McKinley behind the Spiers truck at the time of the collision. Both witnesses were disinterested and, in my view, were also honest witnesses doing their best to assist the court. They were both unhappy with Mr. Spiers' conduct; Ms. McKinley because she thought Mr. Spiers had been tailgating her before passing her; and Mr. Peters because he thought Mr. Spiers callous and disinterested in the injuries suffered by Mr. Hogstead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While I do not believe their testimony was affected by animus, there are frailties in their testimony that cause me to place relatively little weight upon what they say with respect to the most critical issue they address: the position of the Spiers vehicle on the road at the time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McKinley says she first became aware of the truck driven by Mr. Spiers at about Bednesti, about ten kilometers west of the accident scene. It approached her too closely and she accelerated, but still felt uncomfortable as she could not put distance between her car and the truck. It was her evidence at trial that as she was on the hill approaching Isle Pierre Road, the truck that had been following her pulled out into the oncoming westbound lane to pass her. When it was two or three car lengths in front of her, she saw sparks and a cloud of dust ahead of her. She estimated that up to ten seconds passed between the passing of her vehicle and the accident. She is uncertain whether the truck had returned to the eastbound lane when that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She pulled over immediately and was then at a point just east of the intersection of Highway 16 and Isle Pierre Road. She looked back and across the road and saw the wreck of Mr. Hogstead's vehicle. The driver of the tractor trailer approached her vehicle and asked her and her passenger: what had happened, what had he hit. She was frightened and angry that Mr. Spiers appeared to be unaware of what had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cross-examination, she acknowledged she had spoken with an ICBC adjuster on January 7, 2010, the day after the accident. She agrees that she told the adjuster that Mr. Spiers passed her "right by where the little lake is", and that she was not sure if there were two lanes travelling east when he started to pass her. At trial, she agreed the reference to the little lake must have been a reference to what we now know to be Tamarac Lake, where the passing lane is, in fact, located, but she was adamant that her current recollection is correct and that the passing occurred immediately before the accident and not at Tamarac Lake. She would not concede that her current recollection of events is likely to be less reliable than her immediate post-accident recollection.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Nathan Peters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Peters, her passenger, was adamant in his recollection that the passing occurred immediately before the collision. He says the Spiers vehicle came upon the McKinley vehicle as they were coming up on Isle Pierre Road and began to pass as they were very close to the T-intersection. He says the Spiers truck pulled fully into the westbound lane and remained in that lane and was about six car lengths ahead of them when the collision occurred. He is insistent the accident happened when the truck was on the left side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Like Ms. McKinley, he says Spiers asked what had happened after the accident. He says that even after Spiers was told he had hit another vehicle, Spiers walked back to his own truck and appeared to be unconcerned about the welfare of the other driver. That angered Mr. Peters, who had himself lost his mother in a tragic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cross-examination, Mr. Peters disagreed with the suggestion the truck had been behind them since Bednesti. He did not recall a passing lane at Tamarac Lake. He repeated the evidence the truck was on the westbound lane and denied the suggestion the Hogstead pick up was near the centre line. He put it at the middle of its lane of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Weighing all of this evidence, I find the Spiers vehicle to have passed the McKinley vehicle in the passing lane at Tamarac Lake. The evidence supports the conclusion the Spiers vehicle had been following the McKinley vehicle for some distance before coming upon the passing lane at Tamarac Lake. Both McKinley and Spiers say Spiers' intention to pass was apparent by that point. There is no reason, in my view, why an experienced driver would not have used the passing lane at Tamarac Lake when he came upon it. I accept Mr. Spiers' testimony that he did so. I am not troubled by his earlier overestimate of the distance between the passing lane and the scene of the accident. He apparently remembered the pass preceded the accident by some kilometers. His evidence is consistent with some of what McKinley acknowledges she told investigators immediately after the accident, namely, that the pass happened by the little lake. It is likely, in my view, that some details were lost in the adjuster's point-form notes of Mr. Spiers' telephone conversation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McKinley's evidence at trial is not only inconsistent with her earlier statement that the pass occurred at the little lake, but it is also inconsistent with her earlier uncertainty whether the pass began at a point where there were two eastbound lanes (i.e. in a passing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Peter's evidence must be inaccurate, given the physical evidence of where the impact occurred and the path of travel of the Hogstead vehicle thereafter. He could not have been in a position to see the initial point of impact and, therefore, could not say where the Hogstead vehicle was before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find, for the reasons set out below, the collision did not occur wholly in the westbound lane, as Mr. Peters recollects. I accept the evidence of McKinley and Spiers that the Spiers vehicle had been following the McKinley vehicle since Bednesti. I find Mr. Peter's recollection of the appearance and path of travel of the Spiers vehicle to be unreliable. Finding that evidence unreliable, I am unable to place much weight upon it to describe the path of travel of the Spiers vehicle as it approached or at the accident scene. I accept Mr. Spiers' version of events as he approached the McKinley vehicle and passed it at Tamarac Lake. Thereafter, I rely primarily upon the reconstruction of events from the physical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Craig 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Brown, an engineer retained by the plaintiff, initially said the vehicles were travelling in almost precisely opposite directions at impact, but varied his opinion to accept the more specific opinion of Mr. Gough that they collided at an angle of about one to three degrees from head-on. He says while there was incidental contact before the main collision, the principal impact occurred when the left front wheel of the pickup hit the front drive wheel of the tractor. At that point, he says it is probable that the wheel rim of the pickup was driven forcibly down into the pavement, leaving a crescent-shaped gouge on the asphalt. He says the damage to both vehicles is consistent with there being some overlap between the wheel rims of the pickup and the tractor, the extent of which he cannot estimate. He puts the wheels of both the tractor and the pickup over the centre line of the road at the time of impact. Given the size of the trailer relative to the tractor, he says it is probable that the left side of the trailer was over the top of the centre lines and possibly into the westbound lane at the time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Brown was examined at length on the extent of intrusion into the southbound lane of components of the pickup other than the wheel: the bumper and fender and other parts that extend outside the wheel well and beyond the wheel's diameter. That examination was intended to establish that in order for the pickup's front wheel to be over the centre line, other components crossed further into the lane of opposite travel. To a certain extent, the same may be said of the tractor trailer. Some components of the tractor also extend beyond the width of the front drive wheel. The tractor's dented front fender extends beyond the wheel. Further, the trailer is 3.5 inches wider than the tractor on the driver's side. In order for the tractor trailer combination to be entirely within its lane of travel, even the edge of the lead tractor wheel cannot have been over the centre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Brown estimates the pre-accident speed of the Hogstead pickup at 57-74 kph, but given the variables present in this case, he says the vehicle's speedometer may accurately reflect speed at the time of collision. It is stopped at 82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speed estimates for the pickup in this case are very uncertain. The estimate of speed is derived by estimating the force necessary to cause the visible impact damage to the pickup, itself a very rough estimate; by estimating the speed of the Spiers vehicle at impact; by taking into account the reduction in speed caused by the initial minor contact; by considering the subsequent sliding contact on 2 the road and the long skid produced by that contact; and by considering the loss of speed as the truck ran through snow before it came to a halt.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most that can be said, in my view, is that the pickup was probably not exceeding the speed limit and was, in fact, probably substantially below it, but was travelling at least 60 kph.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Jonathan Gough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There is no serious dispute between the experts with respect to vehicle speeds or sightlines at the accident scene. Vehicles approaching each other at the speeds estimated by the experts could see each other for about seven seconds and from a distance of about 350 metres. Nor is there any dispute that the angle of the vehicles at impact in relation to each other was very small.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defence expert engineer, Mr. Gough, also agrees there was minor initial impact, followed by a substantial collision at the point where the front drive wheel of the tractor and the front wheel of the pickup came into contact or, in Mr. Brown's words, "snagged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Gough agrees the drive wheel of the tractor drove the front wheel of the pickup into the ground. This was not a glancing collision, but one which was sufficient to exert significant force on the front wheel of the pickup and downward force. He also agrees there was continuing minor contact between the vehicles as they passed each other in a fraction of a second. He argues, however, that the pickup truck was significantly over the centreline at the time of impact, for the following reasons:</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gouges in the road to the south of the crescent shaped gouge suggest that crescent-shaped gouge does not mark the furthest point of travel of the pickup into the eastbound lane;</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pickup was deflected back into the westbound lanes on impact and was, therefore, probably further into the eastbound lane before the gouges were made;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crescent-shaped gouge was probably not caused by the front wheel rim.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There are distinct gouges to the road surface beside the crescent-shaped gouge, but further into the eastbound lane. Mr. Gough does not hazard a guess as to what caused these marks, other than to say they were probably caused by the lowest component then still attached to the suspension or wheel assembly of the pickup when they were made. The presence of these gouges suggests greater intrusion into the eastbound lanes than evidenced by the gouge on the centre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Gough says that as a result of the relative weights of the vehicles involved, contact between them would have deflected the pickup north on the road. He says that is proven by the lack of significant impact to the truck to the rear of the front drive wheel. That deflection cannot have occurred before the destruction of the pickup's front wheel, as all the evidence points to increasing contact until that major collision between the wheels. Mr. Gough acknowledged the deflection would have been small in the instant between that major impact and the impression of the gouges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Gough says striations in the gouge on the road surface suggest the object that made the mark was travelling northeast from the eastbound lane into the westbound lane (in the direction of travel of the tractor but slightly more northward). 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the mark started within the eastbound lane and was moving back toward the westbound lane, there is no doubt that when the contact occurred, the Hogstead pickup was partially on the wrong side of the centre line. The distance that the pickup was into the eastbound lane would depend on how far it was moved to its right before its first contact to the road surface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However, there is some evidence the striations in the gouge reflect the direction of rotation of the colliding wheels, and Mr. Gough does not suggest there was significant deflection in the instant between impact and the impression of gouges on the road surface. I conclude from this evidence that the gouges mark very closely the point of furthest intrusion into the eastbound lane of the components that made the marks in the road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While he cannot say what made each gouge, Mr. Gough says the gouge over the centre line was probably not caused by the pickup's front wheel rim because:</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other marks further into the eastbound lane;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rim "did not exhibit any abrasions consistent with contact to the road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Given his conclusion that the extent of the intrusion into the eastbound lane was marked by the southern-most gouges in the road surface, and his assessment of the damage to the Spiers tractor, Mr. Gough believes the tractor may have been wholly within its own eastbound lane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His first report contains the bald conclusion, without obvious substantiation, and before Mr. Gouge knew anything about the condition of the pickup's front drive wheel, that: "[t]he Spiers tractor was on its own side of the centre line when contact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his second report Mr. Gough appears to retreat from that bald assertion that the tractor was on its own side of the centreline,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tractor-trailer was certainly close to the centreline, but the available evidence indicates that its drive axle tires were probably on the correct (ie eastbound) side of the centreline when the wheel to wheel engagement occurred. The precise positioning of the tractor is dependent on the extent of the overlap between the tires and what component of the left front suspension of the pickup caused the gouges in the road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His conclusion with respect to the position of the tractor-trailer is, therefore, founded upon:</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conclusion that a component of the suspension other than the tire rim may have caused the crescent-shaped gouge;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view there was minimal overlap (based on the view the pickup wheel struck the outside edge only of the tractor's front drive wheel).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my view, Mr. Gough places undue reliance upon the absence of specific abrasions, with a smearing of asphalt on the wheel rim as proof the rim did not cause the crescent-shaped gouge over the centre line of the highway. Mr. Gough did not examine the rim, nor did anyone else expressly look for abrasions or asphalt on the rim itself, as opposed to examining the limited evidence in post-accident photographs. Abrasions may have been present, but be difficult to identify on the photographs; the rim is severely deformed.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his testimony at trial, Mr. Gough placed some weight on the fact the police did not find any abrasions on the front wheel rim, but acknowledged in cross-examination that they did not appear to have obtained or examined the rim.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Further, there were no abrasions or asphalt smears consistent with the crescent-shaped gouge on other components depicted in the photographs. Mr. Gough could not point to damage to any other component, such as the outer flange of the wheel or the lower suspension arm of the pickup, as evidence that component caused the gouge on the centre line. The absence of evident abrasions on other components is not weighed in his assessment of the probability that those components, as opposed to the wheel rim, caused the gouge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There is some evidence the rim caused the gouge on the centre line. Mr. Gough acknowledged the striations on the crescent shaped gouge were evidence it was made by a component travelling northeast and, therefore, ripped from the pickup, no longer travelling with it. The mark was not, therefore, made by components later found attached to the pickup.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wheel and steering knuckle were ripped from the pickup. Mr. Gough agreed at trial that the crescent-shaped gouge was probably caused by contact between a round or curved surface and the road. The rim of the wheel is, if course, such a surface. Further, it stands to reason that the first major impact would drive the wheel and rim down into the road surface before the suspension or other components.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Turning to the evidence of the extent of overlap, Mr. Gough acknowledged that photographs of the drive wheel of the tractor depicted marks across the width of the tractor's front drive wheel rim, but attributed those marks to damage that occurred after the wheel mounted to that rim deflated on impact and was crushed rearward against the rim.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It is clear that damage was most extensive to the outside edge of the front drive wheel and that there was no damage to the other wheels of the tractor, but the extent of the overlap between the front drive wheel of the tractor and the pickup's front wheel cannot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evidence relied upon most strongly by Mr. Gough in rejecting Mr. Brown's theory of the accident is the appearance of gouges south of the centre line in the eastbound lanes. He expressly says at page 3 of his second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this I disagree with Mr. Brown's conclusion that "the pickup's left front wheel and the tractor's drive wheel were directly above the road's centreline when the wheel to wheel impact occurred".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Responsive Opinion of Mr. 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response to Mr. Gough's second opinion, Mr. Brown says the evidence of continuing contact between the pickup and the tractor suggests the pickup was not deflected significantly to the north by impact. His description of the course of travel of the pickup, as evidenced by marks on the road is persuasive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Brown says because there was evidently wheel-to-wheel contact the tractor drive wheel must have been above the centrelines at the time of impact. He says there is evident damage to the wheel rim consistent with it having been driven into the asphalt, a folding of the wheel flange. The other gouges in the road surface to the south of the crescent-shaped gouge on the centreline may have been caused by the separating steering knuckle that would have been rotating counter-clockwise (viewed from above), in a manner that would have moved it into the eastbound lane from the point of impact.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Assessment of Expert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accept Mr. Brown's view that the continuing contact between the vehicles (and the later movement of the pickup to the south) suggests there was no significant deflection of the pickup northward on the highway after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Gough does not suggest that the pickup moved a significant distance to the north between the time of impact and the impression of the gouge on the highway. As I have said, I find the gouges on the road surface mark very closely the point of furthest intrusion into the eastbound lane of the components that made the marks in the road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accept Mr. Brown's conclusion with respect to the probable cause of the crescent shaped gouge, given the dynamics of the accident, the shape of the gouge and the damage to the rim. That gouge was made by the rim of the pickup's front tire and marks the position of the pickup's front wheel, over the centreline at the time of impact with the 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collision was violent. There is difficulty accounting for the movement of components in the accident, particularly those detached from the pickup. I accept Mr. Brown's opinion that the presence of marks to the south of the crescent-shaped gouge in the road are consistent with the crescent shaped gouge being created by the pickup's tire rim on impact, and were probably caused by other parts detached from the pickup.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therefore accept Mr. Brown's view that the significant contact between the wheels of the colliding vehicles occurred over the centreline.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By implication the edge of the tractor was at least over the centrelines of the road and the trailer was probably intruding into the westbound lane at the time of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It is in light of those findings of fact: that Mr. Spiers passed the McKinley vehicle on the hill at Tamarac Lake and completed the pass before the accident; and that both vehicles crossed the centreline at the time of the collision that I must address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Applicable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 says the defendant was speeding or driving too fast for the prevailing road conditions and that he passed the McKinley vehicle when it was unsafe to do so. There is no evidence the defendant was speeding and no basis to find he was driving at a speed that was unsafe in the circumstances. I have found as a fact he did not pass when it was unsafe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fundamental case against the plaintiff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basis for the allegation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that each driver ought to have kept his vehicle on the right side of the road and/ or to control it in such a manner as to avoid an impending collision. Driving while fatigued or impaired is only causative of damages if it can be said that fatigue or impairment caused a driver to fail to keep his vehicle under control and where it ought to be, or to fail to react in a timely manner to other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There is a statutory obligation to drive with care and with due consideration for other drivers, set out in s. 144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144 (1) A person must not drive a motor vehicle on a highway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Of course, there is a statutory obligation to drive on the right side of the road and, in particular on the right side of a double line on a highway, as set out in the following sections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150 (1) The driver of a vehicle must confine the course of the vehicle to the right hand half of the roadway if the roadway is of sufficient width and it is practicable to do so, except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overtaking and passing a vehicle proceeding in the same direction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154 (1) The driver of a vehicle must drive the vehicle on the right hand side of the roadway when meeting another vehicle that is moving.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155 (1) Despite anything in this Part, if a highway is marked with</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solid double line, the driver of a vehicle must drive it to the right of the line only,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Drivers must move their vehicles as far right as is safe within their respective portions of the travelled portion of the highway when approaching other vehicles. As this court held in </w:t>
      </w:r>
      <w:r>
        <w:rPr>
          <w:rFonts w:ascii="arial" w:eastAsia="arial" w:hAnsi="arial" w:cs="arial"/>
          <w:i/>
          <w:color w:val="000000"/>
          <w:sz w:val="20"/>
          <w:lang w:val="en-US" w:eastAsia="en-US" w:bidi="ar-SA"/>
        </w:rPr>
        <w:t>Wellington v. Hopkins</w:t>
      </w:r>
      <w:r>
        <w:rPr>
          <w:rFonts w:ascii="arial" w:eastAsia="arial" w:hAnsi="arial" w:cs="arial"/>
          <w:color w:val="000000"/>
          <w:sz w:val="20"/>
          <w:lang w:val="en-US" w:eastAsia="en-US" w:bidi="ar-SA"/>
        </w:rPr>
        <w:t xml:space="preserve">, </w:t>
      </w:r>
      <w:hyperlink r:id="rId809" w:history="1">
        <w:r>
          <w:rPr>
            <w:rFonts w:ascii="arial" w:eastAsia="arial" w:hAnsi="arial" w:cs="arial"/>
            <w:i/>
            <w:color w:val="0077CC"/>
            <w:sz w:val="20"/>
            <w:u w:val="single"/>
            <w:shd w:val="clear" w:color="auto" w:fill="FFFFFF"/>
            <w:lang w:val="en-US" w:eastAsia="en-US" w:bidi="ar-SA"/>
          </w:rPr>
          <w:t>2000 BCSC 1072</w:t>
        </w:r>
      </w:hyperlink>
      <w:r>
        <w:rPr>
          <w:rFonts w:ascii="arial" w:eastAsia="arial" w:hAnsi="arial" w:cs="arial"/>
          <w:color w:val="000000"/>
          <w:sz w:val="20"/>
          <w:lang w:val="en-US" w:eastAsia="en-US" w:bidi="ar-SA"/>
        </w:rPr>
        <w:t xml:space="preserve"> at para 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obligation which was imposed on both Mr. Wellington and Mr. Hopkins was to remain on the right half of the travelled portion of Highway 97 that day and to move their vehicles as far right as was safe within their respective portions of the travelled portion of the highway when they were approaching other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driver of a vehicle meeting another vehicle on a highway has a statutory and common law duty to allow to the other driver one half of the road free: As Hunter J. of this court held in </w:t>
      </w:r>
      <w:r>
        <w:rPr>
          <w:rFonts w:ascii="arial" w:eastAsia="arial" w:hAnsi="arial" w:cs="arial"/>
          <w:i/>
          <w:color w:val="000000"/>
          <w:sz w:val="20"/>
          <w:lang w:val="en-US" w:eastAsia="en-US" w:bidi="ar-SA"/>
        </w:rPr>
        <w:t>Dagneault v. Interior Roads Ltd.</w:t>
      </w:r>
      <w:r>
        <w:rPr>
          <w:rFonts w:ascii="arial" w:eastAsia="arial" w:hAnsi="arial" w:cs="arial"/>
          <w:color w:val="000000"/>
          <w:sz w:val="20"/>
          <w:lang w:val="en-US" w:eastAsia="en-US" w:bidi="ar-SA"/>
        </w:rPr>
        <w:t xml:space="preserve">, </w:t>
      </w:r>
      <w:hyperlink r:id="rId810" w:history="1">
        <w:r>
          <w:rPr>
            <w:rFonts w:ascii="arial" w:eastAsia="arial" w:hAnsi="arial" w:cs="arial"/>
            <w:i/>
            <w:color w:val="0077CC"/>
            <w:sz w:val="20"/>
            <w:u w:val="single"/>
            <w:shd w:val="clear" w:color="auto" w:fill="FFFFFF"/>
            <w:lang w:val="en-US" w:eastAsia="en-US" w:bidi="ar-SA"/>
          </w:rPr>
          <w:t>[1993] B.C.J. No. 1112</w:t>
        </w:r>
      </w:hyperlink>
      <w:r>
        <w:rPr>
          <w:rFonts w:ascii="arial" w:eastAsia="arial" w:hAnsi="arial" w:cs="arial"/>
          <w:color w:val="000000"/>
          <w:sz w:val="20"/>
          <w:lang w:val="en-US" w:eastAsia="en-US" w:bidi="ar-SA"/>
        </w:rPr>
        <w:t xml:space="preserve"> (S.C.) at para. 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driver of a vehicle meeting another vehicle on a highway has a duty under s. 156(1)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R.S.B.C. 1979, c. 288 and there is a similar duty at common law, to allow to the other driver one half of the road free; and a breach of that duty, occasioning damage, will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such driver, casting upon him the onus of explaining how the accident may have occurred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Gauthier &amp; Co.</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R.</w:t>
      </w:r>
      <w:r>
        <w:rPr>
          <w:rFonts w:ascii="arial" w:eastAsia="arial" w:hAnsi="arial" w:cs="arial"/>
          <w:color w:val="000000"/>
          <w:sz w:val="20"/>
          <w:lang w:val="en-US" w:eastAsia="en-US" w:bidi="ar-SA"/>
        </w:rPr>
        <w:t xml:space="preserve">, </w:t>
      </w:r>
      <w:hyperlink r:id="rId811" w:history="1">
        <w:r>
          <w:rPr>
            <w:rFonts w:ascii="arial" w:eastAsia="arial" w:hAnsi="arial" w:cs="arial"/>
            <w:i/>
            <w:color w:val="0077CC"/>
            <w:sz w:val="20"/>
            <w:u w:val="single"/>
            <w:shd w:val="clear" w:color="auto" w:fill="FFFFFF"/>
            <w:lang w:val="en-US" w:eastAsia="en-US" w:bidi="ar-SA"/>
          </w:rPr>
          <w:t>[1945] S.C.R. 143</w:t>
        </w:r>
      </w:hyperlink>
      <w:r>
        <w:rPr>
          <w:rFonts w:ascii="arial" w:eastAsia="arial" w:hAnsi="arial" w:cs="arial"/>
          <w:color w:val="000000"/>
          <w:sz w:val="20"/>
          <w:lang w:val="en-US" w:eastAsia="en-US" w:bidi="ar-SA"/>
        </w:rPr>
        <w:t xml:space="preserve"> (S.C.C.)).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presence of a vehicle in an oncoming traffic lane is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Consequently, an onus is placed on the operator of that vehicle to produce an explanation equally consistent with the absence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Here, both parties rely on </w:t>
      </w:r>
      <w:r>
        <w:rPr>
          <w:rFonts w:ascii="arial" w:eastAsia="arial" w:hAnsi="arial" w:cs="arial"/>
          <w:i/>
          <w:color w:val="000000"/>
          <w:sz w:val="20"/>
          <w:lang w:val="en-US" w:eastAsia="en-US" w:bidi="ar-SA"/>
        </w:rPr>
        <w:t>Gauthier</w:t>
      </w:r>
      <w:r>
        <w:rPr>
          <w:rFonts w:ascii="arial" w:eastAsia="arial" w:hAnsi="arial" w:cs="arial"/>
          <w:color w:val="000000"/>
          <w:sz w:val="20"/>
          <w:lang w:val="en-US" w:eastAsia="en-US" w:bidi="ar-SA"/>
        </w:rPr>
        <w:t xml:space="preserve">. The plaintiff also relies on </w:t>
      </w:r>
      <w:r>
        <w:rPr>
          <w:rFonts w:ascii="arial" w:eastAsia="arial" w:hAnsi="arial" w:cs="arial"/>
          <w:i/>
          <w:color w:val="000000"/>
          <w:sz w:val="20"/>
          <w:lang w:val="en-US" w:eastAsia="en-US" w:bidi="ar-SA"/>
        </w:rPr>
        <w:t>Wagstaff v. Johnston,</w:t>
      </w:r>
      <w:r>
        <w:rPr>
          <w:rFonts w:ascii="arial" w:eastAsia="arial" w:hAnsi="arial" w:cs="arial"/>
          <w:color w:val="000000"/>
          <w:sz w:val="20"/>
          <w:lang w:val="en-US" w:eastAsia="en-US" w:bidi="ar-SA"/>
        </w:rPr>
        <w:t xml:space="preserve"> </w:t>
      </w:r>
      <w:hyperlink r:id="rId812" w:history="1">
        <w:r>
          <w:rPr>
            <w:rFonts w:ascii="arial" w:eastAsia="arial" w:hAnsi="arial" w:cs="arial"/>
            <w:i/>
            <w:color w:val="0077CC"/>
            <w:sz w:val="20"/>
            <w:u w:val="single"/>
            <w:shd w:val="clear" w:color="auto" w:fill="FFFFFF"/>
            <w:lang w:val="en-US" w:eastAsia="en-US" w:bidi="ar-SA"/>
          </w:rPr>
          <w:t>2001 BCSC 1375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Buksh v. Franco</w:t>
      </w:r>
      <w:r>
        <w:rPr>
          <w:rFonts w:ascii="arial" w:eastAsia="arial" w:hAnsi="arial" w:cs="arial"/>
          <w:color w:val="000000"/>
          <w:sz w:val="20"/>
          <w:lang w:val="en-US" w:eastAsia="en-US" w:bidi="ar-SA"/>
        </w:rPr>
        <w:t xml:space="preserve">, </w:t>
      </w:r>
      <w:hyperlink r:id="rId813" w:history="1">
        <w:r>
          <w:rPr>
            <w:rFonts w:ascii="arial" w:eastAsia="arial" w:hAnsi="arial" w:cs="arial"/>
            <w:i/>
            <w:color w:val="0077CC"/>
            <w:sz w:val="20"/>
            <w:u w:val="single"/>
            <w:shd w:val="clear" w:color="auto" w:fill="FFFFFF"/>
            <w:lang w:val="en-US" w:eastAsia="en-US" w:bidi="ar-SA"/>
          </w:rPr>
          <w:t>[1995] B.C.J. No. 1331</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 driver who cannot explain his presence on the wrong side of the centre line is "presumptively at fault": See</w:t>
      </w:r>
      <w:r>
        <w:rPr>
          <w:rFonts w:ascii="arial" w:eastAsia="arial" w:hAnsi="arial" w:cs="arial"/>
          <w:i/>
          <w:color w:val="000000"/>
          <w:sz w:val="20"/>
          <w:lang w:val="en-US" w:eastAsia="en-US" w:bidi="ar-SA"/>
        </w:rPr>
        <w:t xml:space="preserve"> Fuller v. Schaff</w:t>
      </w:r>
      <w:r>
        <w:rPr>
          <w:rFonts w:ascii="arial" w:eastAsia="arial" w:hAnsi="arial" w:cs="arial"/>
          <w:color w:val="000000"/>
          <w:sz w:val="20"/>
          <w:lang w:val="en-US" w:eastAsia="en-US" w:bidi="ar-SA"/>
        </w:rPr>
        <w:t xml:space="preserve">, </w:t>
      </w:r>
      <w:hyperlink r:id="rId814" w:history="1">
        <w:r>
          <w:rPr>
            <w:rFonts w:ascii="arial" w:eastAsia="arial" w:hAnsi="arial" w:cs="arial"/>
            <w:i/>
            <w:color w:val="0077CC"/>
            <w:sz w:val="20"/>
            <w:u w:val="single"/>
            <w:shd w:val="clear" w:color="auto" w:fill="FFFFFF"/>
            <w:lang w:val="en-US" w:eastAsia="en-US" w:bidi="ar-SA"/>
          </w:rPr>
          <w:t>2009 YKSC 23</w:t>
        </w:r>
      </w:hyperlink>
      <w:r>
        <w:rPr>
          <w:rFonts w:ascii="arial" w:eastAsia="arial" w:hAnsi="arial" w:cs="arial"/>
          <w:color w:val="000000"/>
          <w:sz w:val="20"/>
          <w:lang w:val="en-US" w:eastAsia="en-US" w:bidi="ar-SA"/>
        </w:rPr>
        <w:t xml:space="preserve"> at para. 12; </w:t>
      </w:r>
      <w:r>
        <w:rPr>
          <w:rFonts w:ascii="arial" w:eastAsia="arial" w:hAnsi="arial" w:cs="arial"/>
          <w:i/>
          <w:color w:val="000000"/>
          <w:sz w:val="20"/>
          <w:lang w:val="en-US" w:eastAsia="en-US" w:bidi="ar-SA"/>
        </w:rPr>
        <w:t>Doucet v. Parente</w:t>
      </w:r>
      <w:r>
        <w:rPr>
          <w:rFonts w:ascii="arial" w:eastAsia="arial" w:hAnsi="arial" w:cs="arial"/>
          <w:color w:val="000000"/>
          <w:sz w:val="20"/>
          <w:lang w:val="en-US" w:eastAsia="en-US" w:bidi="ar-SA"/>
        </w:rPr>
        <w:t xml:space="preserve"> </w:t>
      </w:r>
      <w:hyperlink r:id="rId815" w:history="1">
        <w:r>
          <w:rPr>
            <w:rFonts w:ascii="arial" w:eastAsia="arial" w:hAnsi="arial" w:cs="arial"/>
            <w:i/>
            <w:color w:val="0077CC"/>
            <w:sz w:val="20"/>
            <w:u w:val="single"/>
            <w:shd w:val="clear" w:color="auto" w:fill="FFFFFF"/>
            <w:lang w:val="en-US" w:eastAsia="en-US" w:bidi="ar-SA"/>
          </w:rPr>
          <w:t>(1988), 26 B.C.L.R. (2d) 153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plaintiff cites </w:t>
      </w:r>
      <w:r>
        <w:rPr>
          <w:rFonts w:ascii="arial" w:eastAsia="arial" w:hAnsi="arial" w:cs="arial"/>
          <w:i/>
          <w:color w:val="000000"/>
          <w:sz w:val="20"/>
          <w:lang w:val="en-US" w:eastAsia="en-US" w:bidi="ar-SA"/>
        </w:rPr>
        <w:t>Watson v. Monfils</w:t>
      </w:r>
      <w:r>
        <w:rPr>
          <w:rFonts w:ascii="arial" w:eastAsia="arial" w:hAnsi="arial" w:cs="arial"/>
          <w:color w:val="000000"/>
          <w:sz w:val="20"/>
          <w:lang w:val="en-US" w:eastAsia="en-US" w:bidi="ar-SA"/>
        </w:rPr>
        <w:t xml:space="preserve">, </w:t>
      </w:r>
      <w:hyperlink r:id="rId816" w:history="1">
        <w:r>
          <w:rPr>
            <w:rFonts w:ascii="arial" w:eastAsia="arial" w:hAnsi="arial" w:cs="arial"/>
            <w:i/>
            <w:color w:val="0077CC"/>
            <w:sz w:val="20"/>
            <w:u w:val="single"/>
            <w:shd w:val="clear" w:color="auto" w:fill="FFFFFF"/>
            <w:lang w:val="en-US" w:eastAsia="en-US" w:bidi="ar-SA"/>
          </w:rPr>
          <w:t>1999 BCCA 312</w:t>
        </w:r>
      </w:hyperlink>
      <w:r>
        <w:rPr>
          <w:rFonts w:ascii="arial" w:eastAsia="arial" w:hAnsi="arial" w:cs="arial"/>
          <w:color w:val="000000"/>
          <w:sz w:val="20"/>
          <w:lang w:val="en-US" w:eastAsia="en-US" w:bidi="ar-SA"/>
        </w:rPr>
        <w:t xml:space="preserve"> as authority for the proposition that even without crossing the line, a driver may be at fault for hugging the line in circumstances where that is courting danger. In that case, the court adopted the view expressed by the Supreme Court of Canada in </w:t>
      </w:r>
      <w:r>
        <w:rPr>
          <w:rFonts w:ascii="arial" w:eastAsia="arial" w:hAnsi="arial" w:cs="arial"/>
          <w:i/>
          <w:color w:val="000000"/>
          <w:sz w:val="20"/>
          <w:lang w:val="en-US" w:eastAsia="en-US" w:bidi="ar-SA"/>
        </w:rPr>
        <w:t>Lotholz v. Charlton</w:t>
      </w:r>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[1969] S.C.R. 692</w:t>
        </w:r>
      </w:hyperlink>
      <w:r>
        <w:rPr>
          <w:rFonts w:ascii="arial" w:eastAsia="arial" w:hAnsi="arial" w:cs="arial"/>
          <w:color w:val="000000"/>
          <w:sz w:val="20"/>
          <w:lang w:val="en-US" w:eastAsia="en-US" w:bidi="ar-SA"/>
        </w:rPr>
        <w: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not reasonable or prudent to hug the solid line with knowledge that the rig was approaching and might fail in its duty to stay entirely on its side of the line.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plaintiff says if he is found to have crossed the centre line of the highway, fault must be apportioned equally pursuant to s. 1(2)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If by the fault of 2 or more persons damage or loss is caused to one or more of them, the liability to make good the damage or loss is in proportion to the degree to which each person was at fault.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if, having regard to all the circumstances of the case, it is not possible to establish different degrees of fault, the liability must be apportioned equally.</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section operates to make a person liable for damage or loss to which the person's fault has not contributed.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plaintiff cites </w:t>
      </w:r>
      <w:r>
        <w:rPr>
          <w:rFonts w:ascii="arial" w:eastAsia="arial" w:hAnsi="arial" w:cs="arial"/>
          <w:i/>
          <w:color w:val="000000"/>
          <w:sz w:val="20"/>
          <w:lang w:val="en-US" w:eastAsia="en-US" w:bidi="ar-SA"/>
        </w:rPr>
        <w:t>Cicuto v. Gardiner</w:t>
      </w:r>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2007 BCSC 255</w:t>
        </w:r>
      </w:hyperlink>
      <w:r>
        <w:rPr>
          <w:rFonts w:ascii="arial" w:eastAsia="arial" w:hAnsi="arial" w:cs="arial"/>
          <w:color w:val="000000"/>
          <w:sz w:val="20"/>
          <w:lang w:val="en-US" w:eastAsia="en-US" w:bidi="ar-SA"/>
        </w:rPr>
        <w:t xml:space="preserve">, as an instructive example of the application of the rule in a similar case. A head-on collision had occurred on a gravel road and the issue was the location of the impact relative to the centre line. Mr. Justice Parrett applied s. 1(2)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in the following terms, at paras. 60-61: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no shortage in the authorities of these types of accidents on somewhat remote gravel roads where the contest often centres around who was on which side of an imaginary centre line. One of the leading decisions in this area is that of Lord Denning in </w:t>
      </w:r>
      <w:r>
        <w:rPr>
          <w:rFonts w:ascii="arial" w:eastAsia="arial" w:hAnsi="arial" w:cs="arial"/>
          <w:i/>
          <w:color w:val="000000"/>
          <w:sz w:val="20"/>
          <w:lang w:val="en-US" w:eastAsia="en-US" w:bidi="ar-SA"/>
        </w:rPr>
        <w:t>Baker v. Market Barborough Industrial Cooperative Society Limited</w:t>
      </w:r>
      <w:r>
        <w:rPr>
          <w:rFonts w:ascii="arial" w:eastAsia="arial" w:hAnsi="arial" w:cs="arial"/>
          <w:color w:val="000000"/>
          <w:sz w:val="20"/>
          <w:lang w:val="en-US" w:eastAsia="en-US" w:bidi="ar-SA"/>
        </w:rPr>
        <w:t>, [1953] 1 W.L.R. 1472. In his decision Lord Denning drew a distinction between cases in which the absence of evidence prevented the court from determining fault and that where the evidence allowed such a finding to be made, noting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very different from a case where one or other only is to blame, but clearly not both. Then the judge ought to make up his mind between them, as this court said recently in </w:t>
      </w:r>
      <w:r>
        <w:rPr>
          <w:rFonts w:ascii="arial" w:eastAsia="arial" w:hAnsi="arial" w:cs="arial"/>
          <w:i/>
          <w:color w:val="000000"/>
          <w:sz w:val="20"/>
          <w:lang w:val="en-US" w:eastAsia="en-US" w:bidi="ar-SA"/>
        </w:rPr>
        <w:t>Bray v. Palmer</w:t>
      </w:r>
      <w:r>
        <w:rPr>
          <w:rFonts w:ascii="arial" w:eastAsia="arial" w:hAnsi="arial" w:cs="arial"/>
          <w:color w:val="000000"/>
          <w:sz w:val="20"/>
          <w:lang w:val="en-US" w:eastAsia="en-US" w:bidi="ar-SA"/>
        </w:rPr>
        <w:t xml:space="preserve"> [1953] 2 All E.R. 1449. But when both may be to blame, the judge is under no such compulsion and can cast the blame equally on each.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decision was considered by Lysyk J. in </w:t>
      </w:r>
      <w:r>
        <w:rPr>
          <w:rFonts w:ascii="arial" w:eastAsia="arial" w:hAnsi="arial" w:cs="arial"/>
          <w:i/>
          <w:color w:val="000000"/>
          <w:sz w:val="20"/>
          <w:lang w:val="en-US" w:eastAsia="en-US" w:bidi="ar-SA"/>
        </w:rPr>
        <w:t>Quock v. Merkel</w:t>
      </w:r>
      <w:r>
        <w:rPr>
          <w:rFonts w:ascii="arial" w:eastAsia="arial" w:hAnsi="arial" w:cs="arial"/>
          <w:color w:val="000000"/>
          <w:sz w:val="20"/>
          <w:lang w:val="en-US" w:eastAsia="en-US" w:bidi="ar-SA"/>
        </w:rPr>
        <w:t xml:space="preserve">, </w:t>
      </w:r>
      <w:hyperlink r:id="rId819" w:history="1">
        <w:r>
          <w:rPr>
            <w:rFonts w:ascii="arial" w:eastAsia="arial" w:hAnsi="arial" w:cs="arial"/>
            <w:i/>
            <w:color w:val="0077CC"/>
            <w:sz w:val="20"/>
            <w:u w:val="single"/>
            <w:shd w:val="clear" w:color="auto" w:fill="FFFFFF"/>
            <w:lang w:val="en-US" w:eastAsia="en-US" w:bidi="ar-SA"/>
          </w:rPr>
          <w:t>[1987] B.C.J. No. 132</w:t>
        </w:r>
      </w:hyperlink>
      <w:r>
        <w:rPr>
          <w:rFonts w:ascii="arial" w:eastAsia="arial" w:hAnsi="arial" w:cs="arial"/>
          <w:color w:val="000000"/>
          <w:sz w:val="20"/>
          <w:lang w:val="en-US" w:eastAsia="en-US" w:bidi="ar-SA"/>
        </w:rPr>
        <w:t>. After quoting from Lord Denning's decision, Lysyk J. went on to observe, at p. 5,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Baker decision has been followed and the above quoted passage from the reasons of Denning L.J. approved in Canada: see, e.g., </w:t>
      </w:r>
      <w:r>
        <w:rPr>
          <w:rFonts w:ascii="arial" w:eastAsia="arial" w:hAnsi="arial" w:cs="arial"/>
          <w:i/>
          <w:color w:val="000000"/>
          <w:sz w:val="20"/>
          <w:lang w:val="en-US" w:eastAsia="en-US" w:bidi="ar-SA"/>
        </w:rPr>
        <w:t>Leaman v. Rea</w:t>
      </w:r>
      <w:r>
        <w:rPr>
          <w:rFonts w:ascii="arial" w:eastAsia="arial" w:hAnsi="arial" w:cs="arial"/>
          <w:color w:val="000000"/>
          <w:sz w:val="20"/>
          <w:lang w:val="en-US" w:eastAsia="en-US" w:bidi="ar-SA"/>
        </w:rPr>
        <w:t xml:space="preserve"> </w:t>
      </w:r>
      <w:hyperlink r:id="rId820" w:history="1">
        <w:r>
          <w:rPr>
            <w:rFonts w:ascii="arial" w:eastAsia="arial" w:hAnsi="arial" w:cs="arial"/>
            <w:i/>
            <w:color w:val="0077CC"/>
            <w:sz w:val="20"/>
            <w:u w:val="single"/>
            <w:shd w:val="clear" w:color="auto" w:fill="FFFFFF"/>
            <w:lang w:val="en-US" w:eastAsia="en-US" w:bidi="ar-SA"/>
          </w:rPr>
          <w:t>(1954) 35 M.P.R. 125</w:t>
        </w:r>
      </w:hyperlink>
      <w:r>
        <w:rPr>
          <w:rFonts w:ascii="arial" w:eastAsia="arial" w:hAnsi="arial" w:cs="arial"/>
          <w:color w:val="000000"/>
          <w:sz w:val="20"/>
          <w:lang w:val="en-US" w:eastAsia="en-US" w:bidi="ar-SA"/>
        </w:rPr>
        <w:t xml:space="preserve"> (N.B.S.C., App. Div.) and </w:t>
      </w:r>
      <w:r>
        <w:rPr>
          <w:rFonts w:ascii="arial" w:eastAsia="arial" w:hAnsi="arial" w:cs="arial"/>
          <w:i/>
          <w:color w:val="000000"/>
          <w:sz w:val="20"/>
          <w:lang w:val="en-US" w:eastAsia="en-US" w:bidi="ar-SA"/>
        </w:rPr>
        <w:t>Wood v. Thompson</w:t>
      </w:r>
      <w:r>
        <w:rPr>
          <w:rFonts w:ascii="arial" w:eastAsia="arial" w:hAnsi="arial" w:cs="arial"/>
          <w:color w:val="000000"/>
          <w:sz w:val="20"/>
          <w:lang w:val="en-US" w:eastAsia="en-US" w:bidi="ar-SA"/>
        </w:rPr>
        <w:t xml:space="preserve"> (1957) 23 W.W.R. 14 (Man. Q.B.). Other authority suggests that the formulation of Denning L.J. may be cast in terms which are too broad but it is nonetheless recognized that where a collision between two vehicles travelling in opposite directions on an otherwise empty road is shown to have occurred in the centre of the road, then in the absence of some satisfactory explanation it is reasonable to infer that both drivers were to blame: see, e.g. </w:t>
      </w:r>
      <w:r>
        <w:rPr>
          <w:rFonts w:ascii="arial" w:eastAsia="arial" w:hAnsi="arial" w:cs="arial"/>
          <w:i/>
          <w:color w:val="000000"/>
          <w:sz w:val="20"/>
          <w:lang w:val="en-US" w:eastAsia="en-US" w:bidi="ar-SA"/>
        </w:rPr>
        <w:t>Vaughan v. Isenor</w:t>
      </w:r>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[1955] 2 D.L.R. 403</w:t>
        </w:r>
      </w:hyperlink>
      <w:r>
        <w:rPr>
          <w:rFonts w:ascii="arial" w:eastAsia="arial" w:hAnsi="arial" w:cs="arial"/>
          <w:color w:val="000000"/>
          <w:sz w:val="20"/>
          <w:lang w:val="en-US" w:eastAsia="en-US" w:bidi="ar-SA"/>
        </w:rPr>
        <w:t xml:space="preserve"> (N.S.S.C.); </w:t>
      </w:r>
      <w:r>
        <w:rPr>
          <w:rFonts w:ascii="arial" w:eastAsia="arial" w:hAnsi="arial" w:cs="arial"/>
          <w:i/>
          <w:color w:val="000000"/>
          <w:sz w:val="20"/>
          <w:lang w:val="en-US" w:eastAsia="en-US" w:bidi="ar-SA"/>
        </w:rPr>
        <w:t>Stamp v. The Queen in the Right of Ontario</w:t>
      </w:r>
      <w:r>
        <w:rPr>
          <w:rFonts w:ascii="arial" w:eastAsia="arial" w:hAnsi="arial" w:cs="arial"/>
          <w:color w:val="000000"/>
          <w:sz w:val="20"/>
          <w:lang w:val="en-US" w:eastAsia="en-US" w:bidi="ar-SA"/>
        </w:rPr>
        <w:t xml:space="preserve"> </w:t>
      </w:r>
      <w:hyperlink r:id="rId822" w:history="1">
        <w:r>
          <w:rPr>
            <w:rFonts w:ascii="arial" w:eastAsia="arial" w:hAnsi="arial" w:cs="arial"/>
            <w:i/>
            <w:color w:val="0077CC"/>
            <w:sz w:val="20"/>
            <w:u w:val="single"/>
            <w:shd w:val="clear" w:color="auto" w:fill="FFFFFF"/>
            <w:lang w:val="en-US" w:eastAsia="en-US" w:bidi="ar-SA"/>
          </w:rPr>
          <w:t>(1984) 47 O.R. (2d) 214</w:t>
        </w:r>
      </w:hyperlink>
      <w:r>
        <w:rPr>
          <w:rFonts w:ascii="arial" w:eastAsia="arial" w:hAnsi="arial" w:cs="arial"/>
          <w:color w:val="000000"/>
          <w:sz w:val="20"/>
          <w:lang w:val="en-US" w:eastAsia="en-US" w:bidi="ar-SA"/>
        </w:rPr>
        <w:t xml:space="preserve"> (Ont. C.A.); and </w:t>
      </w:r>
      <w:r>
        <w:rPr>
          <w:rFonts w:ascii="arial" w:eastAsia="arial" w:hAnsi="arial" w:cs="arial"/>
          <w:i/>
          <w:color w:val="000000"/>
          <w:sz w:val="20"/>
          <w:lang w:val="en-US" w:eastAsia="en-US" w:bidi="ar-SA"/>
        </w:rPr>
        <w:t>Nesterczuk v. Mortimore</w:t>
      </w:r>
      <w:r>
        <w:rPr>
          <w:rFonts w:ascii="arial" w:eastAsia="arial" w:hAnsi="arial" w:cs="arial"/>
          <w:color w:val="000000"/>
          <w:sz w:val="20"/>
          <w:lang w:val="en-US" w:eastAsia="en-US" w:bidi="ar-SA"/>
        </w:rPr>
        <w:t xml:space="preserve"> (1965) 115 C.L.R. 140, esp. at 158 (H.C. of Australia).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 says if the collision was not caused by the action of Mr. Spiers passing the McKinley vehicle, then both parties must have been travelling close or at the centre line. In these circumstances, it is submitted that a greater degree of fault should not be assigned to one party over another.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Evasive Measures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defendant cites a number of cases describing the duty of care to take evasive measures. The defendant says he is asked to answer the allegation he did not take prompt or effective evasive measures. In assessing that claim he asks the court to consider </w:t>
      </w:r>
      <w:r>
        <w:rPr>
          <w:rFonts w:ascii="arial" w:eastAsia="arial" w:hAnsi="arial" w:cs="arial"/>
          <w:i/>
          <w:color w:val="000000"/>
          <w:sz w:val="20"/>
          <w:lang w:val="en-US" w:eastAsia="en-US" w:bidi="ar-SA"/>
        </w:rPr>
        <w:t>British Columbia (Public Trustee) v. Asleson</w:t>
      </w:r>
      <w:r>
        <w:rPr>
          <w:rFonts w:ascii="arial" w:eastAsia="arial" w:hAnsi="arial" w:cs="arial"/>
          <w:color w:val="000000"/>
          <w:sz w:val="20"/>
          <w:lang w:val="en-US" w:eastAsia="en-US" w:bidi="ar-SA"/>
        </w:rPr>
        <w:t xml:space="preserve"> </w:t>
      </w:r>
      <w:hyperlink r:id="rId823" w:history="1">
        <w:r>
          <w:rPr>
            <w:rFonts w:ascii="arial" w:eastAsia="arial" w:hAnsi="arial" w:cs="arial"/>
            <w:i/>
            <w:color w:val="0077CC"/>
            <w:sz w:val="20"/>
            <w:u w:val="single"/>
            <w:shd w:val="clear" w:color="auto" w:fill="FFFFFF"/>
            <w:lang w:val="en-US" w:eastAsia="en-US" w:bidi="ar-SA"/>
          </w:rPr>
          <w:t>(1993), 78 B.C.L.R. (2d) 173</w:t>
        </w:r>
      </w:hyperlink>
      <w:r>
        <w:rPr>
          <w:rFonts w:ascii="arial" w:eastAsia="arial" w:hAnsi="arial" w:cs="arial"/>
          <w:color w:val="000000"/>
          <w:sz w:val="20"/>
          <w:lang w:val="en-US" w:eastAsia="en-US" w:bidi="ar-SA"/>
        </w:rPr>
        <w:t xml:space="preserve"> (C.A.), where the Court of Appeal restated the long established rule that drivers are entitled to assume that other drivers will obey the rules of the road, and are required to anticipate "only those follies which according to the teachings of experience commonly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defendant says the plaintiff created a risk and the defendant was not obliged to be prepared for an unforeseen emergency. It is only where the possibility of danger emerging is sufficiently </w:t>
      </w:r>
      <w:r>
        <w:rPr>
          <w:rFonts w:ascii="arial" w:eastAsia="arial" w:hAnsi="arial" w:cs="arial"/>
          <w:i/>
          <w:color w:val="000000"/>
          <w:sz w:val="20"/>
          <w:lang w:val="en-US" w:eastAsia="en-US" w:bidi="ar-SA"/>
        </w:rPr>
        <w:t>probable</w:t>
      </w:r>
      <w:r>
        <w:rPr>
          <w:rFonts w:ascii="arial" w:eastAsia="arial" w:hAnsi="arial" w:cs="arial"/>
          <w:color w:val="000000"/>
          <w:sz w:val="20"/>
          <w:lang w:val="en-US" w:eastAsia="en-US" w:bidi="ar-SA"/>
        </w:rPr>
        <w:t xml:space="preserve"> that it is included in the category of contingencies normally foreseen that caution is required to be exercised.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Spiers caused his tractor-trailer to cross the centreline. He is "presumptively at fault". The accident in this case happened at night in the winter on a road with worn markings. It happened where lighting was apparently capable of making the lights of oncoming vehicles somewhat difficult to discern. There was some snow on the edges of the road making it unclear where the fog lines marking the outside edge of the marked lanes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Spiers' own evidence makes it clear he was uncertain where the oncoming lanes were. He appears to have been mistaken with respect to whether Mr. Hogstead was approaching the end of a travelled lane on the highway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Brown on cross-examination agreed with the suggestion put to him by defence counsel that that in the dark, with the faded centre line and some snow, it would be difficult to tell where an oncoming vehicle was in relation to the centre line. That is borne out in the photographs and must have been true for both drivers.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witnesses said that at the accident scene Mr. Spiers stated that he did not know what he had hit. I accept that evidence -- it is not really disputed by Mr. Spiers -- and find that he did not clearly see and try to avoid the Hogstead vehicle before impact. He did not recognize that his vehicle was over the centre line. That suggests inattention on his part. Mr. Spiers has failed to discharge the burden of disproving fault. He is not faulted for failing to take evasive measures but, rather, for contributing to the accident that could have been avoided if either driver had given the other a wide berth. The nature of the damage to the vehicles, long and very oblique contact between the vehicles, is inconsistent with Mr. Spiers' evidence that the Hogstead vehicle came into his lane with little warning. Mr. Spiers himself does not suggest the angle of its travel was sudden or acute.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On the other hand, there is clear evidence Mr. Hogstead's vehicle also crossed the centre line, and it was not possible for Mr. Hogstead to offer any explanation for the failure to keep his vehicle to the right of the centre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defendant rightly says there is no need to establish impairment in this case, the presumption of fault will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In allocating degrees of blameworthiness, however, some weight might be attributed to the plaintiff's driving contrary to medical advice if I could find that it was negligent for the plaintiff to drive hours after being told not to do so and if, and only if,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to the accident. It has not been established on a balance of probabilities that Mr. Hogstead was warned not to drive or that impairment caused or contributed to Mr. Hogstead's apparent error. The blameworthiness of errors that do not contribute to accidents is not factored into the apportionment analysis. There being no other basis upon which to apportion fault I find the liability for the accident giving rise to this claim should be apportioned equally between the respective drivers.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There will be judgment against the owner of the Spiers vehicle, the numbered company, in relation to its vicarious liability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There are a number of admissions with respect to the status of the other defendants, but I have not specifically addressed the liability of parties other than Mr. Spiers and the owner of the tractor being driven by Mr. Spiers at the time of the accident.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With respect to the question of the liability of other named defendants; with respect to costs; and with respect to any other matters arising out of the judgment relating to offers or payments made under insurance plans, or any other matters that may arise after judgment, you have leave to make further submissions.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At the outset of the trial, counsel advised the court it was agreed there would be an assessment of liability before damages. I did not take that to mean that the court assessing liability would be seized with the assessment of the quantum of damages. It strikes me as there was no necessity in this to assess the credibility of Mr. Hogstead or Ms. MacPherson, his committee. There is no particular necessity to seize myself of the assessment of the quantum of damages. I do not intend to do so unless counsel collectively agree that I should do so. If I were to do so, it may affect the timing of the trial. I am not certain when I would be available to hear the trial. If I am not available to hear it when it is presently set, seizing myself may cause the parties significant and unnecessary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If you wish to make submissions with a view toward having me seize myself of the assessment of damages, I will consider your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P.M. WILLCOCK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4" style="position:absolute;z-index:251889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24"/>
          <w:headerReference w:type="default" r:id="rId825"/>
          <w:footerReference w:type="even" r:id="rId826"/>
          <w:footerReference w:type="default" r:id="rId827"/>
          <w:headerReference w:type="first" r:id="rId828"/>
          <w:footerReference w:type="first" r:id="rId82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30" w:history="1">
        <w:r>
          <w:rPr>
            <w:rFonts w:ascii="arial" w:eastAsia="arial" w:hAnsi="arial" w:cs="arial"/>
            <w:b/>
            <w:bCs/>
            <w:i/>
            <w:color w:val="0077CC"/>
            <w:kern w:val="32"/>
            <w:sz w:val="28"/>
            <w:szCs w:val="32"/>
            <w:u w:val="single"/>
            <w:shd w:val="clear" w:color="auto" w:fill="FFFFFF"/>
            <w:lang w:val="en-US" w:eastAsia="en-US" w:bidi="ar-SA"/>
          </w:rPr>
          <w:t>Lawrence v. Prince Rupert (City), [2003] B.C.J. No. 711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Rupert,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Halfyard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14,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27,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Prince Rupert Registry No. SC3629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711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465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 B.C.L.R. (4th) 164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38 M.P.L.R. (3d) 243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121 A.C.W.S. (3d) 1144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Katherine Margaret Lawrence, plaintiff, and The City of Prince Rupert and British Columbia Hydro and Power Authority, defendants, and British Columbia Hydro and Power Authority,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5"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2" w:name="Keywords_38"/>
      <w:bookmarkEnd w:id="252"/>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3" w:name="Case Summary_35"/>
            <w:bookmarkEnd w:id="25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application by the plaintiff Lawrence for summary judgment on the issue of liability and applications by the City and BC Hydro for an order dismissing the action. In her action for damages for personal injuries Lawrence claimed that BC Hydro was negligent in placing a pole on the sidewalk and leaving it there without installing any protective barricade or warning signs. She also claimed that the City was negligent in failing to detect the presence of the pole and remove it. Lawrence, in walking along the sidewalk, saw the pole and attempted to walk around it. However, she misjudged the exact location of the tip and tripped over it. BC Hydro argued that it did not breach any duty of care because the log did not create a risk. BC Hydro also argued that Lawrence had failed to establish any causal connection in law between its act and omissions and her fall.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4" w:name="Holdings of Court_32"/>
            <w:bookmarkEnd w:id="254"/>
            <w:r>
              <w:rPr>
                <w:rFonts w:ascii="arial" w:eastAsia="arial" w:hAnsi="arial" w:cs="arial"/>
                <w:color w:val="000000"/>
                <w:sz w:val="20"/>
                <w:lang w:val="en-US" w:eastAsia="en-US" w:bidi="ar-SA"/>
              </w:rPr>
              <w:t>HELD: Lawrence's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Application by BC Hydro and the City allowed. BC Hydro owed a duty to persons using the sidewalk to take reasonable care not to obstruct it in such a way as to create a risk that a pedestrian would be injured. Leaving the pole on the sidewalk did create such a risk. However, when Lawrence saw the pole ahead of her and had the opportunity and ability to easily avoid tripping over it, the risk created by BC Hydro lost its potential to cause her to trip and fall as she did. The lack of a barrier was therefore not the effective cause of the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5" w:name="Legislation Cited_27"/>
      <w:bookmarkEnd w:id="25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6"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 18A(11)(a).</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w:t>
      </w: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s. 8.</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Occupier's Liability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6" w:name="Counsel_37"/>
      <w:bookmarkEnd w:id="25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7" style="position:absolute;z-index:251800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 Griffith-Zahner, for the plaintiff. D. Hwang, for the defendant, City of Prince Rupert. D. Warner, for the defendant, British Columbia Hydro and Power Authority.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7" w:name="Judgment_38"/>
      <w:bookmarkEnd w:id="257"/>
      <w:r>
        <w:pict>
          <v:line id="_x0000_s1218" style="position:absolute;z-index:2518507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8" w:name="HALFYARD J."/>
            <w:bookmarkEnd w:id="258"/>
            <w:r>
              <w:rPr>
                <w:rFonts w:ascii="arial" w:eastAsia="arial" w:hAnsi="arial" w:cs="arial"/>
                <w:b/>
                <w:color w:val="000000"/>
                <w:sz w:val="30"/>
                <w:lang w:val="en-US" w:eastAsia="en-US" w:bidi="ar-SA"/>
              </w:rPr>
              <w:t>HALFYARD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action for damages for personal injury, all three parties have made applications for summary judgment pursuant to Rule 18A. The plaintiff seeks judgment on the issue of liability only. The defendants The City of Prince Rupert ("the City") and British Columbia Hydro and Power Authority ("BC Hydro") separately seek judgment dismissing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All parties agree that the issue of liability is suitable for disposition by way of summary trial. Because there are no (or no significant) conflicts in the evidence, and because liability is contested, I accept that the issues of liability and damages should be severed, and that the case meets the procedural requirements of Rule 18A(11)(a) and is appropriate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case for the plaintiff is that on April 1, 2000, in Prince Rupert, she was walking along a downtown sidewalk owned by the City, when she tripped on a log left on the sidewalk by a BC Hydro crew, and fell down and was seriously injured. Mr. Griffith-Zahner alleges that BC Hydro was negligent in placing the pole on the sidewalk, and leaving it there without installing any protective barricade or warning signs around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 alleges that the City was negligent, and in breach of its obligation under the Occupiers Liability Act, in failing to detect the presence of the pole on the sidewalk, and in failing to either remove it or put a barricade around it. There was also an assertion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properly supervise BC Hydro's pole replacement project in Prince Rupert.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essential facts relating to the accident are not in dispute, and I would summarize them as follows. The plaintiff is a schoolteacher who was 46 years of age at the time of the accident. She lived in an apartment at 100 - 2nd Avenue West in downtown Prince Rupert. On the afternoon of Saturday, April 1, 2000, at shortly after 3:30 p.m., she left her apartment intending to walk to the Rupert Cleaners at 340 McBride Street, which was just a few blocks from her residence. It was drizzling or raining slightly, the sky was cloudy and grey, and the streets and sidewalk were wet. The plaintiff wore good footwear, and was not impaired in her ability to walk or see.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Just before the accident, the plaintiff was walking south on McBride Street, on the sidewalk on the west side of the street. She crossed 3rd Avenue and stepped up on to the curb on the south side of the intersection, and continued walking on the sidewalk towards Rupert Cleaners, which was then only a few hundred feet ahead. There was a guardrail at her right-hand side, because there was a drop in elevation of almost 2 feet, from the right side of the sidewalk, down to a flat unpaved parking lot area. The sidewalk was about 3.5 metres wide, including the space taken up by the guardrail, and it inclined uphill (but not steeply) from the intersection of 3rd Avenue to Rupert Cleaners. The plaintiff held on to the guardrail with her right hand, as she walked.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was a pole lying on the sidewalk ahead of the plaintiff. It was lying close to the bottom of the guardrail, and parallel with the guardrail. The pole was about 12" to 15" in diameter, it was straight, and was about 45 feet long. The end of the pole nearest to the plaintiff was about 12.3 metres from the point where the plaintiff stepped up on to the curb after crossing 3rd Avenue West. The pole was not flagged or marked in any way, and there was no warning sign or barricade.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saw the log ahead of her when she was a few steps away from it. She let go of the guardrail and moved to her left, intending to go around the end of the pole, and to walk alongside the pole between it and an oblong area near the centre of the sidewalk which was irregular and somewhat depressed on the surface. As she passed the end of the pole, she misjudged its exact location on the ground, and hit the toe of her right boot on the end of the pole, which caused her to trip and fall. She suffered serious injuries to her right arm and left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was familiar with the sidewalk in the area where she fell, but she had not seen the pole there,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 BC Hydro crew had been replacing power poles in the downtown area, and had left the pole where it was, after being called away to deal with an emergency. The date when they put the pole there is uncertain, but I infer from the evidence that it had been there for between one and six days. If the pole had been there for more than six days, the evidence makes it probable that the plaintiff would have passed by it and seen it, the previous Sunday.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Leaving the pole where the crew left it was contrary to BC Hydro's own policy for temporary storage of poles at worksites. BC Hydro did not request permission from the City to leave the pole on the sidewalk, and did not notify the City that it had been left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City has the power and the duty to maintain sidewalks in the City of Prince Rupert. The City did not know that Hydro had left the pole lying on the sidewalk on McBride Street, before the plaintiff' accident occurred. The City had decided, due to budget limitations, that it would not set up any system for inspecting or maintaining its sidewalks. Inspection would only be done, if a complaint was received from a member of the public, or if a city employee happened to notice an apparent problem. Although the duration of this alleged policy was not clearly stated, I infer that it had existed for a considerable period of time. No complaint had been received about the Hydro pole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City did not receive notification of the plaintiff's accident, until about mid-April. Before that, at some time in the first week of April, the City became aware of the Hydro pole lying on the sidewalk on McBride Street. The City met with BC Hydro on April 6, 2000, and expressed concerns that the pole might be rolled on to the sidewalk or roadway by vandals, and it was agreed that Hydro would secure the pole to the guardrail, and that was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find the facts which I have summarized, to be true on the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Counsel for BC Hydro submits firstly that it did not breach any duty of care owed to users of the sidewalk, because the log did not create a risk or hazard to pedestrians. Mr. Warner pointed out that the pole was plainly visible, and it was out of the way, leaving ample room for pedestrians to walk safely past it. In the alternative, counsel argues that the plaintiff has failed to establish any causal connection in law, between the acts and omissions of BC Hydro, and her trip and fall accident. It is argued that the plaintiff's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her unfortunate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For the City, Ms. Hwang submits firstly that the City should be exempt from a duty of care to users of its sidewalks, because it made a bona fide policy decision not to systematically inspect the sidewalks. In the alternative, she submits that the pole did not constitute a hazard, and if it did, the City could not reasonably have foreseen that BC Hydro would leave a pole on the sidewalk. Finally, she argues that the plaintiff's case must fail on the issue of causation because the plaintiff was the author of her own misfortune.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order to succeed in establishing liability in an action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must prove that the defendant owed a duty to the plaintiff to take reasonable care for the safety of the plaintiff, that the defendant breached that duty of care, and that the plaintiff was injured as a result of the defendant's breach of duty. See Magda v. The Queen </w:t>
      </w:r>
      <w:hyperlink r:id="rId831" w:history="1">
        <w:r>
          <w:rPr>
            <w:rFonts w:ascii="arial" w:eastAsia="arial" w:hAnsi="arial" w:cs="arial"/>
            <w:i/>
            <w:color w:val="0077CC"/>
            <w:sz w:val="20"/>
            <w:u w:val="single"/>
            <w:shd w:val="clear" w:color="auto" w:fill="FFFFFF"/>
            <w:lang w:val="en-US" w:eastAsia="en-US" w:bidi="ar-SA"/>
          </w:rPr>
          <w:t>[1964] S.C.R. 72</w:t>
        </w:r>
      </w:hyperlink>
      <w:r>
        <w:rPr>
          <w:rFonts w:ascii="arial" w:eastAsia="arial" w:hAnsi="arial" w:cs="arial"/>
          <w:color w:val="000000"/>
          <w:sz w:val="20"/>
          <w:lang w:val="en-US" w:eastAsia="en-US" w:bidi="ar-SA"/>
        </w:rPr>
        <w:t xml:space="preserve"> at 77-78; Wickham v. Wrangler Inn </w:t>
      </w:r>
      <w:hyperlink r:id="rId832" w:history="1">
        <w:r>
          <w:rPr>
            <w:rFonts w:ascii="arial" w:eastAsia="arial" w:hAnsi="arial" w:cs="arial"/>
            <w:i/>
            <w:color w:val="0077CC"/>
            <w:sz w:val="20"/>
            <w:u w:val="single"/>
            <w:shd w:val="clear" w:color="auto" w:fill="FFFFFF"/>
            <w:lang w:val="en-US" w:eastAsia="en-US" w:bidi="ar-SA"/>
          </w:rPr>
          <w:t>[1997] B.C.J. No. 671</w:t>
        </w:r>
      </w:hyperlink>
      <w:r>
        <w:rPr>
          <w:rFonts w:ascii="arial" w:eastAsia="arial" w:hAnsi="arial" w:cs="arial"/>
          <w:color w:val="000000"/>
          <w:sz w:val="20"/>
          <w:lang w:val="en-US" w:eastAsia="en-US" w:bidi="ar-SA"/>
        </w:rPr>
        <w:t xml:space="preserve"> (B.C.C.A.) at paragraphs 4 and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my opinion, BC Hydro owed a duty to persons using the sidewalk in question, to take reasonable care not to obstruct the sidewalk in such a way as to create a risk that a pedestrian would be injured. I find that, in putting the pole where they did and leaving it there, BC Hydro did create such a risk. BC Hydro had itself foreseen the safety risk of leaving poles adjacent to roadways, and had published its own policy on the subject. Their rules were aimed at avoiding such storage of poles, and in the alternative, at preventing or minimizing the risk caused by poles that had to be left near roads.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my view, a reasonable person in the position of BC Hydro would have known that placing and leaving the pole on the sidewalk as it was, and without any protective barricade, would create a risk that pedestrians might trip over it and be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find that the pole should have been placed on the other side of the guardrail, in the parking lot, and that BC Hydro could reasonably have done that (even if it required the permission of the parking lot owner). I also find that, having left the pole on the sidewalk, Hydro should have put some sort of railing or barricade around the pole, to keep pedestrians away from it, and that this could reasonably have been done. It is my opinion that, in failing to do either of those things, BC Hydro breached its duty of care to users of the sidewalk. The safety risk would obviously be much greater for persons using the sidewalk 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As I have mentioned, counsel for both defendants submit that the plaintiff's case fails on the essential issue of causation. Counsel say that, assuming the existence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BC Hydro, the plaintiff has failed to prove that BC Hydro's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the plaintiff's injuries. It is argued that the plaintiff's failure to avoid the pole was the sole cause of the accident, and that this failure was due entirely to her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Counsel relied heavily on the following facts:</w:t>
      </w:r>
      <w:r>
        <w:rPr>
          <w:rFonts w:ascii="arial" w:eastAsia="arial" w:hAnsi="arial" w:cs="arial"/>
          <w:sz w:val="20"/>
          <w:lang w:val="en-US" w:eastAsia="en-US" w:bidi="ar-SA"/>
        </w:rPr>
        <w:cr/>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daylight.</w:t>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saw the pole before reaching the near-end of it.</w:t>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had an unimpeded opportunity to avoid the pole.</w:t>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had plenty of room on the sidewalk, to walk around the end of the pole, and alongside it, notwithstanding that there was some irregularity in the surface of the sidewalk, near the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It is argued that, when the plaintiff tripped over the end of the pole in these circumstances, it could not be said that BC Hydro's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had any causal connection in law or in fact, with the accident. Rather, it was the plaintiff alone who was at fault for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am satisfied that there was adequate room for the plaintiff to step around the end of the pole and walk alongside it for its length, without having to walk on the irregular area near the centre of the sidewalk. The other facts relied on by defence counsel were clearly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gave a partial explanation for her failure to avoid the end of the log in paragraph 11 of her affidavit sworn February 22, 2003, which says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of the low lighting, weather conditions, and the colour of the log against the surrounding area, the pole blended into the colour of the wet asphalt, sidewalk, and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Although I accept that the pole may have "blended into" the sidewalk to some limited extent, I cannot accept that condition as being the cause of the plaintiff tripping over the end of it. She saw the pole before reaching it, and in my opinion, the photographs entered in evidence contradict the idea that the colour of the pole caused the plaintiff to lose sight of it or misjudge its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 find that the plaintiff could reasonably have avoided tripping over the end of the pole, had she been keeping a proper lookout, and that her failure to do so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caused or contributed to her injuries. Again, the essential question is whether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her injuries, as contended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Numerous cases were cited by plaintiff's counsel in support of the position that the defendants had breached a duty of care owed to the plaintiff at common law and under the Occupiers Liability Act, but no authorities on causation were referred to. Defence counsel referred me to the case of Wickham, supra, but that case says only that causation is an essential element of a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under the Occupiers Liability Act, and upholds a trial judge's finding that the defendant's failure to paint a speed bump was not the cause of the plaintiff tripping over it. Accordingly, I have reviewed additional authorities in an attempt to find guidance on this somewhat confusing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Some years ago, before the amendment to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in 1970, the issue would often be framed in terms of whether a clear line could be drawn between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and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so as to justify the conclusion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had ceased to be an operating factor in the accident. It appears to have been the law that, if the defendant had negligently created a situation of risk that could cause an accident, and if the plaintiff knew (or ought to have known) of that risk and by the exercise of reasonable care could have avoided the accident but failed to do so, then, in law,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be the sole cause of the accident. Examples of this reasoning may be found in the cases of: McKee v. Malenfant and Beetham </w:t>
      </w:r>
      <w:hyperlink r:id="rId833" w:history="1">
        <w:r>
          <w:rPr>
            <w:rFonts w:ascii="arial" w:eastAsia="arial" w:hAnsi="arial" w:cs="arial"/>
            <w:i/>
            <w:color w:val="0077CC"/>
            <w:sz w:val="20"/>
            <w:u w:val="single"/>
            <w:shd w:val="clear" w:color="auto" w:fill="FFFFFF"/>
            <w:lang w:val="en-US" w:eastAsia="en-US" w:bidi="ar-SA"/>
          </w:rPr>
          <w:t>[1954] S.C.R. 651</w:t>
        </w:r>
      </w:hyperlink>
      <w:r>
        <w:rPr>
          <w:rFonts w:ascii="arial" w:eastAsia="arial" w:hAnsi="arial" w:cs="arial"/>
          <w:color w:val="000000"/>
          <w:sz w:val="20"/>
          <w:lang w:val="en-US" w:eastAsia="en-US" w:bidi="ar-SA"/>
        </w:rPr>
        <w:t xml:space="preserve">; Bruce v. McIntyre </w:t>
      </w:r>
      <w:hyperlink r:id="rId834" w:history="1">
        <w:r>
          <w:rPr>
            <w:rFonts w:ascii="arial" w:eastAsia="arial" w:hAnsi="arial" w:cs="arial"/>
            <w:i/>
            <w:color w:val="0077CC"/>
            <w:sz w:val="20"/>
            <w:u w:val="single"/>
            <w:shd w:val="clear" w:color="auto" w:fill="FFFFFF"/>
            <w:lang w:val="en-US" w:eastAsia="en-US" w:bidi="ar-SA"/>
          </w:rPr>
          <w:t>[1955] 1 D.L.R. 785</w:t>
        </w:r>
      </w:hyperlink>
      <w:r>
        <w:rPr>
          <w:rFonts w:ascii="arial" w:eastAsia="arial" w:hAnsi="arial" w:cs="arial"/>
          <w:color w:val="000000"/>
          <w:sz w:val="20"/>
          <w:lang w:val="en-US" w:eastAsia="en-US" w:bidi="ar-SA"/>
        </w:rPr>
        <w:t xml:space="preserve"> (S.C.C.); and Brooks v. Ward </w:t>
      </w:r>
      <w:hyperlink r:id="rId835" w:history="1">
        <w:r>
          <w:rPr>
            <w:rFonts w:ascii="arial" w:eastAsia="arial" w:hAnsi="arial" w:cs="arial"/>
            <w:i/>
            <w:color w:val="0077CC"/>
            <w:sz w:val="20"/>
            <w:u w:val="single"/>
            <w:shd w:val="clear" w:color="auto" w:fill="FFFFFF"/>
            <w:lang w:val="en-US" w:eastAsia="en-US" w:bidi="ar-SA"/>
          </w:rPr>
          <w:t>(1956) 4 D.L.R. (2d) 597</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problem with that analysis is of course that it embodies the "last chance" doctrine, which was long ago removed from our law. Section 8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now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This Act applies to all cases where damage is caused or contributed to by the act of a person even if another person had the opportunity of avoiding the consequences of that act and negligently or carelessly failed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It seems to me that, under the old law, where a plaintiff proved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the accident, the defendant could escape liability by showing that the plaintiff could have avoided the consequences of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exercise of reasonable care. If that was shown, then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had the potential to cause the accident) would "cease to be an operating factor". In other words, even though the plaintiff had made out a prima facie case on the issue of causation, proof that the plaintiff had the "last clear chance", would break the chain of causation, and the plaintiff would be found solely at fault. That is no longer the law, but the repeal of the last chance doctrine does not absolve the plaintiff from establishing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at least part of the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 have found the case of Scurfield v. Cariboo Helicopter Skiing Ltd. </w:t>
      </w:r>
      <w:hyperlink r:id="rId836" w:history="1">
        <w:r>
          <w:rPr>
            <w:rFonts w:ascii="arial" w:eastAsia="arial" w:hAnsi="arial" w:cs="arial"/>
            <w:i/>
            <w:color w:val="0077CC"/>
            <w:sz w:val="20"/>
            <w:u w:val="single"/>
            <w:shd w:val="clear" w:color="auto" w:fill="FFFFFF"/>
            <w:lang w:val="en-US" w:eastAsia="en-US" w:bidi="ar-SA"/>
          </w:rPr>
          <w:t>[1993] 3 W.W.R. 418</w:t>
        </w:r>
      </w:hyperlink>
      <w:r>
        <w:rPr>
          <w:rFonts w:ascii="arial" w:eastAsia="arial" w:hAnsi="arial" w:cs="arial"/>
          <w:color w:val="000000"/>
          <w:sz w:val="20"/>
          <w:lang w:val="en-US" w:eastAsia="en-US" w:bidi="ar-SA"/>
        </w:rPr>
        <w:t xml:space="preserve"> (B.C.C.A.); leave to appeal refused </w:t>
      </w:r>
      <w:hyperlink r:id="rId837" w:history="1">
        <w:r>
          <w:rPr>
            <w:rFonts w:ascii="arial" w:eastAsia="arial" w:hAnsi="arial" w:cs="arial"/>
            <w:i/>
            <w:color w:val="0077CC"/>
            <w:sz w:val="20"/>
            <w:u w:val="single"/>
            <w:shd w:val="clear" w:color="auto" w:fill="FFFFFF"/>
            <w:lang w:val="en-US" w:eastAsia="en-US" w:bidi="ar-SA"/>
          </w:rPr>
          <w:t>[1993] S.C.C.A. No. 102</w:t>
        </w:r>
      </w:hyperlink>
      <w:r>
        <w:rPr>
          <w:rFonts w:ascii="arial" w:eastAsia="arial" w:hAnsi="arial" w:cs="arial"/>
          <w:color w:val="000000"/>
          <w:sz w:val="20"/>
          <w:lang w:val="en-US" w:eastAsia="en-US" w:bidi="ar-SA"/>
        </w:rPr>
        <w:t>, to be of considerable assistance. The incident from which the lawsuit arose was described in the opening paragraph of the reasons of Mr. Justice Taylor: "The late Ralph Scurfield died when he skied into an avalanche in progress ahead of him while on a wilderness helicopter skiing expedition in South-Central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trial judge had found that the guide was negligent in taking the ski party to that particular slope, and that finding was accepted on appeal. The trial judge also found as a fact that Mr. Scurfield had: "...skied heedlessly into an avalanche in progress in front of him when he could see it and could also hear the other members of the party shouting 'avalanche', and telling him to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trial judge apportioned fault at 75% to Mr. Scurfield, and 25% to the defendants. On appeal, the defendants argued that the action should have been dismissed on the footing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guide did not cause or contribute to Mr. Scurfield's death. On behalf of the plaintiffs, it was argued that to accede to such an argument would require the application of the defence of "last clear chance", which had been abolished by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quote from paragraph 8 of the reasons of Mr. Justice Taylor: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question in my view is not whether Mr. Scurfield could with reasonable care have avoided the danger--which, on the judge's view of the matter, he plainly could--but whether the conduct of the defendant guide in taking the party to the particular slope can properly be considered an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had a proximate causative connection with the accident, when that accident happened after the hidden hazard to which Mr. Scurfield was thereby exposed had become obvious and readily avoidable."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 paragraph 13, Mr. Justice Taylor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final question then, is whether, after the danger ahead was clearly visible to Mr. Scurfield, and he could hear the others shouting to him to stop, the guide's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bringing the party to the slope could still be regarded as one of the proximate causes of the accident which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And finally, at paragraph 15, Taylor, J.A. said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is not a case of Mr. Scurfield having had a 'last clear chance' to avoid a peril created by the defendants. Insofar as the defendants had a duty to protect Mr. Scurfield from unreasonable risk of unavoidable avalanche, that risk was over once the hazard had become obvious and avoidable. On the findings of the trial judge I conclude that Mr. Scurfield's failure to concern himself with what he could see ahead was the sole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constituted in law a proximate cause of his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 have also reviewed the cases of Kautz v. Kopach </w:t>
      </w:r>
      <w:hyperlink r:id="rId838" w:history="1">
        <w:r>
          <w:rPr>
            <w:rFonts w:ascii="arial" w:eastAsia="arial" w:hAnsi="arial" w:cs="arial"/>
            <w:i/>
            <w:color w:val="0077CC"/>
            <w:sz w:val="20"/>
            <w:u w:val="single"/>
            <w:shd w:val="clear" w:color="auto" w:fill="FFFFFF"/>
            <w:lang w:val="en-US" w:eastAsia="en-US" w:bidi="ar-SA"/>
          </w:rPr>
          <w:t>(1993) 84 B.C.L.R. (2d) 329</w:t>
        </w:r>
      </w:hyperlink>
      <w:r>
        <w:rPr>
          <w:rFonts w:ascii="arial" w:eastAsia="arial" w:hAnsi="arial" w:cs="arial"/>
          <w:color w:val="000000"/>
          <w:sz w:val="20"/>
          <w:lang w:val="en-US" w:eastAsia="en-US" w:bidi="ar-SA"/>
        </w:rPr>
        <w:t xml:space="preserve"> (C.A.) and Wickberg v. Patterson (1997) 145 D.L.R. (4d) 263 (Alta. C.A.), and have found them to be of some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must apply the law to the facts of this particular case. I have found that BC Hydro was negligent in failing to place a barricade around the pole. If that had been done, pedestrians walking close to the guardrail (in either direction) would have been diverted away from the end of the pole, before reaching it. As the plaintiff approached the pole, she was walking along the sidewalk, keeping a proper lookout, when she was required to change her course by the pole on the sidewalk ahead of her. If a barricade had been placed around the pole, the plaintiff would have been diverted away from the end of the pole, before reaching it, and would not have tripped over it. But she saw the pole, and knew she had to go around the end of it. If a barricade had been present, it would have done no more than to direct the plaintiff to do, what she already knew she must do. She failed to maintain a proper lookout so as to know the location of the end of the pole on the ground, and as a result of that failure she misjudged her step and tripped over the end of the pole.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my opinion, the failure of BC Hydro to place a barricade around the pole was not an effective cause of the plaintiff's accident. It may be true that, if the pole had not been put there, the accident would never have happened. But in my opinion, that is not sufficient to establish a causal connection. The fact that the plaintiff had an opportunity to avoid the consequences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failed to do so due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no longer leads automatically to a dismissal of the plaintiff's claim. But in my view, when the plaintiff saw the pole ahead of her, and had the opportunity and ability to easily avoid tripping over it, the risk created by BC Hydro lost its potential to cause the plaintiff to trip and fall as she did. It might be otherwise, if the plaintiff had been proceeding along the sidewalk at night, holding on to the guardrail, and then either failed to see the log ahead of her, or failed to see it in time to avoid tripping over it. But that is not what happened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find it unnecessary to determine whether the decision of the City regarding sidewalk inspection was, or was not, a bona fide policy decision. As to the objection by the City to the admissibility of the evidence as to the kind and severity of the injuries sustained by the plaintiff, I think the objection is well taken. Of course, a plaintiff must establish that he or she was injured, as part of the cause of action on liability, but once the fact of injury has been proved, I think the severity of the injuries is not relevant on the issue of liability. I think it is logical to assume that a person could be injured by tripping over the end of a pole that was lying on the sidewalk, and falling down on to the pole and/or the sidewalk. But in my opinion, the determination of liability requires no further consideration of the plaintiff's injuries,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action of the plaintiff is dismissed as against both defendants. I think an amended writ of summons should be prepared and filed, so as to properly make BC Hydro a defendant, but I do not think that, in the circumstances, the plaintiff should be charged any filing fee for doing this. Nor do I think it should be necessary to prepare and file an amended statement of claim, so as to allege a cause of action against BC Hydro, since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have long been known to BC Hydro. If necessary, counsel may speak to the matter of regularizing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rule is that costs shall follow the event unless the court otherwise orders. The plaintiff was seriously injured and might suffer some degree of permanent disability. The pole that she tripped over was put on the sidewalk by BC Hydro, and that sidewalk was owned and maintained by the City. It is understandable that she sued the City and BC Hydro, in an attempt to gain compensation for her injuries. I appreciate that the defendants have been put to considerable work and expense in defending against the plaintiff's claim. But I am hopeful that, in the circumstances of this case, the defendants will give consideration to waiving their claims for costs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If the issue of costs cannot be settled, the matter may be set down for hearing by communicating with the trial coordinator.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HALFYARD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9" style="position:absolute;z-index:251890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39"/>
          <w:headerReference w:type="default" r:id="rId840"/>
          <w:footerReference w:type="even" r:id="rId841"/>
          <w:footerReference w:type="default" r:id="rId842"/>
          <w:headerReference w:type="first" r:id="rId843"/>
          <w:footerReference w:type="first" r:id="rId84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45" w:history="1">
        <w:r>
          <w:rPr>
            <w:rFonts w:ascii="arial" w:eastAsia="arial" w:hAnsi="arial" w:cs="arial"/>
            <w:b/>
            <w:bCs/>
            <w:i/>
            <w:color w:val="0077CC"/>
            <w:kern w:val="32"/>
            <w:sz w:val="28"/>
            <w:szCs w:val="32"/>
            <w:u w:val="single"/>
            <w:shd w:val="clear" w:color="auto" w:fill="FFFFFF"/>
            <w:lang w:val="en-US" w:eastAsia="en-US" w:bidi="ar-SA"/>
          </w:rPr>
          <w:t>Leigh v. Mead, [2012] B.C.J. No. 695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D.A. Halfyard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23,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11,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57495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Nanaimo</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695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513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Kristina E. Leigh, Plaintiff, and Delaine Mead,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0"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9" w:name="Keywords_39"/>
      <w:bookmarkEnd w:id="259"/>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Equal apportionment — Duty of care — Motor vehicles — Pedestrians — Action by Leigh against Mead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allowed in part — Leigh was working at a ticket booth for BC ferries — Mead became angry while purchasing a ticket from Leigh — Leigh exited her booth to confront Mead — Mead drove forward and the side mirror struck Leigh — Mead should have seen Leigh and her act of driving forward was negligent and was a cause of the accident — However, Leigh failed to take reasonable care for her own safety and was contributorily negligent — Fault was assessed at 50 per cent each against Mead and Leigh.</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0" w:name="Case Summary_36"/>
            <w:bookmarkEnd w:id="26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Leigh against Mead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Leigh was working at a ticket booth for BC ferries. When Mead drove up to the booth and attempted to purchase a ticket, she became angry over the price. After the transaction was completed, Leigh exited her booth to confront Mead. Mead began moving her vehicle forward and the side mirror struck Leigh. Leigh took the position that the accident was caused by Mead's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operation of her motor vehicle. Mead took the position that the accident was either caused solely by Leigh's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alternatively, Leigh was contributorily negligent.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1" w:name="Holdings of Court_33"/>
            <w:bookmarkEnd w:id="261"/>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Mead should have seen Leigh and should not have driven forward. Mead's act of driving forward was negligent and was a cause of the accident. However, Leigh failed to take reasonable care for her own safety and was contributorily negligent. Fault was assessed at 50 per cent against Mead and 50 per cent against Leigh.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2" w:name="Legislation Cited_28"/>
      <w:bookmarkEnd w:id="26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1"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846" w:history="1">
        <w:r>
          <w:rPr>
            <w:rFonts w:ascii="arial" w:eastAsia="arial" w:hAnsi="arial" w:cs="arial"/>
            <w:i/>
            <w:color w:val="0077CC"/>
            <w:sz w:val="20"/>
            <w:u w:val="single"/>
            <w:shd w:val="clear" w:color="auto" w:fill="FFFFFF"/>
            <w:lang w:val="en-US" w:eastAsia="en-US" w:bidi="ar-SA"/>
          </w:rPr>
          <w:t>RSBC 1996, CHAPTER 333, s. 3</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14-1(15)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3" w:name="Counsel_38"/>
      <w:bookmarkEnd w:id="26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2" style="position:absolute;z-index:251801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N. Bower.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R.K. Hornquist.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4" w:name="Judgment_39"/>
      <w:bookmarkEnd w:id="264"/>
      <w:r>
        <w:pict>
          <v:line id="_x0000_s1223" style="position:absolute;z-index:2518517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5" w:name="D.A. HALFYARD J."/>
            <w:bookmarkEnd w:id="265"/>
            <w:r>
              <w:rPr>
                <w:rFonts w:ascii="arial" w:eastAsia="arial" w:hAnsi="arial" w:cs="arial"/>
                <w:b/>
                <w:color w:val="000000"/>
                <w:sz w:val="30"/>
                <w:lang w:val="en-US" w:eastAsia="en-US" w:bidi="ar-SA"/>
              </w:rPr>
              <w:t>D.A. HALFYARD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has been the trial of an action for damages for personal injuries, on the issue of liability only. The plaintiff, Kristina Leigh alleges that she was injured as a pedestrian when she was struck by a motor vehicle being driven by the defendant, on September 7, 2007, at Nanaimo. It is alleged that the said accident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in the operation of her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defendant, Delaine Mead admits that the side view mirror of her motor vehicle was in a minor collision with the person of the plaintiff, but denies liability for the accident. She says that the accident was caused solely by the plaintiff's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alternative, the defendant alleges that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contributing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called two witnesses, herself and Shirley Vierstra. The defendant was the only witness who testified for the defence. Only a few documentary exhibits were filed, which included three photographs, an incident report made by the plaintiff to her employer on September 17, 2007 and the defendant's statement to an adjuster for the Insurance Corporation of British Columbia on October 16, 2007. The evidence and arguments were completed in one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testimony of the plaintiff, Kristina Leigh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will first summarize the evidence given by the plaintiff on direct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had been working for B.C. Ferries at Nanaimo, for 20 years, the last seven years as a ticket agent at the Departure Bay Terminal. On the morning of September 17, 2007, she was working as a ticket agent in one of the five small buildings or booths located at the entrance to the Departure Bay Ferry Terminal. The drivers of motor vehicles intending to travel by ferry from Departure Bay to Horseshoe Bay had to purchase a ticket at one of these booths, before they could enter the ferry terminal parking lot to wait until boarding time. The ticket agent opens a sliding window in the ticket booth, which is located on the driver's side of motor vehicles which drive up to the booth to purchase a ticket. The ticket booth window and the driver's door window are quite close to each other when each vehicle stops, so that tickets can be paid for, and handed to the drivers, without it being necessary for a driver to get out of his or her vehicle. Nor is it necessary for the ticket agent to come outside the ticket booth, except when it is necessary to measure the length or height of a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around 9:00 a.m. on September 17, 2007, a woman driving a pickup truck with camper drove up to the plaintiff's ticket booth and stopped. The truck had a diesel engine, which was loud, making it difficult to hear. The woman told the plaintiff that she had a reservation for her vehicle, and the plaintiff found a record of this reservation on the computer system. The reservation was for a vehicle not exceeding 20 feet in length, but the plaintiff suspected that it might be longer than that and so she went out of the ticket booth and measured the length of the pickup truck. She found it to be 24 feet long. The woman (who was alone) became angry, when the plaintiff told her what the price of the ticket would be. She objected to the price being charged. The plaintiff saw that the woman had a gold Care Card in her hand and since it was a day of the week on which senior citizens were not charged a passenger fare, the plaintiff deducted the passenger fare from the overall price being charged. The woman continued to object and complain.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woman had handed payment to the plaintiff, and the plaintiff handed the ticket to her, in return. The woman asked what vehicle lane she should park in, and the plaintiff told her "lane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woman then got out of her pickup truck, and walked forward and up to another ferry worker who was walking past. The plaintiff heard the woman say to the man, that she did not know what lane she was supposed to drive into. The plaintiff heard the man tell the woman that it was lane 18, and that it was written on her ticket. The woman then said to the plaintiff (who was in her ticket booth, but within sight and hearing) that she would get the plaintiff fired from her job. The plaintiff then stated that she had had enough, and told the woman to pull her truck over to the left, just past the ticket booth and that she would get a manager. The plaintiff then came out of her ticket booth.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woman then drove her pickup truck forward, and the side view mirror on the driver's side hit the plaintiff on her arm. The woman then said "Good, I'll sue you for breaking my mirror". She then drove away to lane 18 in the parking lot and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identified the defendant in court, as being the driver of the pickup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woman never turned her truck engine off although the plaintiff had asked her to do so. Ms. Mead told the plaintiff that she would not be able to start the engine again, if she shut it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had a hard time hearing Ms. Mead, and Ms. Mead had to yell quite loudly so that the plaintiff could hear her, during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identified photographs of a pickup truck as being similar to the truck driven by Ms. Mead. (The photographs were entered as Exhibit 1). It only took the plaintiff a few seconds to measure the length of Ms. Mead's truck. Ms. Mead paid for her ticket with a credit card. There was no hurry, and Ms. Mead had lots of time to catch the ferry. The plaintiff did not tell Ms. Mead that she might not get on the ferry.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saw the Care Card in Ms. Mead's hand and asked about it, because Ms. Mead had not yet mentioned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repeated that Ms. Mead got very angry, said her truck had never been measured before, was yelling about the price and was yelling about a friend of hers who worked on the ferry who was having trouble with other ferry workers being mean and rude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When Ms. Mead got out of her truck to go and talk to the other ferry worker, she left her truck running and closed the truck door. The plaintiff did not know the ferry worker to whom Ms. Mead was talking, but she could hear them talking though the back door of the ticket booth, which she had opened so that she could hear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Mead should have known what lane she was supposed to drive into, because the plaintiff had told her twice what the lane number was. The plaintiff was not worried about Ms. Mead making a complaint about her to her superiors.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After she spoke to the other ferry worker, Ms. Mead got back into her truck, and was still yelling out that she would make sure the plaintiff got fired. Her truck was still stopped beside the ticket booth. The plaintiff wanted the manager to come out and so she went out of her booth, to a position beside the front tire on the driver's side of the defendant's vehicle. She was standing on the narrow cement curb which runs below the window of the ticket booth. She put one foot on the curb and one foot on the roadway. Within seconds, Ms. Mead drove her truck forward. The plaintiff did not know that Ms. Mead had put her transmission into the drive position, or that she was going to step on the gas and move forward. The plaintiff was standing about two feet away from the side mirror on the driver's side of Ms. Mead's truck. The truck moved forward suddenly, and gave the plaintiff no chance to step back and out of the way behind the ticket booth.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was not worried about Ms. Mead making a complaint against her. She herself had tried to call a manager at some point during the confrontation, but the manager was not available. She believes that she did not ever yell at Ms. Mead, but only talked loud enough to be heard over the engine noise. She might have yelled louder at Ms. Mead, after hearing what she told the other ferry worker.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She never thought that Ms. Mead would drive forward when she did and thought the truck transmission was still in the park position (although she did not know whether the transmission was automatic or standard). She did not make any signal to Ms. Mead to stop the truck. It happened too fast for her to get out of the way. Before the truck moved forward, the plaintiff had pointed to the place where she wanted Ms. Mead to drive, which would require Ms. Mead to drive forward a very short distance and then make a hard left hand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whole incident took perhaps ten minutes in total, which was longer than usual. But traffic was not being held up, and the plaintiff was not worried about holding things up. She never insulted Ms. Mead or swore at her. She does not recall telling Ms. Mead that she could not get on the ferry. She does not know whether she did, or did not, say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That is a summary of the evidence given by the plaintiff on direct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was cross-examined extensively on her version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confirmed that she only opened the door to her ticket booth, so that she could hear what Ms. Mead was saying to the other ferry worker. When Ms. Mead's truck was stopped beside the ticket booth, it was close enough so that she and Ms. Mead could exchange the documents necessary to complete the transaction, hand to hand. The front of Ms. Mead's truck, while it was stopped there, was approximately adjacent to the back end of the ticket booth, where the only door was located. When the plaintiff went out the door to confront Ms. Mead, she had to turn right and then go between the front part of the driver's side of the truck, and the ticket booth. The front bumper of the truck was not quite to the end of the ticket booth building, but was about eight to ten inches short of that point. The width of the sidewalk was perhaps ten inches, and the height of it was less than a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Counsel put it to the plaintiff that Ms. Mead had turned off her truck engine. The plaintiff denied this and said that she was certain that she had asked Ms. Mead to turn the engine off, but Ms. Mead had said "no", and that she would have trouble restarting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did not recall whether Ms. Mead said that she had paid less for a vehicle ticket a week earlier. She did not recall whether Ms. Mead said she thought the ticket price was "not far off", after the plaintiff had deducted the cost of her passenger fare from the initial ticket price (based on the Care Card). She said that Ms. Mead got angry when the plaintiff told her that she had to measure the truck, and Ms. Mead never calmed down after that time. The plaintiff said that she herself never got angry, during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Counsel suggested to the plaintiff that Ms. Mead had said she would not pay the initial price demanded by the plaintiff, and that the plaintiff replied by saying something like "If you don't like it, you can leave and not get on the ferry." The plaintiff said that she did not recall such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being asked how Ms. Mead paid for her ticket, the plaintiff said she could not recall whether she paid by cash or by credit card. She said she handed Ms. Mead her ticket, her change and receipt, and told her to drive into lane 18. She said she also gave Ms. Mead tickets for the propane tank (or tanks) she was carrying. Counsel suggested to the plaintiff that she was upset by what Ms. Mead had said, and the plaintiff answered "not really", but added that maybe she was frustrated.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When questioned about when she had tried to make a telephone call to a manager, the plaintiff said that she did not do this until after she was hit by Ms. Mead's truck, and found that no manager was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Counsel established that, on her examination for discovery on March 3, 2011, the plaintiff had testified to the effect that she closed the window of her ticket booth because she had had enough of Ms. Mead and her noisy truck and because the transaction was completed (Q. 339-340). On discovery the plaintiff also testified that, after she closed the window, Ms. Mead continued yelling and honking her horn, was irate, and so the plaintiff did not open her window (Q. 345-346). I understood the plaintiff to accept her discovery evidence as being true (and no inconsistency was suggested).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then stated that she could not now remember at what point during the incident she tried to call a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Counsel suggested to the plaintiff that she heard Ms. Mead tell the other ferry worker that she (the plaintiff) wouldn't tell her what lane she was supposed to drive into. The plaintiff answered that she was not sure whether Ms. Mead had told the other worker that she (the plaintiff) would not tell her where to go, or whether she just told him that she did not know where to go. Counsel then established that, on discovery, the plaintiff had testified that Ms. Mead told the ferry employee "that I refused to tell her what lane" (Q. 349-350). The plaintiff acknowledged what she had said on discovery, but reasserted that she is now not sure how Ms. Mead had expressed herself to the other ferry worker.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When asked whether it was possible that Ms. Mead did not hear the plaintiff tell her to go to lane number 18, the plaintiff answered that it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testified that, after she and Ms. Mead had completed their ticket transaction, she expected Ms. Mead to drive away, into lane 18. She said that it was approximately one minute from the time Ms. Mead got back into her truck (after talking to the other ferry worker) to the time when she was hit by the truck mirror.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insisted that she had done nothing wrong, and that she was not worried about Ms. Mead making a complaint against her. When counsel suggested to her that she was frustrated and angry, so she went quickly out of her ticket booth and turned to the right, just as Ms. Mead was starting to pull away from the ticket booth, the plaintiff denied this. She said, in substance that "I just got out there and the mirror hit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said that the mirror hit her on her left upper arm, and that the truck stopped right away. She said the truck had moved two to three feet. And, she said that, when she rounded the corner of the ticket booth she would only be two or three feet away from the mirror.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said that, when she got outside the booth to that location beside the truck, she told Ms. Mead that she wanted her to pull off and that she was going to get a manager. The plaintiff stated that, as soon as she spoke those words, the truck moved forward. She said that she made eye contact with Ms. Mead, when she came outside the booth. She said that she had walked around the corner of the booth, and towards the driver's window of Ms. Mead's truck, and then stopped. She said that she could have reached out and touched the side view mirror, from the point where she was standing. She said that, while in that position, she was telling Ms. Mead where to drive to, and pointing with her left arm, signalling for Ms. Mead to make a left turn. She said she was pointing over and back with her left arm (which seemed to be an awkward arm position). She said Ms. Mead's driver's window was open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said that she was not knocked down when the mirror struck her, but the mirror folded in as a result of the collision. She said she was pushed back a bit by the collision. Ms. Mead then said "I'll sue you". The plaintiff said that at this time, she was in a position approximately beside the driver's door, and that she herself then pulled the mirror back out to its original position, to show Ms. Mead that it was not broken.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said that she went back into her ticket booth, and Ms. Mead drove away into the parking lot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was shown a copy of an Incident Report, and she stated that she had prepared this report and had signed it, that same day. Counsel suggested that the plaintiff had written in her report that another worker had seen the accident occur. The plaintiff answered that she had said something like that, but was not sure of the exact words that she had written.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Counsel then established that, at page two of her Incident Report, the plaintiff had stated: "Another co-worker heard this lady yelling at me and saw her accelerate." The plaintiff said that the co-worker had asked her what had happened, and she (the plaintiff) had told her. The co-worker had stated that she, (the co-worker) had seen the truck, and had seen it move forward. (I understood the plaintiff to mean that her co-worker had not claimed to have seen the collision between the truck and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That is a summary of the main points covered in the plaintiff's cross-examination.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Shirley Vierstra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Shirley Vierstra was a long-time employee of the B.C. Ferries. On the morning of September 17, 2007, she was working as a ticket booth attendant at the Departure Bay Ferry Terminal. She was in a booth near to the booth where the plaintiff was working, but the plaintiff's booth would be behind Ms. Vierstra when she was dealing with drivers of motor vehicles through the window of her own ticket booth.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Vierstra noticed that a pickup truck with camper had been at the plaintiff's ticket booth for quite a long time. She saw the plaintiff measure the length of the vehicle. She sensed that something was not right from the sound of the conversation she could hear. She did hear the pickup truck running, but was not sure whether it was running for the whole time. She could not tell whether the truck had a diesel engine or a gas engine.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Both the plaintiff and the driver of the pickup truck raised their voices during the transaction. The driver raised her voice to a greater extent than did the plaintiff, and her body language indicated that she was upset. Towards the end of the incident, the driver of the pickup honked her horn, and at that time the plaintiff was in her ticket booth. She saw the plaintiff come out of the ticket booth and go to a position at or near the driver's window, between the truck and the ticket booth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Vierstra did not see the truck when it began to drive away from the ticket booth, and she did not see the truck hit the plaintiff. She did not see the truck move forward and then stop. She only heard the sound of the truck engine accelerating and when she looked again, the truck had driven away from the ticket booth.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Vierstra called out to the plaintiff and asked her what happened. The plaintiff said "she hit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Vierstra does not know whether the plaintiff was upset or whether she was just trying to explain something to the driver of the pickup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cross-examination, Ms. Vierstra stated that she was at work selling tickets to drivers of motor vehicles, and so she was not watching what was occurring at the plaintiff's ticket booth, the whole time. She confirmed that she did hear the pickup truck accelerate.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Counsel asked Ms. Vierstra whether she had ever told the plaintiff that she had seen the truck accelerate. She said she could not recall. She said she and the plaintiff did discuss the incident, but said that they did not discuss the question of whether or not she (Ms. Vierstra) had seen the truck hit the plaintiff. Ms. Vierstra said that she could not make out the words of the conversation between the plaintiff and the truck driver. She said she could tell that it was not a regular conversation, from the body language. She said she could see the driver better than she could see the plaintiff, due to the obstruction of her vision by the pickup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That is a summary of the evidence called by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testimony of the defendant, Delaine Mead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Mead is 72 years of age and she retired from working in 1998. She had operated a horse and carriage business in Courtenay for a number of years, before retiring. At the time of the accident, she was living in Agassiz, B.C. She is in good health, except for being a diabetic.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September 17, 2007, Ms. Mead was on Vancouver Island and intending to catch the 10:00 a.m. ferry from Departure Bay to Horseshoe Bay. She had been visiting in Courtenay and her friend had telephoned B.C. Ferries and had arranged a reservation for her truck for that particular ferry. Her truck was a 2004 Chevrolet pickup, with a camper on the back. It had a diesel engine and an automatic transmission. The diesel engine was noisier than a gas engine would be. The truck was in excellent condition and she had not had any problems with starting the engine.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Mead arrived at the Departure Bay Ferry terminal in plenty of time, about an hour before sailing time. She drove up to the ticket booth in which the plaintiff was working. She turned off her truck engine. Ms. Mead told the plaintiff that she had a reservation and showed the plaintiff her gold card (Care Card). The plaintiff then measured the length of her truck, and told Ms. Mead what the price would be. Ms. Mead told the plaintiff that the price was higher than when she had crossed on the ferry a week earlier. The plaintiff said words to the effect: "If you don't like it you can leave." Ms. Mead obviously wanted to get on the ferry, and told the plaintiff that she had a reservation, and handed her cash to pay for the fare. The plaintiff took the money, and gave Ms. Mead tickets for the ferry and for her propane tanks and also handed her the change from the money she had paid. The plaintiff did not tell her what lane she should drive into, to wait for the ferry. The plaintiff slammed the window shut.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Not knowing what lane she was supposed to drive to, Ms. Mead got out of her truck and walked out past the front of it, to a man who appeared to be a ferry worker. She showed him her ticket and asked him what lane she should drive into. He told her, "Lane 18."Ms. Mead went back and got into her truck. She does not know whether she left the engine running while she got out to talk to the man, or not. She put her truck in gear, and started moving forward. All of a sudden she saw something orange to her left and hit the brakes but her side view mirror was hit. The truck stopped immediately. The side view mirror had been folded in from the contact with the plaintiff, who was then waving her arms and hollering, after stepping back a little. The plaintiff directed quite a few vulgar words towards Ms. Mead. Ms. Mead does not remember if she responded, but allows that she might have said something like "You should be reported."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Mead was looking ahead and to her right (in the direction where she was going to drive into the parking lot) when the collision with the plaintiff occurred. She did not see the mirror hit the plaintiff, but she heard it. When she started to drive forward, Ms. Mead did not see anyone in front of her truck or to the left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Mead thought that she herself had pushed her side view mirror back into its proper place, after she had parked in lane 18. She had no recollection of the plaintiff pulling the mirror back into position, and said that the plaintiff wasn't that close to her after the collision. (In answer to later questions by the court, Ms. Mead said that she did not think the plaintiff had been hurt, that the plaintiff went away, and that she drove away, into the ferry terminal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After parking in lane 18, Ms. Mead went into a coffee shop in the terminal building and, while there made a report of the incident to a ferry worker. She then caught the ferry to Horseshoe Bay, and drove to Hope. The next day, Ms. Mead suffered a heart attack and spent a week in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That is a summary of the testimony given by Ms. Mead in her direct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Counsel for the plaintiff cross-examined Ms. Mead at some length.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Upon being challenged, Ms. Mead repeated much of what she had said in her direct examination, and added a few details on some points. She said she had taken the ferry trip lots of times, and that the ticket agent always tells her the lane number to drive into to wait for the ferry. She said she paid for the fare with a $100 bill.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Counsel suggested to Ms. Mead that she became quite angry. Ms. Mead answered that she did not recall being angry, only being surprised at the higher price quoted by the plaintiff. She said, in effect, that the plaintiff said she was not going to allow her to get on the ferry when she questioned the price that was being charged. Ms. Mead said that she responded by saying that she had a reservation and passed a $100 bill to the plaintiff. She said that the plaintiff took the money, gave her the tickets and the change, and slammed her window shut. She said that ended the conversation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Mead could not recall the plaintiff telling her that the initial price that she had quoted would be reduced because she had a Care Card.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Mead said that she did not see the plaintiff at all, when she went to talk to the other ferry worker to find out which lane she should go to. She said she was surprised when the man told her that the lane number was printed on her ticket.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Mead said that she did not recall raising her voice to the plaintiff, at any time. She again denied being angry with the plaintiff, but later admitted that she was "upset" when the plaintiff told her that she could not get on the ferry. She also appeared to admit that she raised her voice at that time. But she denied yelling at the plaintiff until after the plaintiff told her to get off the lot. (I understood Ms. Mead to be referring to a statement made by the plaintiff, when Ms. Mead objected to the high price that she initially quoted.) Ms. Mead said that the plaintiff was "unpleasant from the beginning."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 further questioning about the conversation, Ms. Mead testified that, when the plaintiff handed her back the tickets and her change, she thinks she said something like: "If you can't handle it, maybe you should look for another job." She said that this made the plaintiff angry, and she slammed the window shut.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Counsel asked whether Ms. Mead heard a beeping sound when she got out of her pickup to talk to the other ferry worker. Ms. Mead said that she did not remember hearing such a sound, and then reasoned that she must have taken her key out of the ignition when she went to speak to the 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With respect to the accident itself, Ms. Mead testified that, after speaking to the other ferry worker, she got back into her pickup truck and started the engine. She started moving forward, and then heard the side view mirror being swung in, and said that it shocked her. She then saw that the plaintiff was there, beside the truck, and she knew that there had been contact between the plaintiff and her side view mirror. Ms. Mead said: "She bumped it, I guess." Ms. Mead said that she stopped her truck very quickly after beginning to move forward, and denied driving forward 'suddenly'."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Ms. Mead said that the plaintiff had not mentioned calling a manager, until after the accident. She said that the plaintiff was very abusive towards her after the accident, and said she cannot recall how she responded to the plaintiff. She said, in effect, that she had not seen the plaintiff at all after she slammed her window shut, until immediately after the side view mirror had hit her. She said that she believes she fixed her mirror herself, after she parked in lane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Counsel for the plaintiff established that the plaintiff had made a statement to an ICBC adjuster on October 16, 2007, and had Ms. Mead identify her statement and read it over. Counsel first had Ms. Mead admit that in her statement, she said that she herself reached out and pushed her mirror back into place, immediately after the accident, and before moving into the parking lot. Ms. Mead acknowledged that she must have done that, but she does not now recall doing so. She said she believes she checked the mirror again, after she parked in lane 18. Next, it was shown that in her statement, Ms. Mead said that the plaintiff told her that she was going to call a supervisor, just before Ms. Mead handed her the money to pay for the ticket. Ms. Mead said that she does not now recall the plaintiff making that statement at that point in time, but only after the accident had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Ms. Mead denied telling the plaintiff that she knew someone who worked on the ferry who was going to quit, etc. and stated that she does not know anyone who works on the ferry.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Counsel then referred Ms. Mead to the version of the accident she had given in her statement to the ICBC adjuster. Her account appears at page 2 of the statement, and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As I started to move forward the booth lady came storming/running out of the booth yelling at me but I don't know what she was yelling. She ran about 8 feet towards my driver's door waiving her arms and yelling something. I immediately put on my brakes. She ran at my door and bashed her left arm on the outside of my mirror, moving the mirror inwards as it's a swing mirror. I was almost stopped when she hit the mirror ... I was stopped a split second after she hit the mirror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Ms. Mead said that the version of events contained in her statement to the ICBC adjuster was wrong. She said she did not see the plaintiff until after the mirror had been hit and she did not hear the plaintiff yelling until after the hit.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That is a summary of the evidence presented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issue of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Court is faced with two versions of the events which are in conflict in numerous respects. The essential point of conflict is whether the plaintiff was standing beside the front wheel on the driver's side of the defendant's truck, at the time the defendant put her truck in forward motion. The plaintiff has testified that she was in that position, and even stated that she had made eye contact with the defendant and was talking to her and giving directions about where to go, when the defendant suddenly drove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defendant denies that the plaintiff was in that position and testified in effect, that she did not see the plaintiff at all, until her side mirror hit the plaintiff. The defendant implies that the plaintiff suddenly and carelessly put herself in a position of danger, just as the defendant was beginning to drive forward and when it was impossible for her to completely stop before the mirror hit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Obviously, I must assess the credibility of the parties before I can make the findings of fact necessary to decide the two potential issues in the case, which are:</w:t>
      </w:r>
      <w:r>
        <w:rPr>
          <w:rFonts w:ascii="arial" w:eastAsia="arial" w:hAnsi="arial" w:cs="arial"/>
          <w:sz w:val="20"/>
          <w:lang w:val="en-US" w:eastAsia="en-US" w:bidi="ar-SA"/>
        </w:rPr>
        <w:cr/>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the accident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so, was the accident also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credibility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my view, there are several features about Ms. Leigh's evidence that have the potential to adversely affect her credibility. First, her trial testimony was to the effect that, although she saw and heard Ms. Mead talking to the other ferry worker about what lane she should go to, she (Ms. Leigh) did not come outside her ticket booth until after Ms. Mead had got back into her pickup truck. But in her incident report, Ms. Leigh clearly stated that she came out of her ticket booth, and had words with Ms. Mead, before Ms. Mead ever got back into her truck. Further, according to her incident report, Ms. Leigh said that when Ms. Mead got back into her truck she said she was going to make sure that she (Ms. Leigh) lost her job and that she (Ms. Mead) was going to make a complaint. Ms. Leigh further stated in her incident report that she then "walked up beside the truck and told her to see a manager turn left after my booth. I pointed to the area for her to park. She then accelerated hitting my left shoulder with her mirror."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clear implication conveyed by the statements made by Ms. Leigh in her incident report is that both she and Ms. Mead spoke to each other, after Ms. Mead got back into her pickup truck, but before she drove it forward. If the statements in the incident report are true, they would compel the inference that Ms. Mead knew that Ms. Leigh was in a position of danger, when she drove her truck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There is a serious contradiction between the incident report and the plaintiff's trial testimony. At trial, the plaintiff testified to the effect that she only came out of her booth after Ms. Mead got into her pickup truck, and that she just got to a position beside the truck (and started talking and signalling to Ms. Mead) before it moved forward and the mirror struck her (and immediately stopped, after moving two to three feet). No explanation was offered by the plaintiff for making these inconsistent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Secondly, I was not favourably impressed by Ms. Leigh's apparent attempt to convey the impression that she went outside her ticket booth, in order to help the defendant make a complaint about her, to a manager. As I see it, that motive is so highly improbable on the face of it, that it must be rejected. It seems obvious to me that Ms. Leigh went outside, in order to prevent Ms. Mead from driving into the ferry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Finally, Ms. Leigh testified in substance that she could not recall saying anything to Ms. Mead to the effect that Ms. Mead would have to pay the ticket price, or she would not be able to go on the ferry. Ms. Leigh testified that Ms. Mead was complaining bitterly about the high price of the ticket, and Ms. Mead agrees that she was objecting to the price being charged. In these circumstances, it would be entirely logical and proper for Ms. Leigh to tell Ms. Mead that she could not get on the ferry, unless she paid the price of the ticket. Yet Ms. Leigh testified that she could not recall whether she told Ms. Mead anything like this. I would have thought that it would be standard practice for ticket agents to tell prospective customers who complain about the price, that they must pay the fare, or they cannot board the ferry. I find it suspicious that Ms. Leigh professes an inability to remember whether she said anything similar to Ms. Mead.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was not concerned about the inconsistency in the plaintiff's testimony about the method of payment used by Ms. Mead, or her uncertainty about the point in time when she first tried to call a manager. Nor was I troubled about the minor inconsistency between the plaintiff's trial testimony and her discovery evidence, as to whether Ms. Mead had told the other ferry worker that the plaintiff had failed to inform her of the lane number, or had refused to tell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my opinion, there is a significant risk that some parts of Ms. Leigh's evidence are not reliable. I will take that risk into account, when making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credibility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There are weaknesses in Ms. Mead's evidence, which tend to diminish her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her trial testimony, Ms. Mead has said, in effect, that she did not see Ms. Leigh at all, before her side mirror hit Ms. Leigh. Her position is that Ms. Leigh was not beside her truck when she drove forward, and that Ms. Leigh only moved into that position after she (Ms. Mead) had put her truck in motion and when it was too late for her to stop before the mirror hit Ms. Leigh. In effect, Ms. Mead has testified that she did not see Ms. Leigh before she began to drive forward, because Ms. Leigh was not there to be seen, when she put her truck in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most serious problem with Ms. Mead's credibility is that her statement to ICBC contradicts her trial testimony in several fundamental respects. I reproduce part of her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As I started to move forward the booth lady came storming/running out of the booth yelling at me but I don't know what she was yelling. She ran about 8 feet towards my driver's door waiving her arms and yelling something. I immediately put on my brakes. She ran at my door and bashed her left arm on the outside of my mirror, moving the mirror inwards as it is a swing mirror. I was almost stopped when she hit the mirror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her statement to ICBC, Ms. Mead is saying that she saw Ms. Leigh running towards her driver's door and so she put on her brakes, but was unable to stop in time to avoid having the mirror hit Ms. Leigh. That is, Ms. Mead seems to be saying that she watched Ms. Leigh running towards her mirror and that she tried to avoid a collision but had no time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Ms. Mead rejected her ICBC statement as being false, and insisted that her trial testimony was the true version. It is possible that Ms. Mead's ICBC statement represents an attempt to piece together how Ms. Leigh managed to get into a position beside her truck, and that the adjuster misinterpreted what she said and took it to mean that Ms. Mead had watched her move into that position. That seems unlikely. And even if such a misinterpretation was made, Ms. Mead should have corrected it. In my view, the serious contradiction between the statement and Ms. Mead's trial testimony creates a significant risk that her version of events is not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Has the plaintiff proved that the accident was caused by the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u w:val="single"/>
          <w:lang w:val="en-US" w:eastAsia="en-US" w:bidi="ar-SA"/>
        </w:rPr>
        <w:t xml:space="preserve"> of the defendant?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make the following findings of fact, keeping in mind the decisions I have made concerning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do not accept Ms. Leigh's evidence that she made eye contact with Ms. Mead, before Ms. Mead drove forward. It is possible that Ms. Leigh thought that Ms. Mead had seen her, before putting the truck in motion. I accept Ms. Mead's evidence, that she did not see Ms. Leigh before the side mirror hit her. Ms. Mead did not accelerate quickly from her stopped position, was moving ahead slowly, and stopped within a few feet,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As to the many other conflicts between the parties, not all of them can be resolved. I find that Ms. Mead left her truck engine running for at least part of the time consumed by the incident. I find that both parties became frustrated and upset as the transaction progressed, with Ms. Mead being more upset, and raising her voice higher than Ms. Leigh. I find that Ms. Leigh did tell Ms. Mead what lane she should drive into, but Ms. Mead did not hear her, likely due to the noise of her engine and her upset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am unable to say which of the two women pulled the side mirror of the truck back into its proper place. I find it probable that each party told the other that she was going to sue, but I am unable to say which party said it first. Obviously these conflicts are not on important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find that Ms. Mead was in the driver's seat of her pickup truck, which was stopped beside the ticket booth, with the engine running. The ticket purchase transaction had been concluded, Ms. Mead had found out which lane she was supposed to drive into, and she was intending to drive away from the ticket booth into the ferry terminal parking lot. At this time, Ms. Leigh was still inside her ticket booth. Ms. Leigh knew that Ms. Mead was preparing to drive away from the ticket booth, but after hearing what Ms. Mead had told the other ferry worker, Ms. Leigh wanted to stop Ms. Mead from driving into the ferry terminal parking lot. Ms. Leigh wanted Ms. Mead to stop her vehicle just around the corner from the ticket booth, so that a manager could be summoned. Ms. Leigh's purpose was not to enable Ms. Mead to register her complaint, but it may have been to prevent Ms. Mead from being able to board the ferry.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Ms. Leigh came out of her ticket booth, intending to round the corner and go to Ms. Mead's driver's window and confront her. As Ms. Leigh rounded the corner of the building, Ms. Mead was preparing to move forward. At this time, Ms. Mead was looking up ahead and to the right, in the direction that she was intending to travel into the parking lot. Just before Ms. Mead's pickup began to move forward, Ms. Leigh reached a position beside the left front wheel of the truck, and stood there intending to confront Ms. Mead and signal her to pull over. Ms. Mead did not see her there, and put her truck in forward motion. Ms. Leigh may have begun to make a signalling motion with her arm, but she did not speak out to Ms. Mead, before Ms. Mead began driving forward. Ms. Mead drove her truck forward, slowly. (Ms. Vierstra may have heard the truck accelerate, but that was likely when Ms. Mead drove forward the second time, after the accident had occured.)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As a result of the coincidence of these events, Ms. Leigh did not have sufficient time to move out of the way and Ms. Mead did not see her until it was too late to avoid a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Ms. Mead, as the driver of a motor vehicle, owed a legal duty to take reasonable care not to injure any pedestrian who was on the highway. The plaintiff was such a pedestrian.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 plaintiff relies on the general principle that, when a potential hazard is there to be seen, a reasonable driver would see the hazard and take steps to avoid it. This principle was expressed in these words in </w:t>
      </w:r>
      <w:r>
        <w:rPr>
          <w:rFonts w:ascii="arial" w:eastAsia="arial" w:hAnsi="arial" w:cs="arial"/>
          <w:i/>
          <w:color w:val="000000"/>
          <w:sz w:val="20"/>
          <w:lang w:val="en-US" w:eastAsia="en-US" w:bidi="ar-SA"/>
        </w:rPr>
        <w:t>Swartz Bros. Ltd. v. Wills</w:t>
      </w:r>
      <w:r>
        <w:rPr>
          <w:rFonts w:ascii="arial" w:eastAsia="arial" w:hAnsi="arial" w:cs="arial"/>
          <w:color w:val="000000"/>
          <w:sz w:val="20"/>
          <w:lang w:val="en-US" w:eastAsia="en-US" w:bidi="ar-SA"/>
        </w:rPr>
        <w:t xml:space="preserve">, </w:t>
      </w:r>
      <w:hyperlink r:id="rId847" w:history="1">
        <w:r>
          <w:rPr>
            <w:rFonts w:ascii="arial" w:eastAsia="arial" w:hAnsi="arial" w:cs="arial"/>
            <w:i/>
            <w:color w:val="0077CC"/>
            <w:sz w:val="20"/>
            <w:u w:val="single"/>
            <w:shd w:val="clear" w:color="auto" w:fill="FFFFFF"/>
            <w:lang w:val="en-US" w:eastAsia="en-US" w:bidi="ar-SA"/>
          </w:rPr>
          <w:t>[1935] S.C.R. 628</w:t>
        </w:r>
      </w:hyperlink>
      <w:r>
        <w:rPr>
          <w:rFonts w:ascii="arial" w:eastAsia="arial" w:hAnsi="arial" w:cs="arial"/>
          <w:color w:val="000000"/>
          <w:sz w:val="20"/>
          <w:lang w:val="en-US" w:eastAsia="en-US" w:bidi="ar-SA"/>
        </w:rPr>
        <w:t xml:space="preserve"> (at p. 634):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there is nothing to obstruct the vision and there is a duty to look, it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not to see what is clearly 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have found that the plaintiff had just reached a position beside the left front wheel of Ms. Mead's truck, before Ms. Mead put the truck in motion. Although Ms. Mead had no good reason to expect that the plaintiff would come out of the ticket booth to confront her at that moment, I conclude that she ought to have seen Ms. Leigh in that position and should not have driven forward until she got out of the way. I find that Ms. Mead failed to see Ms. Leigh because she was looking somewhat to her right, and she was also emotionally upset by the whole incident, and was not maintaining a proper look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conclude that Ms. Mead's act of driving forward in the circumstances that existed was negligent, in that it fell below the standard of a reasonable driver. That act of Ms. Mead was a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Has the defendant proved that the plaintiff was contributorily negligent?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sale transaction had been concluded, and the plaintiff had closed the window of her ticket booth. She heard Ms. Mead being told by a fellow ferry worker that she should drive into lane 18, to wait for the ferry. She knew that Ms. Mead went back and got into her pickup, and had the engine running. I infer that Ms. Leigh knew that Ms. Mead was about to drive away into the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Ms. Leigh testified to the effect that the reason why she went out of her ticket booth to talk to Ms. Mead was to tell her where to go, to register a complaint against Ms. Leigh. I am unable to accept that explanation. But even if it was true, Ms. Leigh could easily have conveyed that information to Ms. Mead, by opening up her ticket booth window and telling her from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find that Ms. Leigh wanted to prevent Ms. Mead from driving away, into the ferry terminal parking lot. I am unable to say what her ultimate motive was, in wanting to do that. But in the situation I have described, I find that Ms. Leigh failed to take reasonable care for her own safety, when she left the safety of the ticket booth, and took up a position close to the front wheel of Ms. Mead's truck. She was unable to quickly step aside when the truck started moving, because she was between the truck and the outside wall of the ticket booth. She should not have put herself in that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 conclude that the defendant has established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was a contributing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What degree of fault should be attributed to each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requires the court to determine the degree to which each of the defendant and the plaintiff was at fault for the collision which caused the plaintiff's injury, and to express the degree to which each party was at fault as a percentage of the total fault. Liability is then apportioned accordingly. If the court is unable to establish different degrees of fault, the liability must be apportioned equally.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am unable to identify any basis for attributing a greater share of the fault to one party or the other. As a consequence, I assess 50% fault against the defendant and 50% fault against the plaintiff. Liability is apportioned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 parties did not address costs at the trial. It would appear that s. 3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provides that the plaintiff should recover 50% of her costs from the defendant and the defendant should recover 50% of her costs from the plaintiff, unless the court otherwise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However, there is authority which indicates that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does not entitle a defendant to receive any costs of the proceeding from the plaintiff, where the defendant did not sustain any damage or loss. See </w:t>
      </w:r>
      <w:r>
        <w:rPr>
          <w:rFonts w:ascii="arial" w:eastAsia="arial" w:hAnsi="arial" w:cs="arial"/>
          <w:i/>
          <w:color w:val="000000"/>
          <w:sz w:val="20"/>
          <w:lang w:val="en-US" w:eastAsia="en-US" w:bidi="ar-SA"/>
        </w:rPr>
        <w:t>Bedwell v. McGill</w:t>
      </w:r>
      <w:r>
        <w:rPr>
          <w:rFonts w:ascii="arial" w:eastAsia="arial" w:hAnsi="arial" w:cs="arial"/>
          <w:color w:val="000000"/>
          <w:sz w:val="20"/>
          <w:lang w:val="en-US" w:eastAsia="en-US" w:bidi="ar-SA"/>
        </w:rPr>
        <w:t xml:space="preserve"> </w:t>
      </w:r>
      <w:hyperlink r:id="rId848" w:history="1">
        <w:r>
          <w:rPr>
            <w:rFonts w:ascii="arial" w:eastAsia="arial" w:hAnsi="arial" w:cs="arial"/>
            <w:i/>
            <w:color w:val="0077CC"/>
            <w:sz w:val="20"/>
            <w:u w:val="single"/>
            <w:shd w:val="clear" w:color="auto" w:fill="FFFFFF"/>
            <w:lang w:val="en-US" w:eastAsia="en-US" w:bidi="ar-SA"/>
          </w:rPr>
          <w:t>2008 BCCA 526</w:t>
        </w:r>
      </w:hyperlink>
      <w:r>
        <w:rPr>
          <w:rFonts w:ascii="arial" w:eastAsia="arial" w:hAnsi="arial" w:cs="arial"/>
          <w:color w:val="000000"/>
          <w:sz w:val="20"/>
          <w:lang w:val="en-US" w:eastAsia="en-US" w:bidi="ar-SA"/>
        </w:rPr>
        <w:t xml:space="preserve"> at paras. 29-30 and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defendant was successful on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the evidence on that issue was intertwined with the evidence on the issue of whether the defendant was negligent. It seems doubtful that Rule 14-1(15) should be applied in the defendant's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If the issue of costs cannot be settled, counsel should arrange a date to speak to the matter, by contacting the trial scheduling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 HALFYARD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4" style="position:absolute;z-index:251891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49"/>
          <w:headerReference w:type="default" r:id="rId850"/>
          <w:footerReference w:type="even" r:id="rId851"/>
          <w:footerReference w:type="default" r:id="rId852"/>
          <w:headerReference w:type="first" r:id="rId853"/>
          <w:footerReference w:type="first" r:id="rId85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55" w:history="1">
        <w:r>
          <w:rPr>
            <w:rFonts w:ascii="arial" w:eastAsia="arial" w:hAnsi="arial" w:cs="arial"/>
            <w:b/>
            <w:bCs/>
            <w:i/>
            <w:color w:val="0077CC"/>
            <w:kern w:val="32"/>
            <w:sz w:val="28"/>
            <w:szCs w:val="32"/>
            <w:u w:val="single"/>
            <w:shd w:val="clear" w:color="auto" w:fill="FFFFFF"/>
            <w:lang w:val="en-US" w:eastAsia="en-US" w:bidi="ar-SA"/>
          </w:rPr>
          <w:t>Lotocky (Litigation Guardian of) v. Markle, [2006] B.C.J. No. 1976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Macaulay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31; November 1 - 4, 14 - 17, 21 - 25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28; December 1 - 2, 5, 8 - 9 and 13 - 14,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March 6 - 8,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23,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03/4967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1976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1295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151 A.C.W.S. (3d) 959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Michael Lotocky, an infant, by his Litigation Guardian, Catherine Lotocky, Catherine Lotocky and Daniel Lotocky, Plaintiffs, and Dr. C.N. Markle, Dr. J.J. Schouls, Nurse A. Prutton, Nurse D. Quinlan, Nurse E. McDonald, Nurse I. Callander, Nurse B. Doe, Nurse C. Doe and Lions Gate Hospital,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(321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5"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6" w:name="Keywords_40"/>
      <w:bookmarkEnd w:id="266"/>
      <w:r>
        <w:rPr>
          <w:rFonts w:ascii="arial" w:eastAsia="arial" w:hAnsi="arial" w:cs="arial"/>
          <w:b/>
          <w:color w:val="000000"/>
          <w:sz w:val="20"/>
          <w:lang w:val="en-US" w:eastAsia="en-US" w:bidi="ar-SA"/>
        </w:rPr>
        <w:t xml:space="preserve">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Failure to diagnose — Failure to inform — Standard of care — Particular professions — Doctors — Nurses — The plaintiffs' claims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battery or breach of contract against the defendant doctors, nurses, and the hospital for damages allegedly suffered by the failure to perform a caesarean section instead of allowing the birth to proceed by vaginal delivery, which resulted in brain damage to the child, were all dismissed — The plaintiffs failed to prove establish liability, as they could not prove that any negligent acts on the part of the defendants led to the damages in question, that the mother had not been given the proper information to establish informed consent, or alternatively that the mother would have chosen to have a c-section.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Professional duties — Duties of care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The plaintiffs' claims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battery or breach of contract against the defendant doctors, nurses, and the hospital for damages allegedly suffered by the failure to perform a caesarean section instead of allowing the birth to proceed by vaginal delivery, which resulted in brain damage to the child, were all dismissed — The plaintiffs failed to prove establish liability, as they could not prove that any negligent acts on the part of the defendants led to the damages in question, that the mother had not been given the proper information to establish informed consent, or alternatively that the mother would have chosen to have a c-section.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Professions — Health Care — Doctors — Nurses — The plaintiffs' claims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battery or breach of contract against the defendant doctors, nurses, and the hospital for damages allegedly suffered by the failure to perform a caesarean section instead of allowing the birth to proceed by vaginal delivery, which resulted in brain damage to the child, were all dismissed — The plaintiffs failed to prove establish liability, as they could not prove that any negligent acts on the part of the defendants led to the damages in question, that the mother had not been given the proper information to establish informed consent, or alternatively that the mother would have chosen to have a c-section.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Professional — Medical — Standard of care — The plaintiffs' claims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battery or breach of contract against the defendant doctors, nurses, and the hospital for damages allegedly suffered by the failure to perform a caesarean section instead of allowing the birth to proceed by vaginal delivery, which resulted in brain damage to the child, were all dismissed — The plaintiffs failed to prove establish liability, as they could not prove that any negligent acts on the part of the defendants led to the damages in question, that the mother had not been given the proper information to establish informed consent, or alternatively that the mother would have chosen to have a c-section.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7" w:name="Case Summary_37"/>
            <w:bookmarkEnd w:id="26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claims were dismissed -- The plaintiffs alleged that their son suffered prolonged partial hypoxia-ischemia over the three days before his birth which left him unable to withstand labour and delivery without brain damage resulting in Hypoxic Ischemic Encephalopathy -- The plaintiffs claimed that one or more of the defendant doctors, nurses and the hospital where the delivery took place were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battery, or breach of contract by failing to perform a caesarean section rather than allowing the birth to proceed by vaginal delivery -- HELD: All claims were dismissed, as the plaintiffs failed to establish liability on the part of the defendants -- Nurse Callander did not fall below the level of a reasonably competent nurse in reaching the conclusions she did on the Kubli test, as the divergence of opinions among the various professionals illustrated there was room for differing interpretations of the data recorded -- There was no evidence that her failure to keep proper records, her charting errors and omissions had any effect at all on the course of events -- The plaintiffs had not established that a reasonably competent physician in the circumstances would have concluded that the drop-off in SFH required immediate investigation and interpreted the Aug. 18 NST as ominous, upon which premises their allegations of breached standards of care were based -- Dr. Markle and Dr. Schouls had failed to meet the standard of care in failing to take cord blood gas samples when the baby was born in obvious distress; however this was not a cause of the child's injuries -- As for the allegation of lack of informed consent, the plaintiffs failed to establish they would have pursued a different course of action had they been provided with all the options -- The court was satisfied that the plaintiff mother had understood and agreed to the approach that the vaginal delivery would proceed and that the doctors would perform a c-section if the fetus could not tolerate contractions -- Alternatively, a reasonable person in her circumstances, having already delivered two children through uneventful vaginal births would not have chosen to have a c-section -- Finally, the mother testified that she would have followed the advice of Dr. Schouls, who advised against the c-section.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8" w:name="Counsel_39"/>
      <w:bookmarkEnd w:id="26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6"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J.J. Arvay, Q.C., D.T.R. Murray, Q.C., I.C. Faulkner and F.M. McQueen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Dr. C.N. Markle and Dr. J.J. Schouls: C.E. Hinkson, Q.C. and K.F. Douglas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Nurse A. Prutton, Nurse I. Callander and Lions Gate Hospital: C.L. Woods, Q.C. and A. Howden-Duke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9" w:name="Judgment_40"/>
      <w:bookmarkEnd w:id="269"/>
      <w:r>
        <w:pict>
          <v:line id="_x0000_s1227" style="position:absolute;z-index:25180262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0" w:name="MACAULAY J."/>
            <w:bookmarkEnd w:id="270"/>
            <w:r>
              <w:rPr>
                <w:rFonts w:ascii="arial" w:eastAsia="arial" w:hAnsi="arial" w:cs="arial"/>
                <w:b/>
                <w:color w:val="000000"/>
                <w:sz w:val="30"/>
                <w:lang w:val="en-US" w:eastAsia="en-US" w:bidi="ar-SA"/>
              </w:rPr>
              <w:t>MACAULAY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[1]  The plaintiff, Michael Lotocky, was born August 21, 1995 and is now 11 years old. The other plaintiffs, Catherine and Daniel Lotocky, are Michael's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[2] According to the plaintiffs, Michael suffered Prolonged Partial Hypoxia-Ischemia over the three days before his birth which left him unable to withstand the rigours of labour and delivery without damaging the brain, resulting in Hypoxic Ischemic Encephalopathy (HIE). The plaintiffs allege that one or more of the defendant doctors and nurses, as well as the hospital where Michael was born, are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battery, or breach of contract, for Michael's injury and damages as well as for the damages sustained by his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[3] At trial, the plaintiffs proceeded against two doctors, Drs. Markle and Schouls, as well as two nurses, Nurses Prutton and Callander, together with Lions Gate Hospital (LGH). Dr. Markle was Catherine Lotocky's general practitioner (GP) during the pregnancy continuing through until after Michael's birth. On August 18, three days before the birth, Dr. Markle sent Mrs. Lotocky to LGH for a non-stress test (NST) which measures the fetal heart rate (FHR) and provides information for assessing the well being of the fetus. Nurse Callander administered the NST on that date. Based on her assessment, she then recommended to Dr. Markle that the test be repeated on August 21. Dr. Markle accepted that recommendation.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[4] Following the second NST, which was non-reassuring, on August 21, Dr. Markle consulted the on-call obstetrician, Dr. Schouls, who then took over Mrs. Lotocky's care throughout the balance of the birth process. Dr. Schouls directed the administration of an Oxytocin Challenge Test (OCT). The test takes a half hour and involves administering a small dosage of syntocinon which stimulates contraction activity similar to labour. The object is to determine whether the fetus can tolerate labour and a vaginal delivery. Dr. Schouls reassessed Mrs. Lotocky after the OCT and directed the further administration of syntocinon to fully induce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[5] Nurse Prutton administered both the OCT and the course of syntocinon to induce labour. Throughout, she monitored the FHR electronically using the same techniques employed during a NST. Eventually, Mrs. Lotocky moved into and through the stages of labour. She vaginally delivered Michael at 7:04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[6] At issue throughout the time frame, August 18 to 21, is whether the doctors should have changed course based on the available information, or "big picture" as plaintiffs' counsel frequently referred to it, and performed an immediate caesarean section (c-section) rather than allowing the birth to proceed by vaginal delivery. Having regard to Michael's particular injury pattern, there are also significant causation issues in the event any of the alleged breaches of the applicable standard of care are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[7] Although I have enormous sympathy for the plaintiffs and the immense challenges associated with Michael's care and prospects, now and in future, I have concluded that the plaintiffs failed to establish liability against any of the defendants. All claims, as a result, are dismissed, with costs to the defendants. In the circumstances, these reasons will address liability and, to a limited extent, causation, but not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[8] The significant liability issues, without regard to sub-issues including factual disputes, fall into a number of broad categories which I have listed below. The list also serves as an index to my reasons. As can be seen from the index, I commence with a general overview of the relevant facts but I will address the more detailed evidence relevant to particular issues under the appropriate issue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215"/>
        <w:gridCol w:w="219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06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u w:val="single"/>
                <w:lang w:val="en-US" w:eastAsia="en-US" w:bidi="ar-SA"/>
              </w:rPr>
              <w:t>DESCRIPTION</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u w:val="single"/>
                <w:lang w:val="en-US" w:eastAsia="en-US" w:bidi="ar-SA"/>
              </w:rPr>
              <w:t>PARAGRAPH</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u w:val="single"/>
                <w:lang w:val="en-US" w:eastAsia="en-US" w:bidi="ar-SA"/>
              </w:rPr>
              <w:t>NUMBERS</w:t>
            </w:r>
          </w:p>
        </w:tc>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
        <w:gridCol w:w="314"/>
        <w:gridCol w:w="8156"/>
        <w:gridCol w:w="62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98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OVERVIEW</w:t>
            </w:r>
            <w:r>
              <w:rPr>
                <w:rFonts w:ascii="arial" w:eastAsia="arial" w:hAnsi="arial" w:cs="arial"/>
                <w:color w:val="000000"/>
                <w:sz w:val="18"/>
                <w:lang w:val="en-US" w:eastAsia="en-US" w:bidi="ar-SA"/>
              </w:rPr>
              <w:t xml:space="preserve"> .............................................</w:t>
            </w:r>
          </w:p>
        </w:tc>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98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LIABILITY ISSUES</w:t>
            </w:r>
            <w:r>
              <w:rPr>
                <w:rFonts w:ascii="arial" w:eastAsia="arial" w:hAnsi="arial" w:cs="arial"/>
                <w:color w:val="000000"/>
                <w:sz w:val="18"/>
                <w:lang w:val="en-US" w:eastAsia="en-US" w:bidi="ar-SA"/>
              </w:rPr>
              <w:t xml:space="preserve"> .....................................</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051"/>
        <w:gridCol w:w="73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STANDARD OF CARE APPLICABLE TO THE INDIVIDUAL DEFENDANTS</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8261"/>
        <w:gridCol w:w="5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809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DID THE INDIVIDUAL DEFENDANTS BREACH THE APPLICABLE STANDARD</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 CARE BY:</w:t>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[51]</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541"/>
        <w:gridCol w:w="38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42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NURSE CALLANDER:</w:t>
            </w:r>
          </w:p>
        </w:tc>
        <w:tc>
          <w:tcPr>
            <w:tcW w:w="378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8261"/>
        <w:gridCol w:w="5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809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Failing to properly administer and interpret the</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August 18 NST;</w:t>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[51]</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633"/>
        <w:gridCol w:w="115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747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Failing to appropriately respond to the August 18 NST;</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6692"/>
        <w:gridCol w:w="209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655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Failing to adequately chart her findings;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6274"/>
        <w:gridCol w:w="25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614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Failing to obtain informed consent;</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123"/>
        <w:gridCol w:w="428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MARKLE:</w:t>
            </w:r>
          </w:p>
        </w:tc>
        <w:tc>
          <w:tcPr>
            <w:tcW w:w="419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[127]</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156"/>
        <w:gridCol w:w="62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w:t>
            </w:r>
          </w:p>
        </w:tc>
        <w:tc>
          <w:tcPr>
            <w:tcW w:w="798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Failing to properly monitor and record fetal movements</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98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during the pregnancy;</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[131]</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156"/>
        <w:gridCol w:w="62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w:t>
            </w:r>
          </w:p>
        </w:tc>
        <w:tc>
          <w:tcPr>
            <w:tcW w:w="798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Failing to order an ultrasound when the mother's symphisus</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98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fundal height (SFH) did not increase over a four week</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98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period</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[141]</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156"/>
        <w:gridCol w:w="62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w:t>
            </w:r>
          </w:p>
        </w:tc>
        <w:tc>
          <w:tcPr>
            <w:tcW w:w="798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Failing to review the August 18 NST until August 19, the</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98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day after the test;</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[154]</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156"/>
        <w:gridCol w:w="62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w:t>
            </w:r>
          </w:p>
        </w:tc>
        <w:tc>
          <w:tcPr>
            <w:tcW w:w="798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Relying on Nurse Callander's interpretation</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98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 the August 18 NST;</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[158]</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156"/>
        <w:gridCol w:w="62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w:t>
            </w:r>
          </w:p>
        </w:tc>
        <w:tc>
          <w:tcPr>
            <w:tcW w:w="798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After reviewing the NST, failing to consult with an</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98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obstetrician with a view to possibly proceeding to an</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98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immediate c-section;</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[161]</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6796"/>
        <w:gridCol w:w="198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Failing to direct an immediate repeat NST;</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156"/>
        <w:gridCol w:w="62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(k)</w:t>
            </w:r>
          </w:p>
        </w:tc>
        <w:tc>
          <w:tcPr>
            <w:tcW w:w="798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Failing to order a Biophysical Profile (BPP),</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98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ultrasound or an OCT;</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[161]</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156"/>
        <w:gridCol w:w="62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w:t>
            </w:r>
          </w:p>
        </w:tc>
        <w:tc>
          <w:tcPr>
            <w:tcW w:w="798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Failing to direct Mrs. Lotocky to return to LGH immediately</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98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and instead, directing her to self-monitor over the</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98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weekend;</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[161]</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156"/>
        <w:gridCol w:w="62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w:t>
            </w:r>
          </w:p>
        </w:tc>
        <w:tc>
          <w:tcPr>
            <w:tcW w:w="798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Failing to take cord blood gas samples at the time</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98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 Michael's birth;</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[165]</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6274"/>
        <w:gridCol w:w="25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w:t>
            </w:r>
          </w:p>
        </w:tc>
        <w:tc>
          <w:tcPr>
            <w:tcW w:w="614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Failing to obtain informed consent;</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NURSE PRUTTON:</w:t>
            </w:r>
          </w:p>
        </w:tc>
        <w:tc>
          <w:tcPr>
            <w:tcW w:w="409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156"/>
        <w:gridCol w:w="62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w:t>
            </w:r>
          </w:p>
        </w:tc>
        <w:tc>
          <w:tcPr>
            <w:tcW w:w="798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Failing to properly administer and interpret the</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98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August 21 NST;</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[211]</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156"/>
        <w:gridCol w:w="62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w:t>
            </w:r>
          </w:p>
        </w:tc>
        <w:tc>
          <w:tcPr>
            <w:tcW w:w="798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Continuing the OCT despite Mrs. Lotocky experiencing</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98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uterine hyperstimulation;</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[223]</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6692"/>
        <w:gridCol w:w="209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655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Failing to adequately chart her findings;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156"/>
        <w:gridCol w:w="62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w:t>
            </w:r>
          </w:p>
        </w:tc>
        <w:tc>
          <w:tcPr>
            <w:tcW w:w="798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Failing to take blood pressure as required</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98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by LGH policy;</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[239]</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156"/>
        <w:gridCol w:w="62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w:t>
            </w:r>
          </w:p>
        </w:tc>
        <w:tc>
          <w:tcPr>
            <w:tcW w:w="798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Failing to get other medical aid for Mrs. Lotocky</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98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and Michael in the absence of an adequate medical</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98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response by the attending physician in charge;</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[242]</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6274"/>
        <w:gridCol w:w="25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w:t>
            </w:r>
          </w:p>
        </w:tc>
        <w:tc>
          <w:tcPr>
            <w:tcW w:w="614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Failing to obtain informed consent;</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[244]</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332"/>
        <w:gridCol w:w="407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2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DOCTOR SCHOULS:</w:t>
            </w:r>
          </w:p>
        </w:tc>
        <w:tc>
          <w:tcPr>
            <w:tcW w:w="399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6274"/>
        <w:gridCol w:w="25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w:t>
            </w:r>
          </w:p>
        </w:tc>
        <w:tc>
          <w:tcPr>
            <w:tcW w:w="614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Failing to proceed to a c-section;</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Continuing the OCT;</w:t>
            </w:r>
          </w:p>
        </w:tc>
        <w:tc>
          <w:tcPr>
            <w:tcW w:w="34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156"/>
        <w:gridCol w:w="62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w:t>
            </w:r>
          </w:p>
        </w:tc>
        <w:tc>
          <w:tcPr>
            <w:tcW w:w="798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Failing to perform an artificial rupture of the membranes</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98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(ARM) and attach a fetal scalp monitor to the baby;</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[265]</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156"/>
        <w:gridCol w:w="62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(x)</w:t>
            </w:r>
          </w:p>
        </w:tc>
        <w:tc>
          <w:tcPr>
            <w:tcW w:w="798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Failing to take cord blood gas samples at the time of</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98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Michael's birth;</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[277]</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6274"/>
        <w:gridCol w:w="25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w:t>
            </w:r>
          </w:p>
        </w:tc>
        <w:tc>
          <w:tcPr>
            <w:tcW w:w="614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Failing to obtain informed consent;</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601"/>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LGH:</w:t>
            </w:r>
          </w:p>
        </w:tc>
        <w:tc>
          <w:tcPr>
            <w:tcW w:w="47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542"/>
        <w:gridCol w:w="324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(z)</w:t>
            </w:r>
          </w:p>
        </w:tc>
        <w:tc>
          <w:tcPr>
            <w:tcW w:w="542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Breaching the contract;</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4"/>
        <w:gridCol w:w="313"/>
        <w:gridCol w:w="8051"/>
        <w:gridCol w:w="73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CAUSATION</w:t>
            </w:r>
            <w:r>
              <w:rPr>
                <w:rFonts w:ascii="arial" w:eastAsia="arial" w:hAnsi="arial" w:cs="arial"/>
                <w:color w:val="000000"/>
                <w:sz w:val="18"/>
                <w:lang w:val="en-US" w:eastAsia="en-US" w:bidi="ar-SA"/>
              </w:rPr>
              <w:t xml:space="preserve"> ............................................</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6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[8] In August 1995, Mrs. Lotocky was 33 years old. She had previously delivered two healthy term infants, both by vaginal delivery: Mark born November 15, 1990 and Scott born December 19, 1993. Both pregnancies were normal and the two children were healthy at birth although Mrs. Lotocky also had two miscarriages in between those births. Dr. Markle was also Mrs. Lotocky's GP throughout that period. He remained so until February 1998 when the Lotocky family moved to Victoria.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[10] As set out in the introduction, Dr. Markle was the treating doctor throughout Mrs. Lotocky's pregnancy with Michael and his birth on August 21, 1995. Her previous labours had been rapid.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[11] Mrs. Lotocky's estimated date of confinement, calculated at 40 weeks from her last menstrual period, was August 22. Based on measurements obtained by ultrasound on January 16, 1995, the estimated date was August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[12] Two ultrasounds were performed during the pregnancy, one at 9 weeks gestation and the second at 18. Both were unremarkable. So were the first few months of the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[13] According to Mrs. Lotocky, she and Dr. Markle first discussed concerns about the growth of the fetus during the eighth month of her pregnancy. According to her, she was to see him again in two weeks and the doctor stated he would refer her for a further ultrasound if the concerns remained. She also testified that the question of a further ultrasound was not discussed again during any of her subsequent appointments.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[14] On each appointment, Dr. Markle assessed the growth rate of the fetus by measuring the SFH. The SFH is a relatively crude measurement taken from the top of the mother's pubic bone to the highest point of the fundus. It is, nonetheless, a useful parameter of fetal growth and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[15] Before July, the SFH had increased appropriately at the time of each office visit consistent with expected fetal growth. Dr. Markle's clinical records indicate that there was a change to the pattern in July.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[16] According to the record, Mrs. Lotocky attended her doctor's office on July 4, 18, and 28; August 4, 11 and 18 and was physically examined each time. As had been the case on all previous visits, the doctor measured and recorded the SFH on each of those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[17] Apart from the first visit in July when a locum examined Mrs. Lotocky and measured the SFH, a factor that can introduce some variability when comparing measurements, Dr. Markle conducted all the examinations and measured the SFH on each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[18] The SFH measurements, in centimetres (cm), in July and August, as recorded, were as follows: July 4 at 34 cm; July 18 at 33 cm; July 28 at 33 cm; August 4 at 36 cm; August 11 at 35 cm; August 18 at 34 cm. When the SFH remained at 33 cm on July 28, Dr. Markle noted "Baby's growth slowing. May do US after next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[19] This review of the doctor's antenatal record does not contradict Mrs. Lotocky's evidence that there was no further discussion of another ultrasound after the one occasion. Dr. Markle did not address this point directly but testified that he was satisfied with the increased SFH by the time of the next visit on August 4. It is apparent that he concluded that there was no need for a further ultrasound to determine whether the growth of the fetus had slowed.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[20] Later, I will discuss the evidence respecting the SFH measurements and its significance in greater detail, along with the expert evidence on that issue, because it is apparent that any need for a further ultrasound depended on a clinical assessment of the pattern of the SFH measurements recorded during the July and August office visits.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[21] On the final office visit of August 18, Dr. Markle observed a low FHR of 88 beats per minute (bpm). He had Mrs. Lotocky change position and the FHR immediately increased to a normal 150. Dr. Markle concluded that there had likely been transitory compression of the umbilical cord that caused the low heart rate which the change in position had relieved. He recorded "fetal heart rate low but increased with lying on left side" and "check non-stress test today". He then sent Mrs. Lotocky to LGH for an immediate NST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[22] A NST is performed using an electronic monitor to assess the fetus while in a normal non-stressed state. The FHR also sounds audibly during the test. A belt containing a transducer is attached to the mother's body to capture the FHR and another belt holding a tocograph (TOCO) is also attached to determine the level of uterine activity. A calibrated sheet or strip, commonly referred to as the monitoring strip, prints out the readings for each in two simultaneous line graphs positioned one above the other. The strip feeds out of the monitor at a set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[23] From time to time, the attending nurse makes clinical notes on the strip. Other nursing notes are maintained separately. LGH had a policy in place at the material time respecting the administration of the NST.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[24] Electronic monitoring yields valuable information for assessing fetal well-being but, as I will set out later, may be subject to widely varying professional interpretation. The plaintiffs conceded, on the evidence, that the interpretation of FHR strips is not an exact science and competent professionals may come to different conclusions when interpreting the same strip.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[25] Many hospitals, including LGH at the time, had a policy of interpreting NST results according to the Kubli scoring system. Kubli scoring, as set out in LGH policy, required the scoring of five parameters, each from 0 to 2, for a possible maximum score of 10 indicating a completely healthy fetus. The five parameters are: 1. the baseline FHR; 2. the amplitude of fluctuation in the FHR; 3. the frequency of fluctuation, or cycles per minute; 4. the deceleration pattern; and 5. the acceleration pattern associated with fetal movements.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[26] Nurse Callander recorded an apparent Kubli score of 7 at one point on the monitoring strip for the August 18 NST although there is a significant issue, also to be addressed later, whether that was intended to be a complete scoring or, in any event, correct. After the conclusion of the test, Nurse Callander recorded a total score of 8-9 on the NST record. The correctness of that score was also much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[27] While there are disputes about the details of the next events, including relevant conversations, which I will address later, the following chronology was not disputed. Nurse Callander ripped off the monitoring strip after noting the first score of 7 on it and telephoned Dr. Markle. She recommended a further NST be performed on August 21 and Dr. Markle agreed with her recommendation.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[28] The nurse then carried on with the testing and, at the conclusion, recorded the total score as set out earlier of 8-9. Mrs. Lotocky did not stay at the hospital and returned home. As August 18 was a Friday, this meant the weekend intervened before the re-testing on the following Monday, August 21. As described earlier, Mrs. Lotocky was already at or near her estimated date of confinement by Friday.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[29] Dr. Markle did not review the monitoring strip himself until the next day, Saturday August 19. Sometime after reviewing the strip at the hospital, Dr. Markle recorded in his chart: "flat baseline, moderate decel". He testified that he agreed with Nurse Callander's interpretation of the strip.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[30] Dr. Markle telephoned Mrs. Lotocky after reviewing the strip. He made no note of the discussion but testified that he advised her to watch for, and contact him on an urgent basis in the event of any decrease in fetal movement, leakage of amniotic fluid or onset of labour. According to Mrs. Lotocky, Dr. Markle only told her that he had reviewed the strip and they then discussed the arrangement for the Monday test. I accept Dr. Markle's more extensive account of the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[31] Mrs. Lotocky returned to LGH on August 21 for the repeat NST. It is common ground that the test results were less reassuring than the previous test although, once again, there is considerable divergence in the opinion evidence respecting the correct interpretation and course of action. Dr. Markle attended at the hospital and reviewed the strip.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[32] Dr. Markle then decided to consult the obstetrician, Dr. Schouls. Dr. Schouls arrived within 15 to 30 minutes of being contacted. She first reviewed the history with Dr. Markle and then, at about 10:00 to 10:30 a.m., examined Mrs. Lotocky.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[33] Dr. Schouls decided that vaginal delivery should proceed unless the baby was at risk at any time, in which case, an emergency c-section would be performed. She testified that she also decided to run an OCT to determine whether the fetus would accommodate labour. She did not consider it necessary to run any other tests to obtain other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[34] Nurse Prutton administered both the OCT and the continuing course of syntocinon to induce labour. Throughout, Mrs. Lotocky remained on the same electronic monitoring system used for the NSTs. The induction involved the administration of syntocinon, in varying doses aimed at creating a pattern of 3 contractions in 10 minutes. If the monitoring discloses any deterioration in fetal status, particularly any drop in the FHR after a contraction, or late decelerations, delivery proceeds by c-section rather than vaginally. There are live issues respecting the administration of the syntocinon which I will defer discussing to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[35] The nurse ended the administration of syntocinon at 6:32 p.m. and called the physicians to reassess Mrs. Lotocky. By that point, Mrs. Lotocky was in active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[36] Dr. Schouls examined Mrs. Lotocky and determined that she was at nine cm dilation. The doctor then artificially ruptured the membrane (an ARM) to slowly release the amniotic fluid. Following that procedure, Mrs. Lotocky was fully dilated and Michael was delivered vaginally four minutes later. No cord blood gases were taken at the time of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[37] The Birth Summary Record, signed by both Dr. Markle, who assisted with the delivery, and Nurse Prutton, who described the labour and birth as abnormal,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Fetal heart monitoring showed variable decelerations + flat baseline. Oxytocin induction was therefore done. Baby required resuscitation - see Dr. Wishart's report. Seizures occurred after deliver [sic] - placental abnormalities (in vasculature) on pathology.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[38] I will also refer later to the additional evidence respecting the birth process and Michael's condition following his birth, together with the conflicting expert evidence on causation, when I deal with the issue and the respective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2. </w:t>
      </w:r>
      <w:r>
        <w:rPr>
          <w:rFonts w:ascii="arial" w:eastAsia="arial" w:hAnsi="arial" w:cs="arial"/>
          <w:b/>
          <w:color w:val="000000"/>
          <w:sz w:val="20"/>
          <w:lang w:val="en-US" w:eastAsia="en-US" w:bidi="ar-SA"/>
        </w:rPr>
        <w:t>LIABILITY ISSUES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STANDARD OF CARE APPLICABLE</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TO THE INDIVIDUAL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[39] The applicable standards of care are a matter of law. It is appropriate to discuss them here to provide a context for the later discussion of the alleged breaches.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[40] There is no question that each of the defendants owed a duty of care to Mrs. Lotocky and to her unborn child. Some aspects of the duty are not in issue but bear repeating.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[41] A leading decision on the standard of care is the judgment of the Supreme Court of Canada in </w:t>
      </w:r>
      <w:r>
        <w:rPr>
          <w:rFonts w:ascii="arial" w:eastAsia="arial" w:hAnsi="arial" w:cs="arial"/>
          <w:i/>
          <w:color w:val="000000"/>
          <w:sz w:val="20"/>
          <w:lang w:val="en-US" w:eastAsia="en-US" w:bidi="ar-SA"/>
        </w:rPr>
        <w:t>Wilson v. Swanson,</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Mr. Justice Rand set out the duty owed by a physician to his patient as follows, at 811: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What the surgeon by his ordinary engagement undertakes with the patient is that he possesses the skill, knowledge and judgment of the generality or average of the special group or class of technicians to which he belongs and will faithfully exercise them. In a given situation some may differ from others in that exercise, depending on the significance they attribute to the different factors in the light of their own experience. The dynamics of the human body of each individual are themselves individual and there are lines of doubt and uncertainty at which a clear course of action may be precluded.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here only the question of judgment; what of that? The test can be no more than this: was the decision the result of the exercise of the surgical intelligence professed? Or was what was done such that, disregarding it may be the exceptional case or individual, in all the circumstances, at least the preponderant opinion of the group would have been against it? If a substantial opinion confirms it, there is no breach or failure.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error in judgment has long been distinguished from an act of unskilfulness or carelessness or due to lack of knowledge.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To that, Abbott J. added, at 817: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As has been said in the United States, the medical man must possess and use that reasonable degree of learning and skill ordinarily possessed by practitioners in similar communities in similar cases, and it is the duty of a specialist ... who holds himself out as possessing special skill and knowledge, to have and exercise the degree of skill of an average specialist in his field [authorities not included].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foregoing recognizes that the expectations of skill imposed on a specialist are higher because of the additional levels of training, experience and standing that she or he has.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[42] The plaintiffs relied on </w:t>
      </w:r>
      <w:r>
        <w:rPr>
          <w:rFonts w:ascii="arial" w:eastAsia="arial" w:hAnsi="arial" w:cs="arial"/>
          <w:i/>
          <w:color w:val="000000"/>
          <w:sz w:val="20"/>
          <w:lang w:val="en-US" w:eastAsia="en-US" w:bidi="ar-SA"/>
        </w:rPr>
        <w:t>Crits v. Sylvester,</w:t>
      </w:r>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[1956] O.R. 132</w:t>
        </w:r>
      </w:hyperlink>
      <w:r>
        <w:rPr>
          <w:rFonts w:ascii="arial" w:eastAsia="arial" w:hAnsi="arial" w:cs="arial"/>
          <w:color w:val="000000"/>
          <w:sz w:val="20"/>
          <w:lang w:val="en-US" w:eastAsia="en-US" w:bidi="ar-SA"/>
        </w:rPr>
        <w:t xml:space="preserve"> at 143, aff'd </w:t>
      </w:r>
      <w:hyperlink r:id="rId101" w:history="1">
        <w:r>
          <w:rPr>
            <w:rFonts w:ascii="arial" w:eastAsia="arial" w:hAnsi="arial" w:cs="arial"/>
            <w:i/>
            <w:color w:val="0077CC"/>
            <w:sz w:val="20"/>
            <w:u w:val="single"/>
            <w:shd w:val="clear" w:color="auto" w:fill="FFFFFF"/>
            <w:lang w:val="en-US" w:eastAsia="en-US" w:bidi="ar-SA"/>
          </w:rPr>
          <w:t>[1956] S.C.R. 991</w:t>
        </w:r>
      </w:hyperlink>
      <w:r>
        <w:rPr>
          <w:rFonts w:ascii="arial" w:eastAsia="arial" w:hAnsi="arial" w:cs="arial"/>
          <w:color w:val="000000"/>
          <w:sz w:val="20"/>
          <w:lang w:val="en-US" w:eastAsia="en-US" w:bidi="ar-SA"/>
        </w:rPr>
        <w:t>. There, the court reached a similar conclusion,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Every medical practitioner must bring to his task a reasonable degree of skill and knowledge and must exercise a reasonable degree of care. He is bound to exercise that degree of care and skill which could reasonably be expected of a normal, prudent practitioner of the same experience and standing, and if he holds himself out as a specialist, a higher degree of skill is required of him than of one who does not profess to be so qualified by special training and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reference in the extract to a prudent practitioner "of the same experience" has been criticized in other decisions but is of no particular moment in the case at bar. See </w:t>
      </w:r>
      <w:r>
        <w:rPr>
          <w:rFonts w:ascii="arial" w:eastAsia="arial" w:hAnsi="arial" w:cs="arial"/>
          <w:i/>
          <w:color w:val="000000"/>
          <w:sz w:val="20"/>
          <w:lang w:val="en-US" w:eastAsia="en-US" w:bidi="ar-SA"/>
        </w:rPr>
        <w:t>Dale v. Munthali</w:t>
      </w:r>
      <w:r>
        <w:rPr>
          <w:rFonts w:ascii="arial" w:eastAsia="arial" w:hAnsi="arial" w:cs="arial"/>
          <w:color w:val="000000"/>
          <w:sz w:val="20"/>
          <w:lang w:val="en-US" w:eastAsia="en-US" w:bidi="ar-SA"/>
        </w:rPr>
        <w:t xml:space="preserve"> </w:t>
      </w:r>
      <w:hyperlink r:id="rId856" w:history="1">
        <w:r>
          <w:rPr>
            <w:rFonts w:ascii="arial" w:eastAsia="arial" w:hAnsi="arial" w:cs="arial"/>
            <w:i/>
            <w:color w:val="0077CC"/>
            <w:sz w:val="20"/>
            <w:u w:val="single"/>
            <w:shd w:val="clear" w:color="auto" w:fill="FFFFFF"/>
            <w:lang w:val="en-US" w:eastAsia="en-US" w:bidi="ar-SA"/>
          </w:rPr>
          <w:t>(1977), 78 D.L.R. (3d) 588</w:t>
        </w:r>
      </w:hyperlink>
      <w:r>
        <w:rPr>
          <w:rFonts w:ascii="arial" w:eastAsia="arial" w:hAnsi="arial" w:cs="arial"/>
          <w:color w:val="000000"/>
          <w:sz w:val="20"/>
          <w:lang w:val="en-US" w:eastAsia="en-US" w:bidi="ar-SA"/>
        </w:rPr>
        <w:t xml:space="preserve"> (Ont. High Ct.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[43] According to the plaintiffs, the standard of care is influenced by foreseeable risk. They say that as the degree of risk involved increases so does the standard of care. Counsel cited </w:t>
      </w:r>
      <w:r>
        <w:rPr>
          <w:rFonts w:ascii="arial" w:eastAsia="arial" w:hAnsi="arial" w:cs="arial"/>
          <w:i/>
          <w:color w:val="000000"/>
          <w:sz w:val="20"/>
          <w:lang w:val="en-US" w:eastAsia="en-US" w:bidi="ar-SA"/>
        </w:rPr>
        <w:t>Badger v. Surkan</w:t>
      </w:r>
      <w:r>
        <w:rPr>
          <w:rFonts w:ascii="arial" w:eastAsia="arial" w:hAnsi="arial" w:cs="arial"/>
          <w:color w:val="000000"/>
          <w:sz w:val="20"/>
          <w:lang w:val="en-US" w:eastAsia="en-US" w:bidi="ar-SA"/>
        </w:rPr>
        <w:t xml:space="preserve"> </w:t>
      </w:r>
      <w:hyperlink r:id="rId857" w:history="1">
        <w:r>
          <w:rPr>
            <w:rFonts w:ascii="arial" w:eastAsia="arial" w:hAnsi="arial" w:cs="arial"/>
            <w:i/>
            <w:color w:val="0077CC"/>
            <w:sz w:val="20"/>
            <w:u w:val="single"/>
            <w:shd w:val="clear" w:color="auto" w:fill="FFFFFF"/>
            <w:lang w:val="en-US" w:eastAsia="en-US" w:bidi="ar-SA"/>
          </w:rPr>
          <w:t>(1970), 16 D.L.R. (3d) 146</w:t>
        </w:r>
      </w:hyperlink>
      <w:r>
        <w:rPr>
          <w:rFonts w:ascii="arial" w:eastAsia="arial" w:hAnsi="arial" w:cs="arial"/>
          <w:color w:val="000000"/>
          <w:sz w:val="20"/>
          <w:lang w:val="en-US" w:eastAsia="en-US" w:bidi="ar-SA"/>
        </w:rPr>
        <w:t xml:space="preserve"> at 153 (Sask. Q.B.), in support. There, the court stated: "the degree of care required by the law is care commensurate with the potential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[44] I do not read </w:t>
      </w:r>
      <w:r>
        <w:rPr>
          <w:rFonts w:ascii="arial" w:eastAsia="arial" w:hAnsi="arial" w:cs="arial"/>
          <w:i/>
          <w:color w:val="000000"/>
          <w:sz w:val="20"/>
          <w:lang w:val="en-US" w:eastAsia="en-US" w:bidi="ar-SA"/>
        </w:rPr>
        <w:t>Badger</w:t>
      </w:r>
      <w:r>
        <w:rPr>
          <w:rFonts w:ascii="arial" w:eastAsia="arial" w:hAnsi="arial" w:cs="arial"/>
          <w:color w:val="000000"/>
          <w:sz w:val="20"/>
          <w:lang w:val="en-US" w:eastAsia="en-US" w:bidi="ar-SA"/>
        </w:rPr>
        <w:t xml:space="preserve"> as imposing a different duty than that set out by the Supreme Court of Canada in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xml:space="preserve">, nor could it. </w:t>
      </w:r>
      <w:r>
        <w:rPr>
          <w:rFonts w:ascii="arial" w:eastAsia="arial" w:hAnsi="arial" w:cs="arial"/>
          <w:i/>
          <w:color w:val="000000"/>
          <w:sz w:val="20"/>
          <w:lang w:val="en-US" w:eastAsia="en-US" w:bidi="ar-SA"/>
        </w:rPr>
        <w:t>Badger</w:t>
      </w:r>
      <w:r>
        <w:rPr>
          <w:rFonts w:ascii="arial" w:eastAsia="arial" w:hAnsi="arial" w:cs="arial"/>
          <w:color w:val="000000"/>
          <w:sz w:val="20"/>
          <w:lang w:val="en-US" w:eastAsia="en-US" w:bidi="ar-SA"/>
        </w:rPr>
        <w:t xml:space="preserve"> was affirmed on appeal: </w:t>
      </w:r>
      <w:hyperlink r:id="rId858" w:history="1">
        <w:r>
          <w:rPr>
            <w:rFonts w:ascii="arial" w:eastAsia="arial" w:hAnsi="arial" w:cs="arial"/>
            <w:i/>
            <w:color w:val="0077CC"/>
            <w:sz w:val="20"/>
            <w:u w:val="single"/>
            <w:shd w:val="clear" w:color="auto" w:fill="FFFFFF"/>
            <w:lang w:val="en-US" w:eastAsia="en-US" w:bidi="ar-SA"/>
          </w:rPr>
          <w:t>(1972), 32 D.L.R. (3d) 216</w:t>
        </w:r>
      </w:hyperlink>
      <w:r>
        <w:rPr>
          <w:rFonts w:ascii="arial" w:eastAsia="arial" w:hAnsi="arial" w:cs="arial"/>
          <w:color w:val="000000"/>
          <w:sz w:val="20"/>
          <w:lang w:val="en-US" w:eastAsia="en-US" w:bidi="ar-SA"/>
        </w:rPr>
        <w:t xml:space="preserve"> (C.A.). Both the trial judge and the Court of Appeal applied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xml:space="preserve"> The former pointed out that an error of judgment is to be distinguished from lack of skill or knowledge, or carelessness. He stated, at 162, after referring to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shortly stated to be the failure of a person to take reasonable care according to all the existing circumstance; and for such failure such person is liable for any damage caused to others which resulted therefrom.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"existing circumstance" in </w:t>
      </w:r>
      <w:r>
        <w:rPr>
          <w:rFonts w:ascii="arial" w:eastAsia="arial" w:hAnsi="arial" w:cs="arial"/>
          <w:i/>
          <w:color w:val="000000"/>
          <w:sz w:val="20"/>
          <w:lang w:val="en-US" w:eastAsia="en-US" w:bidi="ar-SA"/>
        </w:rPr>
        <w:t>Badger</w:t>
      </w:r>
      <w:r>
        <w:rPr>
          <w:rFonts w:ascii="arial" w:eastAsia="arial" w:hAnsi="arial" w:cs="arial"/>
          <w:color w:val="000000"/>
          <w:sz w:val="20"/>
          <w:lang w:val="en-US" w:eastAsia="en-US" w:bidi="ar-SA"/>
        </w:rPr>
        <w:t xml:space="preserve"> was the risk of gangrene associated with the patient's injuries which rendered observation of the legs and feet for signs of circulatory impairment "imperative" rather than a matter of clinical choice.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[45] In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(1995), 11 B.C.L.R. (3d) 201</w:t>
        </w:r>
      </w:hyperlink>
      <w:r>
        <w:rPr>
          <w:rFonts w:ascii="arial" w:eastAsia="arial" w:hAnsi="arial" w:cs="arial"/>
          <w:color w:val="000000"/>
          <w:sz w:val="20"/>
          <w:lang w:val="en-US" w:eastAsia="en-US" w:bidi="ar-SA"/>
        </w:rPr>
        <w:t xml:space="preserve"> at 216, the Supreme Court of Canada revisited the standard of care for doctors. There, the plaintiff sued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after she contracted the HIV virus as a result of the defendant's attempted artificial insemination procedure. Sopinka J., for the court,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It is generally accepted that when a doctor acts in accordance with a recognized and respectable practice of the profession, he or she will not be found to be negligent. This is because courts do not ordinarily have the expertise to tell professionals that they are not behaving appropriately in their field. In a sense, the medical profession as a whole is assumed to have adopted procedures which are in the best interests of patients and are not inherently negligent. As L'Heureux-Dubé J. stated in </w:t>
      </w:r>
      <w:r>
        <w:rPr>
          <w:rFonts w:ascii="arial" w:eastAsia="arial" w:hAnsi="arial" w:cs="arial"/>
          <w:i/>
          <w:color w:val="000000"/>
          <w:sz w:val="20"/>
          <w:lang w:val="en-US" w:eastAsia="en-US" w:bidi="ar-SA"/>
        </w:rPr>
        <w:t>Lapointe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1 S.C.R. 351</w:t>
      </w:r>
      <w:r>
        <w:rPr>
          <w:rFonts w:ascii="arial" w:eastAsia="arial" w:hAnsi="arial" w:cs="arial"/>
          <w:color w:val="000000"/>
          <w:sz w:val="20"/>
          <w:lang w:val="en-US" w:eastAsia="en-US" w:bidi="ar-SA"/>
        </w:rPr>
        <w:t xml:space="preserve">, in the context of the Quebec </w:t>
      </w:r>
      <w:r>
        <w:rPr>
          <w:rFonts w:ascii="arial" w:eastAsia="arial" w:hAnsi="arial" w:cs="arial"/>
          <w:i/>
          <w:color w:val="000000"/>
          <w:sz w:val="20"/>
          <w:lang w:val="en-US" w:eastAsia="en-US" w:bidi="ar-SA"/>
        </w:rPr>
        <w:t>Civil Code</w:t>
      </w:r>
      <w:r>
        <w:rPr>
          <w:rFonts w:ascii="arial" w:eastAsia="arial" w:hAnsi="arial" w:cs="arial"/>
          <w:color w:val="000000"/>
          <w:sz w:val="20"/>
          <w:lang w:val="en-US" w:eastAsia="en-US" w:bidi="ar-SA"/>
        </w:rPr>
        <w:t xml:space="preserve"> (at pp. 363-64):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Given the number of available methods of treatment from which medical professionals must at times choose, and the distinction between error and fault, </w:t>
      </w:r>
      <w:r>
        <w:rPr>
          <w:rFonts w:ascii="arial" w:eastAsia="arial" w:hAnsi="arial" w:cs="arial"/>
          <w:i/>
          <w:color w:val="000000"/>
          <w:sz w:val="20"/>
          <w:lang w:val="en-US" w:eastAsia="en-US" w:bidi="ar-SA"/>
        </w:rPr>
        <w:t>a doctor will not be found liable if the diagnosis and treatment given to a patient correspond to those recognized by medical science at the time, even in the face of competing theories</w:t>
      </w:r>
      <w:r>
        <w:rPr>
          <w:rFonts w:ascii="arial" w:eastAsia="arial" w:hAnsi="arial" w:cs="arial"/>
          <w:color w:val="000000"/>
          <w:sz w:val="20"/>
          <w:lang w:val="en-US" w:eastAsia="en-US" w:bidi="ar-SA"/>
        </w:rPr>
        <w:t xml:space="preserve">. As expressed more eloquently by André Nadeau in "La responsabilité médicale" (1946), 6 </w:t>
      </w:r>
      <w:r>
        <w:rPr>
          <w:rFonts w:ascii="arial" w:eastAsia="arial" w:hAnsi="arial" w:cs="arial"/>
          <w:i/>
          <w:color w:val="000000"/>
          <w:sz w:val="20"/>
          <w:lang w:val="en-US" w:eastAsia="en-US" w:bidi="ar-SA"/>
        </w:rPr>
        <w:t>R. du B.</w:t>
      </w:r>
      <w:r>
        <w:rPr>
          <w:rFonts w:ascii="arial" w:eastAsia="arial" w:hAnsi="arial" w:cs="arial"/>
          <w:color w:val="000000"/>
          <w:sz w:val="20"/>
          <w:lang w:val="en-US" w:eastAsia="en-US" w:bidi="ar-SA"/>
        </w:rPr>
        <w:t xml:space="preserve"> 153, at page 155: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[TRANSLATION] The courts do not have jurisdiction to settle scientific disputes or to choose among divergent opinions of physicians on certain subjects. </w:t>
      </w:r>
      <w:r>
        <w:rPr>
          <w:rFonts w:ascii="arial" w:eastAsia="arial" w:hAnsi="arial" w:cs="arial"/>
          <w:i/>
          <w:color w:val="000000"/>
          <w:sz w:val="20"/>
          <w:lang w:val="en-US" w:eastAsia="en-US" w:bidi="ar-SA"/>
        </w:rPr>
        <w:t>They may only make a finding of fault where a violation of universally accepted rules of medicine has occurred. The courts should not involve themselves in controversial questions of assessment having to do with diagnosis or the treatment of preference</w:t>
      </w:r>
      <w:r>
        <w:rPr>
          <w:rFonts w:ascii="arial" w:eastAsia="arial" w:hAnsi="arial" w:cs="arial"/>
          <w:color w:val="000000"/>
          <w:sz w:val="20"/>
          <w:lang w:val="en-US" w:eastAsia="en-US" w:bidi="ar-SA"/>
        </w:rPr>
        <w:t>.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In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(7th ed., 1987), Professor Fleming observed the following with respect to the role of standard practice, at page 109:</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Conformity</w:t>
      </w:r>
      <w:r>
        <w:rPr>
          <w:rFonts w:ascii="arial" w:eastAsia="arial" w:hAnsi="arial" w:cs="arial"/>
          <w:color w:val="000000"/>
          <w:sz w:val="20"/>
          <w:lang w:val="en-US" w:eastAsia="en-US" w:bidi="ar-SA"/>
        </w:rPr>
        <w:t xml:space="preserve"> with general practice, on the other hand, usually dispels a charge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tends to show what others in the same "business" considered sufficient, that the defendant could not have learnt how to avoid the accident by the example of others, that most probably no other practical precautions could have been taken, and that the impact of an adverse judgment (especially in cases involving industry or profession) will be industry-wide and thus assume the function of a "test case". </w:t>
      </w:r>
      <w:r>
        <w:rPr>
          <w:rFonts w:ascii="arial" w:eastAsia="arial" w:hAnsi="arial" w:cs="arial"/>
          <w:i/>
          <w:color w:val="000000"/>
          <w:sz w:val="20"/>
          <w:lang w:val="en-US" w:eastAsia="en-US" w:bidi="ar-SA"/>
        </w:rPr>
        <w:t>Finally, it underlines the need for caution against passing too cavalierly upon the conduct and decision of experts</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the same, even a common practice may itself be condemned as negligent, </w:t>
      </w:r>
      <w:r>
        <w:rPr>
          <w:rFonts w:ascii="arial" w:eastAsia="arial" w:hAnsi="arial" w:cs="arial"/>
          <w:i/>
          <w:color w:val="000000"/>
          <w:sz w:val="20"/>
          <w:lang w:val="en-US" w:eastAsia="en-US" w:bidi="ar-SA"/>
        </w:rPr>
        <w:t>if fraught with obvious risks</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[46] I also take into account that if the expert evidence establishes that there is more than one recognised and accepted body of medical opinion, a physician is not negligent if he or she adhered to one accepted school of thought. It is not for me, as the trial judge, to base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a preference for one school of medical thought over another. See, for example, </w:t>
      </w:r>
      <w:r>
        <w:rPr>
          <w:rFonts w:ascii="arial" w:eastAsia="arial" w:hAnsi="arial" w:cs="arial"/>
          <w:i/>
          <w:color w:val="000000"/>
          <w:sz w:val="20"/>
          <w:lang w:val="en-US" w:eastAsia="en-US" w:bidi="ar-SA"/>
        </w:rPr>
        <w:t>Belknap v. Meakes</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(1989), 1 C.C.L.T. (2d) 192</w:t>
        </w:r>
      </w:hyperlink>
      <w:r>
        <w:rPr>
          <w:rFonts w:ascii="arial" w:eastAsia="arial" w:hAnsi="arial" w:cs="arial"/>
          <w:color w:val="000000"/>
          <w:sz w:val="20"/>
          <w:lang w:val="en-US" w:eastAsia="en-US" w:bidi="ar-SA"/>
        </w:rPr>
        <w:t>, at 221 (B.C.C.A.), where the court referred with approval to the following observation made in earlier authority: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Differences of opinion and practice exist, and will always exist, in the medical as in other professions. There is seldom any one answer exclusive of all others to problems of professional judgment. A court may prefer one body of opinion to the other: but that is no basis for a conclusion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[47] The same general principles apply to the nurses. The nurses were employees of the hospital and the latter is, accordingly, vicariously liable for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their part. If the nurses breached their duty to exercise appropriate skill and judgment in making interpretations and communicating information to the physicians resulting in damages, both they and LGH will be liable. (See also </w:t>
      </w:r>
      <w:r>
        <w:rPr>
          <w:rFonts w:ascii="arial" w:eastAsia="arial" w:hAnsi="arial" w:cs="arial"/>
          <w:i/>
          <w:color w:val="000000"/>
          <w:sz w:val="20"/>
          <w:lang w:val="en-US" w:eastAsia="en-US" w:bidi="ar-SA"/>
        </w:rPr>
        <w:t>Fairely v. Waterman,</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[2002] B.C.J. No. 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James v. White,</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[1999] B.C.J. No. 2058</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Brimacombe v. Mathews</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(2001), 87 B.C.L.R. (3d) 75</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Bolam v. Friern Hospital Management Committee.</w:t>
      </w:r>
      <w:r>
        <w:rPr>
          <w:rFonts w:ascii="arial" w:eastAsia="arial" w:hAnsi="arial" w:cs="arial"/>
          <w:color w:val="000000"/>
          <w:sz w:val="20"/>
          <w:lang w:val="en-US" w:eastAsia="en-US" w:bidi="ar-SA"/>
        </w:rPr>
        <w:t xml:space="preserve"> [1957] All E.R. 118 (Q.B.D.).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[48] The plaintiffs emphasize that the standard of care for nurses includes accurate and complete charting. I agree in the sense that charting is an obvious means of intra-professional communication and consulting. Mistakes or omissions in the chart may lead to inappropriate medical judgment or treatment. It is largely for these reasons that hospitals set protocols for charting relevant information during tests like the NST and OCT as did LGH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[49] The nurses say that their duty of care differs in that they are not required to second guess doctors. That is true unless there is a clear and obvious basis for concern on the nurse's part. See </w:t>
      </w:r>
      <w:r>
        <w:rPr>
          <w:rFonts w:ascii="arial" w:eastAsia="arial" w:hAnsi="arial" w:cs="arial"/>
          <w:i/>
          <w:color w:val="000000"/>
          <w:sz w:val="20"/>
          <w:lang w:val="en-US" w:eastAsia="en-US" w:bidi="ar-SA"/>
        </w:rPr>
        <w:t>Oliver v. Ellison,</w:t>
      </w:r>
      <w:r>
        <w:rPr>
          <w:rFonts w:ascii="arial" w:eastAsia="arial" w:hAnsi="arial" w:cs="arial"/>
          <w:color w:val="000000"/>
          <w:sz w:val="20"/>
          <w:lang w:val="en-US" w:eastAsia="en-US" w:bidi="ar-SA"/>
        </w:rPr>
        <w:t xml:space="preserve"> </w:t>
      </w:r>
      <w:hyperlink r:id="rId859" w:history="1">
        <w:r>
          <w:rPr>
            <w:rFonts w:ascii="arial" w:eastAsia="arial" w:hAnsi="arial" w:cs="arial"/>
            <w:i/>
            <w:color w:val="0077CC"/>
            <w:sz w:val="20"/>
            <w:u w:val="single"/>
            <w:shd w:val="clear" w:color="auto" w:fill="FFFFFF"/>
            <w:lang w:val="en-US" w:eastAsia="en-US" w:bidi="ar-SA"/>
          </w:rPr>
          <w:t>[1998] B.C.J. No. 589</w:t>
        </w:r>
      </w:hyperlink>
      <w:r>
        <w:rPr>
          <w:rFonts w:ascii="arial" w:eastAsia="arial" w:hAnsi="arial" w:cs="arial"/>
          <w:color w:val="000000"/>
          <w:sz w:val="20"/>
          <w:lang w:val="en-US" w:eastAsia="en-US" w:bidi="ar-SA"/>
        </w:rPr>
        <w:t xml:space="preserve"> (S.C.), at para. 24; varied in part on other grounds, </w:t>
      </w:r>
      <w:hyperlink r:id="rId860" w:history="1">
        <w:r>
          <w:rPr>
            <w:rFonts w:ascii="arial" w:eastAsia="arial" w:hAnsi="arial" w:cs="arial"/>
            <w:i/>
            <w:color w:val="0077CC"/>
            <w:sz w:val="20"/>
            <w:u w:val="single"/>
            <w:shd w:val="clear" w:color="auto" w:fill="FFFFFF"/>
            <w:lang w:val="en-US" w:eastAsia="en-US" w:bidi="ar-SA"/>
          </w:rPr>
          <w:t>[2001] B.C.J. No. 1040</w:t>
        </w:r>
      </w:hyperlink>
      <w:r>
        <w:rPr>
          <w:rFonts w:ascii="arial" w:eastAsia="arial" w:hAnsi="arial" w:cs="arial"/>
          <w:color w:val="000000"/>
          <w:sz w:val="20"/>
          <w:lang w:val="en-US" w:eastAsia="en-US" w:bidi="ar-SA"/>
        </w:rPr>
        <w:t xml:space="preserve">, </w:t>
      </w:r>
      <w:hyperlink r:id="rId860" w:history="1">
        <w:r>
          <w:rPr>
            <w:rFonts w:ascii="arial" w:eastAsia="arial" w:hAnsi="arial" w:cs="arial"/>
            <w:i/>
            <w:color w:val="0077CC"/>
            <w:sz w:val="20"/>
            <w:u w:val="single"/>
            <w:shd w:val="clear" w:color="auto" w:fill="FFFFFF"/>
            <w:lang w:val="en-US" w:eastAsia="en-US" w:bidi="ar-SA"/>
          </w:rPr>
          <w:t>2001 BCCA 359</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Child v. Vancouver General Hospital,</w:t>
      </w:r>
      <w:r>
        <w:rPr>
          <w:rFonts w:ascii="arial" w:eastAsia="arial" w:hAnsi="arial" w:cs="arial"/>
          <w:color w:val="000000"/>
          <w:sz w:val="20"/>
          <w:lang w:val="en-US" w:eastAsia="en-US" w:bidi="ar-SA"/>
        </w:rPr>
        <w:t xml:space="preserve"> </w:t>
      </w:r>
      <w:hyperlink r:id="rId861" w:history="1">
        <w:r>
          <w:rPr>
            <w:rFonts w:ascii="arial" w:eastAsia="arial" w:hAnsi="arial" w:cs="arial"/>
            <w:i/>
            <w:color w:val="0077CC"/>
            <w:sz w:val="20"/>
            <w:u w:val="single"/>
            <w:shd w:val="clear" w:color="auto" w:fill="FFFFFF"/>
            <w:lang w:val="en-US" w:eastAsia="en-US" w:bidi="ar-SA"/>
          </w:rPr>
          <w:t>[1970] S.C.R. 477</w:t>
        </w:r>
      </w:hyperlink>
      <w:r>
        <w:rPr>
          <w:rFonts w:ascii="arial" w:eastAsia="arial" w:hAnsi="arial" w:cs="arial"/>
          <w:color w:val="000000"/>
          <w:sz w:val="20"/>
          <w:lang w:val="en-US" w:eastAsia="en-US" w:bidi="ar-SA"/>
        </w:rPr>
        <w:t>, at 493, the Supreme Court of Canada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it desirable to stress the fact that the question of liability in the present case is to be determined in light of the circumstances as they existed immediately before Ms. Tennessy left the room to go for her coffee break. After an accident it is all too easy to approach the question of fault in light of the event which has happened and with the greatest respect, it appears to me that such an approach is reflected in the argument made on behalf of the appellant.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suggest that Ms. Tennessy was negligent when the opinion upon which she acted coincided with that of the certified surgeon who was in charge of the case, is, in my opinion, to ask more than is required of a reasonably careful and capable nurse.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[50] I have applied the principles set out above to my analysis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various defendants.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INDIVIDUAL DEFENDANTS BREACH THE APPLICABLE STANDARD OF CARE 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NURSE CALLANDER:</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Failing to properly administer and interpret the August 18 NST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[51] One of the plaintiffs' central allegations is that Nurse Callander failed to properly interpret the results of the August 18 NST and follow up in an appropriate manner. The plaintiffs contend that the nurse's interpretation was "simply wrong" and that the Kubli score she assigned to the test was "plainly wrong". Much of the evidence was directed to this issue and I will now review it in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[52] Nurse Callander is a very experienced labour and delivery nurse. She estimates that she has interpreted thousands of NST strips over her career. Not surprisingly, she has no independent recollection of the administration and interpretation of the August 18 NST. There is accordingly, a significant reconstructive component to her evidence. This applies particularly to events that went unrecorded and, to a lesser extent, to events that she may have recorded inaccurately.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[53] The lack of independent recollection also gives rise to some question whether the nurse's efforts to reconstruct events, by referring to her usual practices, consciously or unconsciously cast her actions in a more favourable light. With those possibilities in mind, I considered Nurse Callander's evidence carefully and somewhat sceptically before reaching my conclusions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[54] I also considered Mrs. Lotocky's own evidence about the circumstances of the August 18 NST although, obviously, she was not involved in the interpretation of the strip. I start with her evidence which was minimal.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[55] Mrs. Lotocky described attending at LGH for the NST test after Dr. Markle had found a very slow FHR during her office visit that morning. The NST commenced about noon and took about 45 minutes. Mrs. Lotocky recalled the nurse removing the strip and leaving at some point. On returning, the nurse told her that she wanted to run another test with Mrs. Lotocky lying on her left side because there were one or two decelerations during the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[56] At the conclusion of the second test, the nurse again removed the strip and left the room. On returning, the nurse told Mrs. Lotocky that it is normal to have two decelerations in a 24 hour period and that the strip looked much better when she was lying on her side. The nurse then advised her to stay off her back and told her that she wanted her to come back for another NST the following Monday. They had some further discussion about the need to stay off her back and how to position herself for sleeping.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[57] According to LGH policy, the nurse must stay with the patient throughout the NST and take a number of specific steps. These steps include the following: running the NST long enough to obtain a minimum of 20 minutes of interpretable tracing; giving a remote marker to the patient and instructing her to press the button when the baby moves, which records as a musical note sign on the strip; taking and recording the patient's blood pressure; palpating the abdomen to stimulate the baby if there is no spontaneous movement; performing and recording a Kubli score on the tracing; and completing the NST record. As to the result, the policy specifically requires: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NST has a Kubli score of 7 or less, or if any maternal/fetal concerns are identified, ask the patient to stay and contact referring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Nurse Callander did not follow all aspects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[58] For example, she did not take and record Mrs. Lotocky's blood pressure as required. Nor did she record the mother's pulse or temperature as apparently required on the admission sheet. Nor did she palpate the abdomen or measure the SFH. According to her, it was unnecessary to take any of these steps for the purpose of a NST. While I agree that the steps may not be necessary, the failure to take the blood pressure represents a breach of the policy directly applicable and is potentially illustrative of Nurse Callander's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[59] There are significant issues related to the written charting of the Kubli scores for the August 18 NST. First, on the strip itself, at about 12:00 p.m., after a little over 40 minutes of operation, Nurse Callander recorded four rather than five numbers: 2, 2, 2 and 1, then showed a total of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[60] It will be recalled that the policy required an immediate call to the physician without releasing the patient in the event of a total score of 7 or less. The nurse did not identify on the strip which components of the test were being recorded. Nor did she identify whether the 7 was a total Kubli score rather than just an arithmetic total of a partial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[61] This left open a number of possibilities and understandably also led to considerable confusion among the various experts depending on their assumptions. The score, as written, could reflect a Kubli score of 7 out of 10 if the fifth category was a zero and went unrecorded. If only four categories were recorded, it is, as I say, unclear which categories.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[62] The nurse's explanation was not very helpful. According to Nurse Callander, during her evidence in chief, she interpreted the strip as follows: baseline 2; amplitude 2; decelerations 2; accelerations 1; and cycles 1. But those entries score 8 out of 10. In spite of that, the nurse testified that the score, as recorded on the strip, was meant as 7 of 8 rather than 7 of 10. If correct, that would mean she only scored four categories out of a total of 8 and did not score the fifth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[63] In cross-examination, the nurse agreed that her recorded scores on the strip were: baseline 2; amplitude 2; decelerations 2; and finally cycles, at 1. She did not refer at all, during that part of her evidence, to any score for accelerations.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[64] Nurse Callander's explanation at trial is inconsistent with the mathematical record she created at the time because she now describes positive numerical scores in all 5 rather than just 4 categories. In addition, she stated that she observed accelerations although not 4 within 20 minutes, as required to score 2 in that category. She also described scoring the cycles as a 1 "up to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[65] Her evidence in chief suggested a total score of 8, or perhaps even 9, out of 10, indicative of a normal healthy fetus but failed to explain the single entry of 1 on the strip itself or why she even considered it necessary to call Dr. Markle. According to the nurse, she concluded at the time that the total score might increase to a 9 if she continued the testing after reporting the tracing to Dr. Markle.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[66] I contrast this evidence to her eventual scoring on the NST record that she filled out after speaking to the doctor and then continuing the tracing. The nurse continued the tracing until some time after 12:15 p.m., by which point the fetus had fallen into an apparent sleep pattern.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[67] There are also problems with Nurse Callander's evidence respecting the eventual scoring on the NST record. The NST record has pre-printed category headings on it for the Kubli score, set up as follows: B for baseline; A for amplitude; C for cycles; D for decelerations; A for accelerations; and finally, a total score. Nurse Callander recorded in the columns under headings: B 2; A 2; C 2; D 1-2; and A 1, for a total of 8-9. On its face, and in contrast to her oral evidence, this record suggests that the nurse revised her score for decelerations downwards and still did not observe sufficient accelerations to revise the final category upwards. Again, her explanation at trial differed from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[68] According to Nurse Callander, she erroneously recorded the decelerations at 1-2 and should have made that entry for cycles. She described the additional tracing as showing a normal baseline, variability and good cycles but no decelerations. I observe that a lack of decelerations would be a positive feature justifying an entry of 2. She also testified that there were "no good accelerations that meet the criteria". This would be a negative feature, justifying an entry of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[69] At first, Nurse Callander testified that the results would not change her scoring, then stated it might influence her view of the cycles. She explained, in chief, that the cycles approached up to 4 to 4 1/2 per minute in panels of the strip found under numbers 100 to 27583. Those represent a period of about 8 to 9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[70] I note that, under the LGH statement of the Kubli scoring system, a score of 1 applies if there were more than 2 but less than 4 cycles per minute and a score of 2 if there were more than 4. Nurse Callander's evidence, if accurate, could support an entry of 1-2 for cycles although she clearly recorded a 2 in the particular column. In cross-examination, she demonstrated three examples justifying entries of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[71] If it were not for the total score set out in the NST record, which I am satisfied was a contemporaneous entry, I might have been inclined not to accept Nurse Callander's evidence. At least unconsciously, she has since interpreted the NST in ways most favourable to the defence. Her sloppy recordkeeping even casts doubt whether she viewed Kubli scoring in the various categories in the same way then as she does now. This applies with particular force to her explanation of the scoring of the August 18 NST in relation to cycles, decelerations and accelerations.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[72] According to Nurse Callander, she told Dr. Markle that she did not hear any decelerations and that the score "as it is" was 8 out of 10. She testified that she "would have said to him that it was losing a point for accelerations and that we should probably repeat it in a couple days time". Counsel for the plaintiff did not cross-examine her on this evidence but I do not accept that she told the doctor that there was a score of 8. Dr. Markle testified that the nurse reported to him that the NST was not ominous but not completely reassuring. According to him, they decided to repeat the test within a few days and made arrangements for August 21. He agreed, in cross-examination, that he only recalled the gist of the conversation. I find his description more in keeping with a scoring of 7 at that point than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[73] I conclude that Nurse Callander originally scored the NST tentatively at 7, a non-reassuring score that required her to contact the physician to discuss the next step before releasing the patient. Given the amount of time that the nurse had already run the NST, she must have been concerned about the results observed for, at least, cycles and accelerations and, perhaps even decelerations. She must have been more concerned at that point with reporting her overall impression of the NST than the individual scores.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[74] As to the final scoring of the NST, I accept that Nurse Callander interposed the entries for decelerations and cycles in the NST record. Correcting her recording error gives a revised scoring at the final conclusion of the August 18 NST as follows: B: 2; A: 2; C: 1-2; D: 2; and A: 1 for a total of 8-9. I accept that reflects her final scoring in spite of her errors in recording that I have referred to at length.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[75] I next propose to consider the opinion evidence on the interpretation of the August 18 NST. I keep in mind that some of the experts have greater qualifications than Nurse Callander although she has as much practical experience as any. I will set out the evidence of the plaintiffs' experts first and then that of the defendants. In setting out any Kubli scoring of the August 18 NST, unless I indicate otherwise, I will use the LGH column headings: B, A, C, D and A as set out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[76] Tina Tier has extensive experience as a nurse, educator and consultant. She is well qualified to express an opinion about the nursing standard of care relative to interpreting NSTs although her practical experience as an obstetrical nurse ended a long time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[77] Nurse Tier awarded a Kubli score of 6 to the August 18 NST, as follows: B 2; A 2; C 1; D 1; A 0. The significant differences between the Tier and Callander interpretations of the August 18 NST were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[78] In Nurse Tier's view, the cycles never exceeded 4 in one minute as required for a 2. She also identified the presence of moderate variable decelerations resulting in a score of 1. The nurse described decelerations generally as drops in the FHR below the resting band width, some of which are benign and some concerning. According to her, variable decelerations have a very rapid onset and look a bit like icicles on the strip. Nurse Tier identified a possible deceleration on panel 27569 with a poor data tracing. She specifically identified moderate variable decelerations at panels 27574, 27572 and 27571. That pattern, if interpreted accurately, would justify a Kubli score of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[79] Finally, Nurse Tier found no evidence of accelerations associated with fetal movement over the course of the one hour assessment and scored that category at zero. In her opinion, the NST was equivocal, or non-reassuring, and required immediate further investigation including a repeat NST the same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[80] In cross-examination, Nurse Tier readily agreed to the proposition that there is a fair amount of intra-observer variability in interpreting NST strips and two competent professionals may reasonably come to different conclusions when interpreting the same strip, at least in the grey area between normal and grossly abnormal.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[81] The nurse did not agree that there was an acceleration in the FHR just before panel 27568, although she conceded that the FHR rose about 12 bpm above the baseline. She also disagreed that there was a further acceleration at 27569 because the apparent rise in FHR may have been part of the recovery from the possible deceleration in the area of poor tracing rather than an increase from the baseline.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[82] Susan Burke has been an obstetrics nurse since 1977 and a charge nurse at Victoria General Hospital (VGH) since 1992. She is also well qualified to express an opinion on nursing standard of care. Nurse Burke assigned a Kubli score of 5 to the August 18 NST, as follows: B 2; A 1; C 1; D 0; A 1. This scoring differed not only from that of Nurse Callander but also Nurse Tier.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[83] Nurse Burke agreed, however, with Nurse Tier, that the strip was non-reassuring. Nurse Burke opined that the immediate follow-up should have been to contact the physician and recommend a number of steps, including a repeat NST that day or at maximum within 24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[84] According to Nurse Burke's report, the majority of the strip showed poor variability, apparently referring to amplitude, of less than 5 bpm but she included the period in which the fetus appeared to be asleep which may explain limited amplitude. She also found an assortment of decelerations, some late and some variable, but agreed that there was an inadequate tracing at 27569. Unlike Nurse Tier, she observed accelerations on the strip, although none of 15 bpm lasting 15 seconds. Nurse Burke's interpretation, if based on reliable data, would justify her score of 1 for accelerations.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[85] The plaintiffs also relied on two doctors who interpreted the August 18 NST. Dr. Farmer's opinion was primarily concerned with the standard of care exercised by Dr. Markle but it is useful to consider the differences in his interpretation of the NST insofar as it illustrates intra-observer variability. Dr. Farmer scored the strip: B 2; A 1; C 2; D 2; A 0, for a total of 7. He described the strip as non-reactive, because there were no accelerations, and as abnormal. In cross-examination, he at first described a score between 6 and 9 as equivocal or concerning, even though he later agreed that the Society of Obstetricians and Gynaecologists' (SOGC) guidelines include scores of 8 and above as reassuring. Accordingly, his opinion on that point was not fully supported by professional guidelines. Dr. Farmer did not agree with suggestions put to him as to specific accelerations but did agree that there is a great deal of intra-observer variability in reviewing monitoring strips.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[86] Dr. Arnold is an obstetrician and gynaecologist. He practices in Ontario. The Kubli scoring system is not used in Ontario but the doctor did set out his interpretation of the August 18 NST insofar as the presence or lack of amplitude, decelerations and accelerations are concerned. I review his evidence in that regard for the same purpose as that of Dr. Farmer.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[87] Dr. Arnold opined that there was decreased to absent variability, or amplitude, but later agreed, in cross-examination, that reduced variability may be consistent with a sleep pattern. He also identified a deep variable deceleration at 27569, an area where others agreed that there may have been loss of contact with the monitor, and further identified a variable deceleration at 27571 followed by additional shallow variable decelerations. He identified another at 27577 and some at 27578.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[88] He described a late deceleration at 27575 although he noted that no contractions were seen. In the first 10 minutes of tracing, he counted 10 decelerations.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[89] Dr. Arnold found no acceptable fetal heart accelerations over a 40 minute period. He described the tracing as non-reactive with worrisome features present. In cross-examination, he emphasized the presence of significant variable decelerations and a late deceleration in the absence of any uterine contractions as abnormal and a cause for concern. Because late decelerations are, by definition related to contraction activity, Dr. Arnold emphasized that his concern was about the scooped shape of the deceleration.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[90] Dr. Markle did not review the August 18 NST until Saturday, August 19. It was not his practice to assign a Kubli score but he testified that he agreed with the interpretation that Nurse Callander had provided him the day before. It is obvious that he considered Nurse Callander at least as well qualified as he to interpret the NST.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[91] Dr. Schouls, the obstetrician, testified, in rebuttal, on the question of the interpretation of the August 18 NST. She disagreed with Dr. Arnold's view that there was decreased to absent variability on the strip and opined that there were portions that were normal as well as significant portions of reduced variability. In her view, there was possible loss of contact to explain one apparent deceleration and, by definition, no late decelerations. Overall, she viewed the strip as equivocal with worrisome features.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[92] In cross-examination, she described the strip as equivocal rather than reassuring because she would have liked to see more and bigger accelerations. She admitted, however, that in her examination for discovery, she described the strip as reassuring. She also stated that she agreed with a Kubli scoring of 8 for the NST. It appears that Dr. Schouls defines a reassuring strip as one where no further action is required and the patient is told to come back when she is in labour. An equivocal strip, on the other hand, may require a repeat NST but not necessarily on the same day. In that sense, she now agrees that the August 18 NST was equivocal.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[93] Dr. Schouls later attempted in cross-examination to explain her nomenclature for describing NST results but left me with the impression that she had no clear consistent delineations in mind. She spoke at various times of strips being reassuring, non-reassuring or equivocal and, at others, of non-reassuring and equivocal being synonymous, with worrisome or ominous at the bottom. I give little weight to her rebuttal evidence on the interpretation of the August 18 NST.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[94] I doubt that Dr. Schouls gave the August 18 NST much attention at the time as there was a more immediate and obviously less reassuring NST result available for her to consider. I also consider it very difficult, if not impossible, for a party to maintain the required objectivity to give expert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[95] Dr. Bircham, an experienced family physician in Victoria, testified on behalf of Dr. Markle. Her evidence also covered the interpretation of the August 18 NST. She found variation in the amplitude and cycles depending on which parts of the strip she examined. She found some accelerations but none meeting the criteria of 15 bpm for at least 15 seconds. She observed some brief variable decelerations. In her view, the total score ranged from 6 to 8, as follows: B 2; A 1-2; C 1-2; D 1; A 1. As she pointed out, some intra-observer variability stems from the particular examiner's choice of representative one minute intervals. In cross-examination, Dr. Bircham testified that, if required to score the August 18 NST, she would have scored it at 7, an equivocal result for a term fetus.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[96] Dr. Bircham opined that a score of 7 or less would be equivocal and the NST should be repeated in 24 hours in such a case, according to the guidelines in place at Victoria General Hospital and her own practise. A score of 8, on the other hand, would be reassuring but subject to being repeated in several days to a week depending on the presence of other clinical 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[97] The doctor disagreed with Dr. Farmer's opinion that Kubli scores of 6-9 are all equivocal although she agreed that scores of 6 and 7 fit within that category. In her view, scores of 8 or 9 are both reassuring.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[98] Dr. Bircham also discussed the limitations on the Kubli testing process. According to her, having done the fetal health surveillance course, she does not rely on the numbers as exact. The real question is whether the strip is reassuring or non-reassuring. In her view, the August 18 NST was more reassuring than non-reassuring. She also pointed out that intra-observer variability in interpreting the strip adds to the problem associated with a finite scoring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[99] Dr. Pendleton, an obstetrician and gynaecologist, with extensive experience, testified on behalf of Nurse Callander. His report repeats the theme of Dr. Bircham's evidence outlined immediately above. After referring to the difficulties associated with electronic pick up and patient movement,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will inevitably be times when the strip is less than optimal and scoring systems have been evolved to give an overall impression of the strip. No-one reviews a few seconds of the trace, unless such shows profound decelerations with slow recovery and this strip scored 8, was reassuring if not a perfect score.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Pendleton did not assign a Kubli score to the August 18 NST himself but reviewed the strip for the presence of accelerations, decelerations and amplitude.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[100] According to Dr. Pendleton, accelerations are present on the tracing at 27568, 27569, 27570, 27574, and just after. He found good beat to beat variation and no ominous variable decelerations.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[101] Dr. Pendleton specifically disagreed with Dr. Arnold's opinion that there was a deceleration at 27569. He referred to the apparent loss of the tracing, probably related to the mother's movement, based on changes in tension and tone showing on the lower tracing. In his view, the pick up suggestive of a deceleration may well have been the mother's pulse rather than the FHR.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[102] The doctor also disagreed that the strip showed a bradycardia at 27575. He agreed in cross-examination that there was a deceleration present but did not consider it sinister, absent contraction activity. Dr. Pendleton also agreed that variable decelerations were present at 27571, 27578, and possibly at 27574 and 27577. As to amplitude, he also agreed that there was reduced variability after 27579.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[103] The question is whether Nurse Callander's interpretation of the August 18 NST failed to meet the applicable standard of care. The plaintiffs contend that she was "plainly wrong" and rely on that to support the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plaintiffs' submission on this point must be considered in its legal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[104] The authorities referred to in my standard of care discussion are of particular significance when I consider the question of intra-observer variability as it relates to the interpretation of the August 18 NST strip. Numerous experts have viewed the strip. They offered a significantly different range of interpretations of the same data, without regard to other data, including the auditory signals associated with the NST itself that an experienced nurse would pay attention to. In considering the expert evidence, I have paid more attention to their independent interpretation of the August 18 NST and Kubli scoring than to their assumptions about how Nurse Callander interpreted and scored the test. This is because some of their assumptions about the latter are not borne out by the evidence that I have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[105] I start with the contention that Nurse Callander was "simply wrong". In doing so, I am not inadvertently raising the bar for the plaintiffs but repeating the forceful language of their counsel. The real question, of course, is whether the plaintiffs demonstrated that the nurse's interpretation of the August 18 NST as reassuring fell below the standard of a reasonably competent nurse in those circumstances. In effect, the plaintiffs say that no reasonably competent nurse could have interpreted the test result as reassuring.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[106] In my view, the plaintiffs' own expert evidence does not support this conclusion, particularly when I consider the differences in the various interpretations of the August 18 NST insofar as amplitude, cycles, decelerations and accelerations are concerned. In reviewing this evidence, I am satisfied that the Kubli scoring system provides a convenient and useful, but not an exact, means of recording the examiner's interpretation of the strip. Nurse Tier scored amplitude the same as Nurse Callander. Nurse Callander scored cycles at 1-2. Nurses Tier and Burke scored them at 1; Dr. Farmer scored them at 2. Nurse Burke scored accelerations at 1, exactly the same as Nurse Callander. Accepting, for the purpose of a scoring system, that the whole is necessarily the sum of its parts, this indicates that different observers on different occasions have interpreted the categories at issue the same way as did Nurse Callander. Even if I preferred the overall interpretation of any of the plaintiffs' experts to that of Nurse Callander or any defence expert, I am not permitted to choose between mutually acceptable approaches just because I prefer one result over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[107] I am further reinforced in these views when I consider the defence experts, Drs. Bircham and Pendleton. Both were impressive witnesses. Dr. Bircham opined that the test could support a Kubli score as high as 8. Dr. Pendleton found the test reassuring and successfully challenged most of Dr. Arnold's assertions. I prefer the evidence of Dr. Pendleton over that of Dr. Arnold in relation to the interpretation of the August 18 NST.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[108] Although neither Drs. Pendleton nor Arnold provided a Kubli score, it is apparent that Dr. Arnold considered the strip to be far worse than any other witness who viewed it. The weight of the opinion evidence is against him on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[109] In my view, the divergence of opinions among the various professionals who interpreted the August 18 NST, both as to the components and total Kubli scores, where given, illustrate that there is room for differing interpretations of the data recorded. The opportunity for variation is expanded given the possibility of incomplete or inaccurate tracings due to loss of contact or patient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[110] In all the circumstances, I am not persuaded that Nurse Callander fell below the level of a reasonably competent nurse in reaching the conclusions that she did.</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Failing to appropriately respond to the August 18 NST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[111] This contention must now be considered in light of the conclusions expressed above. I take into account that Nurse Callander, on the evidence, initially treated the August 18 NST as non-reassuring. After originally scoring the strip as a 7, and without allowing Mrs. Lotocky to leave the hospital, she telephoned Dr. Markle and recommended a further test within a few days. The accepted follow-up to an equivocal result of 7 or less, according to LGH policy at the time, was to ask the patient to stay and contact the physician. I have accepted that she told Dr. Markle that the result was neither reassuring nor ominous.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[112] Given the medical terminology in use, this had to mean that the result was, to that point, in between those poles. In other words, it was equivocal.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[113] It is significant that Nurse Callander did not stop at contacting Dr. Markle. Instead, she continued to run the NST and then re-interpreted the results. If the nurse had not done so, and had Dr. Markle ordered an immediate further test, she would have obtained exactly the same results as she did. Ordinarily, a NST runs long enough to obtain 20 minutes of interpretable tracing. In this case, the nurse ran the first part of the test just over 40 minutes before she contacted Dr. Markle. She then extended the NST for about 25 minutes before stopping because the fetus displayed a FHR pattern consistent with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[114] Upon later concluding that the overall score was a reassuring 8-9, Nurse Callander had no reason to call Dr. Markle again or to keep Mrs. Lotocky in the hospital. No witness suggested that there were any such obligations in the event of a reassuring score.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[115] I also accept that the final decision as to when to conduct a repeat NST is for the doctor rather than the nurse. In this case, Dr. Markle accepted Nurse Callander's recommendation that the further NST be conducted on August 21 and did not re-visit the issue or change his decision after he reviewed the entire August 18 NST on August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[116] The plaintiffs argued that the LGH nursing policy does not provide for a three day hiatus between tests where there is a Kubli score of 7 or less. They suggest that the standard of repeating the test within 12-24 hours referred to by Dr. Bircham should apply. I disagree. There was no evidence that such a policy applied at LGH at the material time. In cross-examination, Nurse Callander testified that the policy at the time was to repeat the test in three days although the current policy is to do so within 24-48 hours. That evidence was not challenged nor was there any expert evidence that such a standard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[117] Further, the plaintiffs' submission does not take into account that the purpose of the nurse contacting the doctor is so that the doctor can decide when any re-testing is to take place. The role of the nurse is to inform and consult with the doctor but not to decide on and order further testing.</w:t>
      </w:r>
      <w:r>
        <w:rPr>
          <w:rFonts w:ascii="arial" w:eastAsia="arial" w:hAnsi="arial" w:cs="arial"/>
          <w:sz w:val="20"/>
          <w:lang w:val="en-US" w:eastAsia="en-US" w:bidi="ar-SA"/>
        </w:rPr>
        <w:cr/>
      </w:r>
    </w:p>
    <w:p>
      <w:pPr>
        <w:numPr>
          <w:numId w:val="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Failing to adequately chart her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[118] There is no doubt that Nurse Callander failed to accurately and completely chart her findings as they related to the Kubli scoring of the August 18 NST. She also failed to record some information, including the mother's blood pressure, as required by LGH policy. These failures are troubling but it is difficult to see that anything turns 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[119] Dr. Markle obviously relied on the nurse's effective description of the August 18 NST as equivocal and made the final decision as to the timing of the repeat NST. There is no evidence that any of the decisions taken thereafter were affected by the mistakes in charting or the lack of charting disclosed in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[120] The plaintiffs also submitted that Nurse Callander was required, by LGH policy, to record events on the NST strip. There is no doubt that the nurse did not record events on the tracing, for example, maternal changes in position that might affect the reliability of the electronic monitoring of the FHR, but I can find no requirement in the LGH policy for that during NST testing. The policy only required the nurse to perform the Kubli score on the tracing and to complete the NST record. The latter does not require the recording of such events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[121] The plaintiffs further pointed out that the nurse never measured and recorded Mrs. Lotocky's SFH but there was no evidence that a reasonably competent nurse was required to do so before performing a NST in the circumstances. Absent a duty, there can be no breach arising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[122] I recognize the importance of medical records as a tool in the practise of medicine. See </w:t>
      </w:r>
      <w:r>
        <w:rPr>
          <w:rFonts w:ascii="arial" w:eastAsia="arial" w:hAnsi="arial" w:cs="arial"/>
          <w:i/>
          <w:color w:val="000000"/>
          <w:sz w:val="20"/>
          <w:lang w:val="en-US" w:eastAsia="en-US" w:bidi="ar-SA"/>
        </w:rPr>
        <w:t>Kolesar v. Jeffries</w:t>
      </w:r>
      <w:r>
        <w:rPr>
          <w:rFonts w:ascii="arial" w:eastAsia="arial" w:hAnsi="arial" w:cs="arial"/>
          <w:color w:val="000000"/>
          <w:sz w:val="20"/>
          <w:lang w:val="en-US" w:eastAsia="en-US" w:bidi="ar-SA"/>
        </w:rPr>
        <w:t xml:space="preserve"> </w:t>
      </w:r>
      <w:hyperlink r:id="rId862" w:history="1">
        <w:r>
          <w:rPr>
            <w:rFonts w:ascii="arial" w:eastAsia="arial" w:hAnsi="arial" w:cs="arial"/>
            <w:i/>
            <w:color w:val="0077CC"/>
            <w:sz w:val="20"/>
            <w:u w:val="single"/>
            <w:shd w:val="clear" w:color="auto" w:fill="FFFFFF"/>
            <w:lang w:val="en-US" w:eastAsia="en-US" w:bidi="ar-SA"/>
          </w:rPr>
          <w:t>(1974), 59 D.L.R. (3d) 367</w:t>
        </w:r>
      </w:hyperlink>
      <w:r>
        <w:rPr>
          <w:rFonts w:ascii="arial" w:eastAsia="arial" w:hAnsi="arial" w:cs="arial"/>
          <w:color w:val="000000"/>
          <w:sz w:val="20"/>
          <w:lang w:val="en-US" w:eastAsia="en-US" w:bidi="ar-SA"/>
        </w:rPr>
        <w:t xml:space="preserve"> (Ont. H.C.), varied on other grounds </w:t>
      </w:r>
      <w:hyperlink r:id="rId863" w:history="1">
        <w:r>
          <w:rPr>
            <w:rFonts w:ascii="arial" w:eastAsia="arial" w:hAnsi="arial" w:cs="arial"/>
            <w:i/>
            <w:color w:val="0077CC"/>
            <w:sz w:val="20"/>
            <w:u w:val="single"/>
            <w:shd w:val="clear" w:color="auto" w:fill="FFFFFF"/>
            <w:lang w:val="en-US" w:eastAsia="en-US" w:bidi="ar-SA"/>
          </w:rPr>
          <w:t>(1976), 68 D.L.R. (3d) 198</w:t>
        </w:r>
      </w:hyperlink>
      <w:r>
        <w:rPr>
          <w:rFonts w:ascii="arial" w:eastAsia="arial" w:hAnsi="arial" w:cs="arial"/>
          <w:color w:val="000000"/>
          <w:sz w:val="20"/>
          <w:lang w:val="en-US" w:eastAsia="en-US" w:bidi="ar-SA"/>
        </w:rPr>
        <w:t xml:space="preserve"> (Ont. C.A.), Aff'd </w:t>
      </w:r>
      <w:hyperlink r:id="rId864" w:history="1">
        <w:r>
          <w:rPr>
            <w:rFonts w:ascii="arial" w:eastAsia="arial" w:hAnsi="arial" w:cs="arial"/>
            <w:i/>
            <w:color w:val="0077CC"/>
            <w:sz w:val="20"/>
            <w:u w:val="single"/>
            <w:shd w:val="clear" w:color="auto" w:fill="FFFFFF"/>
            <w:lang w:val="en-US" w:eastAsia="en-US" w:bidi="ar-SA"/>
          </w:rPr>
          <w:t>(1977), 77 D.L.R. (3d) 161</w:t>
        </w:r>
      </w:hyperlink>
      <w:r>
        <w:rPr>
          <w:rFonts w:ascii="arial" w:eastAsia="arial" w:hAnsi="arial" w:cs="arial"/>
          <w:color w:val="000000"/>
          <w:sz w:val="20"/>
          <w:lang w:val="en-US" w:eastAsia="en-US" w:bidi="ar-SA"/>
        </w:rPr>
        <w:t xml:space="preserve"> (S.C.C.). As pointed out there, in an accredited hospital the records provide a basis for the medical staff's ongoing review, study and evaluation of patient care. There are standards for the maintenance of records that apply to ensure they are sufficient to justify diagnoses, warrant good treatment and explain the reasons for end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[123] It is apparent that the standardization and completeness of records is necessary to ensure proper patient care. Accordingly, I accept that any failure to maintain required records constitutes a breach of the nursing standard of care. Whether anything turns on that in the case at bar will be discussed briefly under the heading: Causation. The fact remains that there is no evidence in the case at bar that Nurse Callander's charting errors and omissions had any effect at all on the course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[124] There are, of course, other implications where there has been a failure to maintain required records. In </w:t>
      </w:r>
      <w:r>
        <w:rPr>
          <w:rFonts w:ascii="arial" w:eastAsia="arial" w:hAnsi="arial" w:cs="arial"/>
          <w:i/>
          <w:color w:val="000000"/>
          <w:sz w:val="20"/>
          <w:lang w:val="en-US" w:eastAsia="en-US" w:bidi="ar-SA"/>
        </w:rPr>
        <w:t>Kolesar</w:t>
      </w:r>
      <w:r>
        <w:rPr>
          <w:rFonts w:ascii="arial" w:eastAsia="arial" w:hAnsi="arial" w:cs="arial"/>
          <w:color w:val="000000"/>
          <w:sz w:val="20"/>
          <w:lang w:val="en-US" w:eastAsia="en-US" w:bidi="ar-SA"/>
        </w:rPr>
        <w:t xml:space="preserve">, the absence of a record permitted the inference that necessary steps were not taken. As well, common sense may lead to a conclusion that professionals who keep inadequate records are unlikely to have independently accurate recollections of important events involving their patients. See, for example, </w:t>
      </w:r>
      <w:r>
        <w:rPr>
          <w:rFonts w:ascii="arial" w:eastAsia="arial" w:hAnsi="arial" w:cs="arial"/>
          <w:i/>
          <w:color w:val="000000"/>
          <w:sz w:val="20"/>
          <w:lang w:val="en-US" w:eastAsia="en-US" w:bidi="ar-SA"/>
        </w:rPr>
        <w:t>Dale v. Munthali, supra</w:t>
      </w:r>
      <w:r>
        <w:rPr>
          <w:rFonts w:ascii="arial" w:eastAsia="arial" w:hAnsi="arial" w:cs="arial"/>
          <w:color w:val="000000"/>
          <w:sz w:val="20"/>
          <w:lang w:val="en-US" w:eastAsia="en-US" w:bidi="ar-SA"/>
        </w:rPr>
        <w:t>. I have already taken into account the effect of the incomplete and faulty Kubli scoring in considering the reliability of Nurse Callander's evidence.</w:t>
      </w:r>
      <w:r>
        <w:rPr>
          <w:rFonts w:ascii="arial" w:eastAsia="arial" w:hAnsi="arial" w:cs="arial"/>
          <w:sz w:val="20"/>
          <w:lang w:val="en-US" w:eastAsia="en-US" w:bidi="ar-SA"/>
        </w:rPr>
        <w:cr/>
      </w:r>
    </w:p>
    <w:p>
      <w:pPr>
        <w:numPr>
          <w:numId w:val="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Failing to obtain informed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[125] In written argument, the plaintiffs contended: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Nurse Callander failed to inform Mrs. Lotocky of all of the possible reasons for the reduced variability of the fetal heart on August 19, [sic] 1995 and offer her the choice of staying in hospital or going home for the weekend, and of the risks associated with each to Mrs. Lotocky and to her unborn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[126] According to counsel for the nurse, the raising of this issue came as a surprise even though there is general pleading by the plaintiffs that Mrs. Lotocky "did not give informed consent to the course of her treatment and the procedures utilized by the Defendants or any of them." The allegation is not repeated, however, in the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pleaded specifically with regard to Nurse Callander. More importantly, in the circumstances, the plaintiffs did not lead evidence that it was a breach of the nursing standard of care to not discuss the possible reasons for reduced variability or to offer Mrs. Lotocky the choice of staying in the hospital or going home and advise her of the risks associated with each choice. I reject the plaintiffs' argument respecting lack of informed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MARKLE: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[127] Before turning to the specific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Dr. Markle, I wish to address the weight I give to the evidence of the Ontario obstetrician, Dr. Arnold, on the applicable standard of care. Counsel for Dr. Markle submitted that Dr. Arnold's evidence should be given less weight for two reasons: first, because it is inappropriate to judge a general practitioner by the standard of care of a specialist; and second, because Dr. Arnold had no habitual familiarity with the general practice of medicine in British Columbia in 1995. As a result, counsel contended that I should give more weight to the opinions of Dr. Bircham, the general practitioner from Victoria. Counsel relied on </w:t>
      </w:r>
      <w:r>
        <w:rPr>
          <w:rFonts w:ascii="arial" w:eastAsia="arial" w:hAnsi="arial" w:cs="arial"/>
          <w:i/>
          <w:color w:val="000000"/>
          <w:sz w:val="20"/>
          <w:lang w:val="en-US" w:eastAsia="en-US" w:bidi="ar-SA"/>
        </w:rPr>
        <w:t>Phillips v. Central Cariboo Chilcotin Council</w:t>
      </w:r>
      <w:r>
        <w:rPr>
          <w:rFonts w:ascii="arial" w:eastAsia="arial" w:hAnsi="arial" w:cs="arial"/>
          <w:color w:val="000000"/>
          <w:sz w:val="20"/>
          <w:lang w:val="en-US" w:eastAsia="en-US" w:bidi="ar-SA"/>
        </w:rPr>
        <w:t xml:space="preserve">, </w:t>
      </w:r>
      <w:hyperlink r:id="rId865" w:history="1">
        <w:r>
          <w:rPr>
            <w:rFonts w:ascii="arial" w:eastAsia="arial" w:hAnsi="arial" w:cs="arial"/>
            <w:i/>
            <w:color w:val="0077CC"/>
            <w:sz w:val="20"/>
            <w:u w:val="single"/>
            <w:shd w:val="clear" w:color="auto" w:fill="FFFFFF"/>
            <w:lang w:val="en-US" w:eastAsia="en-US" w:bidi="ar-SA"/>
          </w:rPr>
          <w:t>[2002] B.C.J. No. 1245</w:t>
        </w:r>
      </w:hyperlink>
      <w:r>
        <w:rPr>
          <w:rFonts w:ascii="arial" w:eastAsia="arial" w:hAnsi="arial" w:cs="arial"/>
          <w:color w:val="000000"/>
          <w:sz w:val="20"/>
          <w:lang w:val="en-US" w:eastAsia="en-US" w:bidi="ar-SA"/>
        </w:rPr>
        <w:t xml:space="preserve"> (B.C.S.C.), at para. 29, to support his contention that differences in expertise and work experience are a factor affecting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[128] In reply, the plaintiffs relied on </w:t>
      </w:r>
      <w:r>
        <w:rPr>
          <w:rFonts w:ascii="arial" w:eastAsia="arial" w:hAnsi="arial" w:cs="arial"/>
          <w:i/>
          <w:color w:val="000000"/>
          <w:sz w:val="20"/>
          <w:lang w:val="en-US" w:eastAsia="en-US" w:bidi="ar-SA"/>
        </w:rPr>
        <w:t>Grennan Estate v. Alton,</w:t>
      </w:r>
      <w:r>
        <w:rPr>
          <w:rFonts w:ascii="arial" w:eastAsia="arial" w:hAnsi="arial" w:cs="arial"/>
          <w:color w:val="000000"/>
          <w:sz w:val="20"/>
          <w:lang w:val="en-US" w:eastAsia="en-US" w:bidi="ar-SA"/>
        </w:rPr>
        <w:t xml:space="preserve"> </w:t>
      </w:r>
      <w:hyperlink r:id="rId866" w:history="1">
        <w:r>
          <w:rPr>
            <w:rFonts w:ascii="arial" w:eastAsia="arial" w:hAnsi="arial" w:cs="arial"/>
            <w:i/>
            <w:color w:val="0077CC"/>
            <w:sz w:val="20"/>
            <w:u w:val="single"/>
            <w:shd w:val="clear" w:color="auto" w:fill="FFFFFF"/>
            <w:lang w:val="en-US" w:eastAsia="en-US" w:bidi="ar-SA"/>
          </w:rPr>
          <w:t>[2000] Y.J. No. 120</w:t>
        </w:r>
      </w:hyperlink>
      <w:r>
        <w:rPr>
          <w:rFonts w:ascii="arial" w:eastAsia="arial" w:hAnsi="arial" w:cs="arial"/>
          <w:color w:val="000000"/>
          <w:sz w:val="20"/>
          <w:lang w:val="en-US" w:eastAsia="en-US" w:bidi="ar-SA"/>
        </w:rPr>
        <w:t xml:space="preserve"> (S.C.), for the proposition that the evidence of Dr. Arnold applies in spite of the differences in expertise and geography. I agree with that insofar as it speaks to admissibility which was not at issue. I note, however, that the finding of liability in </w:t>
      </w:r>
      <w:r>
        <w:rPr>
          <w:rFonts w:ascii="arial" w:eastAsia="arial" w:hAnsi="arial" w:cs="arial"/>
          <w:i/>
          <w:color w:val="000000"/>
          <w:sz w:val="20"/>
          <w:lang w:val="en-US" w:eastAsia="en-US" w:bidi="ar-SA"/>
        </w:rPr>
        <w:t>Grennan</w:t>
      </w:r>
      <w:r>
        <w:rPr>
          <w:rFonts w:ascii="arial" w:eastAsia="arial" w:hAnsi="arial" w:cs="arial"/>
          <w:color w:val="000000"/>
          <w:sz w:val="20"/>
          <w:lang w:val="en-US" w:eastAsia="en-US" w:bidi="ar-SA"/>
        </w:rPr>
        <w:t xml:space="preserve"> was reversed on appeal, albeit on other grounds (see </w:t>
      </w:r>
      <w:r>
        <w:rPr>
          <w:rFonts w:ascii="arial" w:eastAsia="arial" w:hAnsi="arial" w:cs="arial"/>
          <w:i/>
          <w:color w:val="000000"/>
          <w:sz w:val="20"/>
          <w:lang w:val="en-US" w:eastAsia="en-US" w:bidi="ar-SA"/>
        </w:rPr>
        <w:t>Grennan Estate v. Reddoch,</w:t>
      </w:r>
      <w:r>
        <w:rPr>
          <w:rFonts w:ascii="arial" w:eastAsia="arial" w:hAnsi="arial" w:cs="arial"/>
          <w:color w:val="000000"/>
          <w:sz w:val="20"/>
          <w:lang w:val="en-US" w:eastAsia="en-US" w:bidi="ar-SA"/>
        </w:rPr>
        <w:t xml:space="preserve"> </w:t>
      </w:r>
      <w:hyperlink r:id="rId867" w:history="1">
        <w:r>
          <w:rPr>
            <w:rFonts w:ascii="arial" w:eastAsia="arial" w:hAnsi="arial" w:cs="arial"/>
            <w:i/>
            <w:color w:val="0077CC"/>
            <w:sz w:val="20"/>
            <w:u w:val="single"/>
            <w:shd w:val="clear" w:color="auto" w:fill="FFFFFF"/>
            <w:lang w:val="en-US" w:eastAsia="en-US" w:bidi="ar-SA"/>
          </w:rPr>
          <w:t>[2002] Y.J. No. 119</w:t>
        </w:r>
      </w:hyperlink>
      <w:r>
        <w:rPr>
          <w:rFonts w:ascii="arial" w:eastAsia="arial" w:hAnsi="arial" w:cs="arial"/>
          <w:color w:val="000000"/>
          <w:sz w:val="20"/>
          <w:lang w:val="en-US" w:eastAsia="en-US" w:bidi="ar-SA"/>
        </w:rPr>
        <w:t xml:space="preserve"> (C.A.), leave to appeal to S.C.C. dismissed, </w:t>
      </w:r>
      <w:hyperlink r:id="rId868" w:history="1">
        <w:r>
          <w:rPr>
            <w:rFonts w:ascii="arial" w:eastAsia="arial" w:hAnsi="arial" w:cs="arial"/>
            <w:i/>
            <w:color w:val="0077CC"/>
            <w:sz w:val="20"/>
            <w:u w:val="single"/>
            <w:shd w:val="clear" w:color="auto" w:fill="FFFFFF"/>
            <w:lang w:val="en-US" w:eastAsia="en-US" w:bidi="ar-SA"/>
          </w:rPr>
          <w:t>[2003] S.C.C.A. No. 61</w:t>
        </w:r>
      </w:hyperlink>
      <w:r>
        <w:rPr>
          <w:rFonts w:ascii="arial" w:eastAsia="arial" w:hAnsi="arial" w:cs="arial"/>
          <w:color w:val="000000"/>
          <w:sz w:val="20"/>
          <w:lang w:val="en-US" w:eastAsia="en-US" w:bidi="ar-SA"/>
        </w:rPr>
        <w:t xml:space="preserve">). It is apparent from a review of that decision that the requirements in </w:t>
      </w:r>
      <w:r>
        <w:rPr>
          <w:rFonts w:ascii="arial" w:eastAsia="arial" w:hAnsi="arial" w:cs="arial"/>
          <w:i/>
          <w:color w:val="000000"/>
          <w:sz w:val="20"/>
          <w:lang w:val="en-US" w:eastAsia="en-US" w:bidi="ar-SA"/>
        </w:rPr>
        <w:t>ter Neuzen v. Korn, supra</w:t>
      </w:r>
      <w:r>
        <w:rPr>
          <w:rFonts w:ascii="arial" w:eastAsia="arial" w:hAnsi="arial" w:cs="arial"/>
          <w:color w:val="000000"/>
          <w:sz w:val="20"/>
          <w:lang w:val="en-US" w:eastAsia="en-US" w:bidi="ar-SA"/>
        </w:rPr>
        <w:t xml:space="preserve">, that physicians have a duty to conduct their practice in accordance with the conduct of a prudent and diligent doctor in the same circumstances, requires a judgment of that conduct "in the light of the knowledge that ought to have been reasonably possessed at the time of the alleged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(para. 34) support Mr. Hinkson's contention on behalf of Dr. Markle.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[129] Hall J.A. went on, in </w:t>
      </w:r>
      <w:r>
        <w:rPr>
          <w:rFonts w:ascii="arial" w:eastAsia="arial" w:hAnsi="arial" w:cs="arial"/>
          <w:i/>
          <w:color w:val="000000"/>
          <w:sz w:val="20"/>
          <w:lang w:val="en-US" w:eastAsia="en-US" w:bidi="ar-SA"/>
        </w:rPr>
        <w:t>Grennan</w:t>
      </w:r>
      <w:r>
        <w:rPr>
          <w:rFonts w:ascii="arial" w:eastAsia="arial" w:hAnsi="arial" w:cs="arial"/>
          <w:color w:val="000000"/>
          <w:sz w:val="20"/>
          <w:lang w:val="en-US" w:eastAsia="en-US" w:bidi="ar-SA"/>
        </w:rPr>
        <w:t xml:space="preserve"> (C.A.), after referring to the passages in </w:t>
      </w:r>
      <w:r>
        <w:rPr>
          <w:rFonts w:ascii="arial" w:eastAsia="arial" w:hAnsi="arial" w:cs="arial"/>
          <w:i/>
          <w:color w:val="000000"/>
          <w:sz w:val="20"/>
          <w:lang w:val="en-US" w:eastAsia="en-US" w:bidi="ar-SA"/>
        </w:rPr>
        <w:t>ter Neuzen</w:t>
      </w:r>
      <w:r>
        <w:rPr>
          <w:rFonts w:ascii="arial" w:eastAsia="arial" w:hAnsi="arial" w:cs="arial"/>
          <w:color w:val="000000"/>
          <w:sz w:val="20"/>
          <w:lang w:val="en-US" w:eastAsia="en-US" w:bidi="ar-SA"/>
        </w:rPr>
        <w:t>, to the need to give weight to the opinions of those experts "whose practice profiles most closely resembled that of the defendant doctor". While he agreed that the opinion of a doctor with a more divergent practice profile is admissible, there is a danger in attributing undue weight to it. It follows from that note of caution that the evidence of Dr. Arnold, while admissible, is not entitled to as much weight because his practice profile does not closely resemble that of Dr. Markle.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[130] The plaintiffs also relied on the expert evidence of Dr. Farmer, a GP in Vancouver. While Dr. Farmer has additional expertise resulting from six months of obstetrics training as a resident that Dr. Markle does not have, I consider the practice profiles of both Dr. Farmer and Dr. Bircham closer to that of Dr. Markle. Accordingly, I have given greater weight to their opinions. I have already described Dr. Bircham as an impressive witness. So was Dr. Farmer.</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Failing to properly monitor and record fetal movements during the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[131] The evidence on this issue was divergent. According to Mrs. Lotocky, she first told Dr. Markle, at the beginning of the ninth month of pregnancy, that she was not feeling the baby move as much as she expected. She testified that the doctor told her, that as a working mother with two young children, she was probably too busy to notice but he took no steps. According to her, she raised the issue at least one or two more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[132] In cross-examination, Mrs. Lotocky agreed that she told Dr. Perlman, one of the plaintiffs' experts, in February 2003 that she perceived less fetal movement "during the seventh and/or eighth months" but explained that it was actually towards the end of the eighth month into the ninth. Dr. Perlman later confirmed that the reference to the seventh or eighth month, in his notes, was an accurate recording of what he had been told by Mrs. Lotocky, but also agreed that she may have told him that it became an issue then and extended into the ninth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[133] There is no note in Dr. Markle's chart during that three month period of Mrs. Lotocky reporting any apparent lack of fetal movement. Dr. Markle testified, in chief, that he always asks pregnant patients about fetal movement; that he would have been concerned if Mrs. Lotocky advised him of fewer fetal movements than expected; and, finally, that he would have recorded it. In cross-examination, he testified that he did not recall any discussion about fetal movement but stated if it was said in a way that did not raise any great concern or was not emphasized, he might not write it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[134] In effect, the doctor's evidence was that he only records information received that is of apparent medical significance. Yet it is apparent that Dr. Markle did not chart other medically significant information. He made no record at all of his discussion with the nurse following the August 18 NST or of his discussion with Mrs. Lotocky on August 19 after he reviewed the August 18 NST, both of which contained medically significant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[135] Mrs. Lotocky is intelligent and articulate but does not appear particularly assertive. I found her believable but not necessarily accurate as to detail. I took into account that, almost eight years after Michael was born, Mrs. Lotocky reported to Dr. Perlman that she expressed her concerns about fetal movement to Dr. Markle at an earlier point in the pregnancy than she testified to at trial. Her memory of the timing may be inaccurate but that does not mean that the conversations never occurred. Dr. Perlman agreed that Mrs. Lotocky may have told him that the reporting of concerns extended into the ninth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[136] I accept that Mrs. Lotocky had concerns about the differences in fetal movement during the course of her pregnancy with Michael when contrasted to her previous pregnancies and that she reported them to her doctor. I also find that Dr. Markle did not chart the information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[137] Dr. Bircham agreed, in cross-examination, that it is important for a general practitioner to ask questions to obtain information about fetal movement. Dr. Farmer's evidence did not touch directly on the question of the need to chart concerns over lack of fetal movement. He did identify other areas where he expected to see charting but was unable to find any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[138] In cross-examination of Dr. Schouls, counsel for the plaintiffs asked her about the need to chart information regarding fetal movement. She described fetal movement as a very subjective and highly variable factor is assessing fetal well-being and that generally speaking, women describe less movement towards term because there is less room for the baby to move. Dr. Schouls testified that she would only chart lack of fetal movement if it was a concern to her. I accept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[139] The plaintiffs submitted that Dr. Bircham testified that the appropriate standard of care is for the physician to ask about fetal movement on every visit and to record the response. They say this standard avoids penalizing the baby of a mother who may be stoic, soft spoken or given to understatement.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[140] I accept that the standard of care extends to asking about fetal movement but not to charting responses that do not give rise to significant medical concern. Whatever concerns Mrs. Lotocky had, I am not persuaded they gave rise to significant medical concerns.</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Failing to order an ultrasound when the mother's symphysis fundal height (SFH) did not increase over a four week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[141] As earlier set out, SFH measurements are taken from the top of the mother's pubic bone to the highest point of the uterus. While it is a relatively crude measurement it provides some parameters against which the fetus's health can be assessed. The present focus is on the measurements taken by Dr. Markle over the period July 18 to August 18,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[142] At p. 4 of his report, Dr. Arnold said this about the SFH measurements: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her visit on July 18, 1995, there was a fall off noted in the symphysis fundal height measurement (SFH). At her visit on July 4, 1995, Ms. Lotocky was 33 weeks gestation and her SFH was 34 cms. On July 18, 1995, Ms. Lotocky was 35 weeks gestation and her SFH was 33 cms. At her next visit on July 28, 1995, she was 36 1/2 weeks gestation and her SFH remained at 33 cms. Dr. Markle made a note on Ms. Lotocky's antenatal record that he "may do (an) US (ultrasound) after next wk (week)." It is generally accepted that if the measurement is 2 cms or more behind the gestational age of the fetus, fetal growth restriction should be considered and ultrasound follow up is warranted. Ultrasound is accepted as the optimal means for assessing fetal size.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[143] Dr. Pendleton described the SFH measurement, in somewhat similar fashion, as "a rather crude index of satisfactory growth, for it is approximately 1 cm/week in pregnancy". He and others pointed out that the SFH varies depending on numerous factors, including whether the mother has a full bladder, the position of the baby and the size of the mother. Using similar terminology, Dr. Schouls described the SFH as a "very rough clinical estimate".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[144] In spite of these limitations, it is apparent that SFH measurements are an important part of the antenatal record and relied on to assess fetal growth and well being. Dr. Markle recorded them meticulously.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[145] Dr. Arnold usefully set out a table that accurately shows the relevant measurements taken at Dr. Markle's office: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Table 1. Office Measurements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1987"/>
        <w:gridCol w:w="2614"/>
        <w:gridCol w:w="219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Date</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Weight (lbs)</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Gestational age</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Symphysis-fundal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height (cm)</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836"/>
        <w:gridCol w:w="1778"/>
        <w:gridCol w:w="2614"/>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 July 95</w:t>
            </w:r>
          </w:p>
        </w:tc>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184</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w:t>
            </w:r>
          </w:p>
        </w:tc>
        <w:tc>
          <w:tcPr>
            <w:tcW w:w="297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 July 95</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183</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836"/>
        <w:gridCol w:w="2091"/>
        <w:gridCol w:w="2301"/>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 July 95</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181</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36.5</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5"/>
        <w:gridCol w:w="941"/>
        <w:gridCol w:w="2091"/>
        <w:gridCol w:w="2300"/>
        <w:gridCol w:w="3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 Aug 95</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181</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37.5</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836"/>
        <w:gridCol w:w="2091"/>
        <w:gridCol w:w="2301"/>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 Aug 95</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188</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38.5</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836"/>
        <w:gridCol w:w="1778"/>
        <w:gridCol w:w="2614"/>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 Aug 95</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185</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[146] Later in his report, Dr. Arnold pointed out that there is no record of any ultrasound being done and opined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Markle fell below standard by not pursuing his abnormal finding of a much smaller than expected symphysis fundal height measurement.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[147] Dr. Farmer expressed a criticism similar to that of Dr. Arnold. He opined that Dr. Markle should have ordered a third trimester antenatal ultrasound sometime between 36 to 391/2 weeks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assess serial growth of the fetus and the volume of amniotic fluid when there were clear indications to Dr. Markle over several office visits, over a period of several weeks, that there was not sufficient increase, and in fact, a decrease in the symphyso-fetal height measurement.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is no doubt that an ultrasound was readily available. In cross-examination, however, he conceded that a decrease in SFH between 38 1/2 and 40 weeks is not uncommon and that the SFH occasionally does not increase from week to week in the last few weeks of pregnancy as the baby drops lower into the pelvis.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[148] Dr. Bircham disagreed that there was a need for a further ultrasound. According to her, the problem with delayed increase in SFH evident at 36 1/2 weeks "appeared to resolve spontaneously" by the time of the next recorded measurement. Dr. Pendleton and Dr. Schouls expressed similar views.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[149] Dr. Pendleton pointed out that the amniotic fluid ordinarily reaches a maximum at 32 weeks and then drops significantly by 37 to 38 weeks causing a drop in the SFH. The SFH further drops at term with the descent of the baby into the pelvis. He did not consider the drop in SFH to be alarming in this case. Dr. Schouls testified that patients frequently have a SFH of 32 to 36 cms at 40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[150] Dr. Markle testified the last measurement of the SFH that he took before July 18 was 28 cm measured in June. Accordingly, he thought the locum's measurement on July 4 could indicate intra-measurer difference. On July 28, the next visit, he was concerned about the lack of growth measured and considered that the growth of the fetus might be slowing. Because the pregnancy had proceeded well to that point, he decided that it was not necessary to take immediate action but considered an ultrasound in the event that there was no increase by the next weekly visit. He considered the increase as at August 4 reassuring and took no further steps.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[151] Dr. Markle also observed that there had been a similar pattern of decline of SFH near term in Mrs. Lotocky's earlier pregnancies. In his opinion, the baby's head had dropped by the time of the August 11, 1995 visit explaining the final decline in the SFH measurements.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[152] Given the increase in the SFH to 36 cm by 371/2 weeks coupled with the variables referred to in the evidence, and the general explanation for a decline in SFH near term, I am not persuaded that Dr. Markle failed to meet the standard by not proceeding with a third trimester ultrasound.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[153] Only Dr. Arnold reported that it is generally accepted that ultrasound follow-up is warranted if the SFH measurement is 2 cms or more behind the gestational age of the fetus. The preponderance of the evidence does not support such a general rule nor does it support the need for an ultrasound if a decline is immediately followed by an appropriate increase absent other adverse clinical signs.</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Failing to review the August 18 NST until August 19, the day after the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[154] Dr. Farmer opined that Dr. Markle failed to meet the standard of care by waiting until August 19 to interpret the NST instead of doing so immediately. I am not persuaded that he relied on a correct assumption. Dr. Farmer was not clear about his assumption but he apparently assumed that the nurse fully scored the test at 7 and so informed Dr. Markle according to the LGH policy in place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[155] It is important to remember that Nurse Callander spoke to Dr. Markle before she obtained a final score. As I earlier set out, the nurse told Dr. Markle that the test results were neither reassuring nor ominous. There is no evidence that she told the doctor that the Kubli test score was a 7. Because the test result was equivocal to that point, I also consider it likely that the nurse told Dr. Markle that she was continuing the test to see if the results would improve. After continuing the test, the nurse concluded that the score was 8-9, or reassuring. There is no evidence that she spoke further to the doctor at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[156] In cross-examination, Dr. Farmer agreed that if an experienced nurse told him that the NST had a Kubli score of 8-9, it would not be necessary to go and review the strip. If Nurse Callander had telephoned Dr. Markle again to report after she had continued the NST, she would have reported that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[157] I am not satisfied that the opinion evidence relied on by the plaintiffs demonstrates a failure to meet the standard of care by not immediately reviewing the strip in the circumstances that occurred here.</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Relying on Nurse Callander's interpretation of the August 18 NST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[158] The plaintiffs argued that Dr. Markle breached the standard by relying on Nurse Callander's interpretation of the August 18 NST. This argument overlooks the fact that Dr. Markle reviewed the entire strip himself on August 19. The doctor testified that he reviewed the strip and agreed with Nurse Callander's interpretation. However, no one asked which interpretation he agreed with, the equivocal interpretation that Nurse Callander was aware of at the time they spoke on the phone or the reassuring interpretation that occurred after this. His own notes, set out below, suggest that he viewed the strip as equivocal so he was likely referring to the former. It is not clear on the evidence that he was even aware that the nurse later concluded that the strip was more reassuring.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[159] Dr. Markle recorded "flat baseline, moderate decel." on the antenatal record in relation to his August 19 review. This suggests that he had a different view about the presence of decelerations. In any event, Dr. Markle never changed the arrangements made the previous day for a repeat NST on August 21. This is consistent with a view that the strip overall was neither reassuring nor ominous.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[160] It is apparent that Dr. Markle never relied on Nurse Callander's final interpretation of the strip even if he was aware of it. His interpretation was certainly less optimistic than her final one. When he testified that he agreed with her interpretation, he was, I find, necessarily referring to her initial interpretation of which he was informed by telephone. Dr. Markle treated the strip as an equivocal one, contacted Mrs. Lotocky to discuss his concerns and then, continued with the plan to have the NST repeated on Monday.</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After reviewing the NST, failing to consult with an obstetrician with a view to possibly proceeding to an immediate c-section</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Failing to direct an immediate repeat NST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Failing to order a Biophysical Profile (BPP), ultrasound or an OCT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Failing to direct Mrs. Lotocky to return to LGH immediately and instead, directing her to self-monitor over the weekend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[161] It is convenient to deal with these allegations together because they all depend on findings that the drop off in SFH at 36 1/2 weeks required further immediate investigation and that the August 18 NST, properly interpreted, required either immediate action to obtain further information respecting the health of the fetus, or to consult an obstetrician, with a view to determining whether it was necessary to expedite delivery. Given my conclusion that the drop off in SFH did not require immediate investigation and that Dr. Markle's interpretation of the August 18 strip was within acceptable parameters, as established by the expert evidence, these allegations are unsupportable.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[162] The expert evidence relied on by the plaintiffs is premised on sequential failures to meet the standard of care. Dr. Arnold opined that Dr. Markle failed to investigate the fall off in growth of the fetus at an appropriate time; failed to follow up on the August 18 NST as promptly as he should have; failed to properly interpret the NST; and failed to order an ultrasound after the August 18 NST.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[163] Dr. Farmer opined that Dr. Markle failed to order an ultrasound when confronted with a decrease in the SFH; failed to interpret the August 18 NST as ominous, and order appropriate diagnostic tests to help validate the ominous concerns; failed to proceed to an expedited delivery or to arrange an obstetrical consult on August 18; failed to arrange further testing after reviewing the strip on August 19; and finally, failed to proceed to an expedited delivery or to arrange an obstetrical consult.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[164] Both opinions rest on chains of reasoning requiring acceptance of the fundamental premises that a reasonably competent general physician in the circumstances would have concluded that the drop off in SFH required immediate investigation and interpreted the August 18 NST as ominous. The plaintiffs did not establish either premise.</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Failing to take cord blood gas samples at the time of Michael's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[165] Dr. Markle was present and assisted the obstetrician and paediatrician who delivered Michael. It is clear that no cord blood gases were taken after Michael was born. According to Dr. Markle, he would have preferred to do so but neglected to because events were too rushed. In cross-examination, Dr. Markle agreed that he should have taken them although it was not done routinely at that time, as it is now. He further agreed that the apparently serious problems evident at birth indicated that they should have been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[166] Dr. Markle's admission that it would have been preferable to take cord blood gas samples in the circumstances was consistent with the opinion evidence at trial. Numerous witnesses testified that it would have been desirable and helpful to take the samples as testing could reveal whether there had been loss of blood flow to the fetus, with resultant deprivation of oxygen. Questions concerning the timing and mechanism of brain injury and illness can be answered more definitively in such a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[167] Dr. Bircham testified that cord blood gas should have been taken because Michael was born depressed and required resuscitation. I am satisfied that the taking of the samples was a routine procedure that could have been easily carried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[168] Dr. Schouls testified that it "would have been nice" if the samples had been taken but that it was not until 1996 that it became standard to take the samples in every delivery. She also testified either she or Dr. Markle were responsible for ordering cord blood gases and that LGH had all the necessary resources at hand to analyze them. Dr. Schouls was likely writing up her chart by the time of actual delivery, leaving Dr. Markle as the logical person to attend to taking cord blood gas samples.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[169] If cord blood gas samples were required because of the evident distress associated with the birth, it is no answer for Dr. Markle to say he was too rushed. I am satisfied that he did not ask anyone else to take them or to assist him in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[170] I am satisfied, on the whole of the evidence, that the standard required the taking of cord blood gas samples when a baby was born in obvious distress as was Michael. Dr. Markle failed entirely to meet the standard of care in this regard.</w:t>
      </w:r>
      <w:r>
        <w:rPr>
          <w:rFonts w:ascii="arial" w:eastAsia="arial" w:hAnsi="arial" w:cs="arial"/>
          <w:sz w:val="20"/>
          <w:lang w:val="en-US" w:eastAsia="en-US" w:bidi="ar-SA"/>
        </w:rPr>
        <w:cr/>
      </w:r>
    </w:p>
    <w:p>
      <w:pPr>
        <w:numPr>
          <w:numId w:val="1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Failing to obtain informed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[171] According to the plaintiffs' submission, Dr. Markle ought to have discussed all options with Mrs. Lotocky on August 18, or at the latest, August 19, including immediate delivery and further testing, not just repeating the NST on August 21. They say that the risk of doing nothing until August 21 carried with it potentially serious consequences which materialized and that Mrs. Lotocky would have chosen delivery by c-section or other options than waiting until the 21st.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[172] Before getting to the question of what Mrs. Lotocky would have done if Dr. Markle had provided other options, it is necessary to determine whether, in the circumstances, he should have offered Mrs. Lotocky other choices. The difficulty with the plaintiffs' submission is they failed to establish that Dr. Markle should have considered Mrs. Lotocky to be at risk on either August 18 or 19 such that further testing, apart from the repeat NST, or arranging for immediate delivery,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[173] It is clear from the evidence of Dr. Markle that he did not consider her to be at risk. He testified that rescheduling the NST for August 21 was an appropriate step in his view. Dr. Schouls effectively corroborated his opinion in this regard. As the obstetrician consulted on August 21, she decided then, faced with a deteriorating NST result, to proceed with an OCT to determine whether the fetus would tolerate a vaginal delivery rather than proceed immediately to a c-section. As I set out later, I find no fault with that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[174] According to </w:t>
      </w:r>
      <w:r>
        <w:rPr>
          <w:rFonts w:ascii="arial" w:eastAsia="arial" w:hAnsi="arial" w:cs="arial"/>
          <w:i/>
          <w:color w:val="000000"/>
          <w:sz w:val="20"/>
          <w:lang w:val="en-US" w:eastAsia="en-US" w:bidi="ar-SA"/>
        </w:rPr>
        <w:t>Hopp v. Lepp,</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[1980] 2 S.C.R. 192</w:t>
        </w:r>
      </w:hyperlink>
      <w:r>
        <w:rPr>
          <w:rFonts w:ascii="arial" w:eastAsia="arial" w:hAnsi="arial" w:cs="arial"/>
          <w:color w:val="000000"/>
          <w:sz w:val="20"/>
          <w:lang w:val="en-US" w:eastAsia="en-US" w:bidi="ar-SA"/>
        </w:rPr>
        <w:t>, a surgeon is required to disclose any probable, special or unusual risks associated with a contemplated procedure. If a patient asks specific questions, the surgeon is obliged to answer even if the answer refers only to possible risks. Counsel for the plaintiffs and the doctor agree that there was an obligation in the present case to disclose material risks but the plaintiffs go a step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[175] The plaintiffs contended that there cannot be informed consent unless the doctor provides the patient with all possible options, including the option of doing nothing and discloses the risks associated with each option. While the authorities address informed consent by questioning whether the doctor properly discharged any duty of disclosure, they do not go so far as the plaintiffs contended.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[176] In </w:t>
      </w:r>
      <w:r>
        <w:rPr>
          <w:rFonts w:ascii="arial" w:eastAsia="arial" w:hAnsi="arial" w:cs="arial"/>
          <w:i/>
          <w:color w:val="000000"/>
          <w:sz w:val="20"/>
          <w:lang w:val="en-US" w:eastAsia="en-US" w:bidi="ar-SA"/>
        </w:rPr>
        <w:t>Hopp,</w:t>
      </w:r>
      <w:r>
        <w:rPr>
          <w:rFonts w:ascii="arial" w:eastAsia="arial" w:hAnsi="arial" w:cs="arial"/>
          <w:color w:val="000000"/>
          <w:sz w:val="20"/>
          <w:lang w:val="en-US" w:eastAsia="en-US" w:bidi="ar-SA"/>
        </w:rPr>
        <w:t xml:space="preserve"> the Supreme Court of Canada specifically addressed the question of informed consent to a surgical operation. Laskin C.J., for the court, described the applicable law, at p. 210,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the decided cases appear to indicate that, in obtaining the consent of a patient for the performance upon him of a surgical operation, a surgeon, generally, should answer any specific questions posed by the patient as to the risks involved and should, without being questioned, disclose to him the nature of the proposed operation, its gravity, any material risks and any special or unusual risks attendant upon the performance of the operation. However, having said that, it should be added that the scope of the duty of disclosure and whether or not it has been breached are matters which must be decided in relation to the circumstances of each particular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[177] In </w:t>
      </w:r>
      <w:r>
        <w:rPr>
          <w:rFonts w:ascii="arial" w:eastAsia="arial" w:hAnsi="arial" w:cs="arial"/>
          <w:i/>
          <w:color w:val="000000"/>
          <w:sz w:val="20"/>
          <w:lang w:val="en-US" w:eastAsia="en-US" w:bidi="ar-SA"/>
        </w:rPr>
        <w:t>Reibl v. Hughes,</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[1980] 2 S.C.R. 880</w:t>
        </w:r>
      </w:hyperlink>
      <w:r>
        <w:rPr>
          <w:rFonts w:ascii="arial" w:eastAsia="arial" w:hAnsi="arial" w:cs="arial"/>
          <w:color w:val="000000"/>
          <w:sz w:val="20"/>
          <w:lang w:val="en-US" w:eastAsia="en-US" w:bidi="ar-SA"/>
        </w:rPr>
        <w:t>, another case involving surgical intervention, Laskin C.J., again for the court, addressed situations where the allegation is that attendant risks of surgery or, as in this case, medical treatment were not communicated to the patient yet the surgery or treatment proceeded with the consent of the patient. Given the elements of the tort of battery and the implications of factual consent, Laskin C.J.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failure to disclose the attendant risks, however serious, should go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rather than to battery. Although such a failure relates to an informed choice of submitting to or refusing recommended and appropriate treatment, it arises as the breach of an anterior duty of due care, comparable in legal obligation to the duty of due care in carrying out the particular treatment to which the patient has consented. It is not a test of the validity of the consent. (page 892)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[178] In </w:t>
      </w:r>
      <w:r>
        <w:rPr>
          <w:rFonts w:ascii="arial" w:eastAsia="arial" w:hAnsi="arial" w:cs="arial"/>
          <w:i/>
          <w:color w:val="000000"/>
          <w:sz w:val="20"/>
          <w:lang w:val="en-US" w:eastAsia="en-US" w:bidi="ar-SA"/>
        </w:rPr>
        <w:t>Arndt v. Smith,</w:t>
      </w:r>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[1997] 2 S.C.R. 539</w:t>
        </w:r>
      </w:hyperlink>
      <w:r>
        <w:rPr>
          <w:rFonts w:ascii="arial" w:eastAsia="arial" w:hAnsi="arial" w:cs="arial"/>
          <w:color w:val="000000"/>
          <w:sz w:val="20"/>
          <w:lang w:val="en-US" w:eastAsia="en-US" w:bidi="ar-SA"/>
        </w:rPr>
        <w:t xml:space="preserve">, the Supreme Court of Canada dealt with the duty to disclose in relation to the choice of available medical treatments. In that case, a mother sued her doctor for the cost of raising her daughter who was congenitally injured by chickenpox. One of the issues at trial was whether the plaintiff would have terminated her pregnancy if the doctor had properly advised her of the risk to her fetus. While the Supreme Court of Canada focused primarily on the causation test set out in </w:t>
      </w:r>
      <w:r>
        <w:rPr>
          <w:rFonts w:ascii="arial" w:eastAsia="arial" w:hAnsi="arial" w:cs="arial"/>
          <w:i/>
          <w:color w:val="000000"/>
          <w:sz w:val="20"/>
          <w:lang w:val="en-US" w:eastAsia="en-US" w:bidi="ar-SA"/>
        </w:rPr>
        <w:t>Reibl,</w:t>
      </w:r>
      <w:r>
        <w:rPr>
          <w:rFonts w:ascii="arial" w:eastAsia="arial" w:hAnsi="arial" w:cs="arial"/>
          <w:color w:val="000000"/>
          <w:sz w:val="20"/>
          <w:lang w:val="en-US" w:eastAsia="en-US" w:bidi="ar-SA"/>
        </w:rPr>
        <w:t xml:space="preserve"> with which I am not, at this point, concerned, Cory J., for the majority, also reaffirmed </w:t>
      </w:r>
      <w:r>
        <w:rPr>
          <w:rFonts w:ascii="arial" w:eastAsia="arial" w:hAnsi="arial" w:cs="arial"/>
          <w:i/>
          <w:color w:val="000000"/>
          <w:sz w:val="20"/>
          <w:lang w:val="en-US" w:eastAsia="en-US" w:bidi="ar-SA"/>
        </w:rPr>
        <w:t>Reibl</w:t>
      </w:r>
      <w:r>
        <w:rPr>
          <w:rFonts w:ascii="arial" w:eastAsia="arial" w:hAnsi="arial" w:cs="arial"/>
          <w:color w:val="000000"/>
          <w:sz w:val="20"/>
          <w:lang w:val="en-US" w:eastAsia="en-US" w:bidi="ar-SA"/>
        </w:rPr>
        <w:t xml:space="preserve"> as it relates to the duty to disclose:</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Reibl is a very significant and leading authority. It marks the rejection of the paternalistic approach to determining how much information should be given to patients. It emphasizes the patient's right to know and ensures that patients will have the benefit of a high standard of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[179] The plaintiffs relied on several decisions, including </w:t>
      </w:r>
      <w:r>
        <w:rPr>
          <w:rFonts w:ascii="arial" w:eastAsia="arial" w:hAnsi="arial" w:cs="arial"/>
          <w:i/>
          <w:color w:val="000000"/>
          <w:sz w:val="20"/>
          <w:lang w:val="en-US" w:eastAsia="en-US" w:bidi="ar-SA"/>
        </w:rPr>
        <w:t>Johnston v. Boyd,</w:t>
      </w:r>
      <w:r>
        <w:rPr>
          <w:rFonts w:ascii="arial" w:eastAsia="arial" w:hAnsi="arial" w:cs="arial"/>
          <w:color w:val="000000"/>
          <w:sz w:val="20"/>
          <w:lang w:val="en-US" w:eastAsia="en-US" w:bidi="ar-SA"/>
        </w:rPr>
        <w:t xml:space="preserve"> </w:t>
      </w:r>
      <w:hyperlink r:id="rId869" w:history="1">
        <w:r>
          <w:rPr>
            <w:rFonts w:ascii="arial" w:eastAsia="arial" w:hAnsi="arial" w:cs="arial"/>
            <w:i/>
            <w:color w:val="0077CC"/>
            <w:sz w:val="20"/>
            <w:u w:val="single"/>
            <w:shd w:val="clear" w:color="auto" w:fill="FFFFFF"/>
            <w:lang w:val="en-US" w:eastAsia="en-US" w:bidi="ar-SA"/>
          </w:rPr>
          <w:t>[1996] B.C.J. No. 3003</w:t>
        </w:r>
      </w:hyperlink>
      <w:r>
        <w:rPr>
          <w:rFonts w:ascii="arial" w:eastAsia="arial" w:hAnsi="arial" w:cs="arial"/>
          <w:color w:val="000000"/>
          <w:sz w:val="20"/>
          <w:lang w:val="en-US" w:eastAsia="en-US" w:bidi="ar-SA"/>
        </w:rPr>
        <w:t xml:space="preserve"> (C.A.), for the proposition that "an explanation of surgical options, including but not limited to the option of doing nothing is required for informed consent". In my respectful view, the court in </w:t>
      </w:r>
      <w:r>
        <w:rPr>
          <w:rFonts w:ascii="arial" w:eastAsia="arial" w:hAnsi="arial" w:cs="arial"/>
          <w:i/>
          <w:color w:val="000000"/>
          <w:sz w:val="20"/>
          <w:lang w:val="en-US" w:eastAsia="en-US" w:bidi="ar-SA"/>
        </w:rPr>
        <w:t>Johnston</w:t>
      </w:r>
      <w:r>
        <w:rPr>
          <w:rFonts w:ascii="arial" w:eastAsia="arial" w:hAnsi="arial" w:cs="arial"/>
          <w:color w:val="000000"/>
          <w:sz w:val="20"/>
          <w:lang w:val="en-US" w:eastAsia="en-US" w:bidi="ar-SA"/>
        </w:rPr>
        <w:t xml:space="preserve"> did not decide that issue. The claim there was limited to one of battery. Absent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Hollinrake J.A., for the court, held that the issue was not properly before the court although he did not appear to criticize the soundness of the proposition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[180] The next decision was more on point. In </w:t>
      </w:r>
      <w:r>
        <w:rPr>
          <w:rFonts w:ascii="arial" w:eastAsia="arial" w:hAnsi="arial" w:cs="arial"/>
          <w:i/>
          <w:color w:val="000000"/>
          <w:sz w:val="20"/>
          <w:lang w:val="en-US" w:eastAsia="en-US" w:bidi="ar-SA"/>
        </w:rPr>
        <w:t>Van Mol (Guardian ad litem of) v. Ashmore,</w:t>
      </w:r>
      <w:r>
        <w:rPr>
          <w:rFonts w:ascii="arial" w:eastAsia="arial" w:hAnsi="arial" w:cs="arial"/>
          <w:color w:val="000000"/>
          <w:sz w:val="20"/>
          <w:lang w:val="en-US" w:eastAsia="en-US" w:bidi="ar-SA"/>
        </w:rPr>
        <w:t xml:space="preserve"> </w:t>
      </w:r>
      <w:hyperlink r:id="rId870" w:history="1">
        <w:r>
          <w:rPr>
            <w:rFonts w:ascii="arial" w:eastAsia="arial" w:hAnsi="arial" w:cs="arial"/>
            <w:i/>
            <w:color w:val="0077CC"/>
            <w:sz w:val="20"/>
            <w:u w:val="single"/>
            <w:shd w:val="clear" w:color="auto" w:fill="FFFFFF"/>
            <w:lang w:val="en-US" w:eastAsia="en-US" w:bidi="ar-SA"/>
          </w:rPr>
          <w:t>[1999] B.C.J. No. 31</w:t>
        </w:r>
      </w:hyperlink>
      <w:r>
        <w:rPr>
          <w:rFonts w:ascii="arial" w:eastAsia="arial" w:hAnsi="arial" w:cs="arial"/>
          <w:color w:val="000000"/>
          <w:sz w:val="20"/>
          <w:lang w:val="en-US" w:eastAsia="en-US" w:bidi="ar-SA"/>
        </w:rPr>
        <w:t xml:space="preserve">, </w:t>
      </w:r>
      <w:hyperlink r:id="rId870" w:history="1">
        <w:r>
          <w:rPr>
            <w:rFonts w:ascii="arial" w:eastAsia="arial" w:hAnsi="arial" w:cs="arial"/>
            <w:i/>
            <w:color w:val="0077CC"/>
            <w:sz w:val="20"/>
            <w:u w:val="single"/>
            <w:shd w:val="clear" w:color="auto" w:fill="FFFFFF"/>
            <w:lang w:val="en-US" w:eastAsia="en-US" w:bidi="ar-SA"/>
          </w:rPr>
          <w:t>1999 BCCA 6</w:t>
        </w:r>
      </w:hyperlink>
      <w:r>
        <w:rPr>
          <w:rFonts w:ascii="arial" w:eastAsia="arial" w:hAnsi="arial" w:cs="arial"/>
          <w:color w:val="000000"/>
          <w:sz w:val="20"/>
          <w:lang w:val="en-US" w:eastAsia="en-US" w:bidi="ar-SA"/>
        </w:rPr>
        <w:t>, the court held that a doctor was negligent in failing to disclose to the patient that there were different operative procedures available each with its own positive and negative features. There were "at least three principal alternative methods" (para. 69) of carrying out the particular surgical repair. In each case, the risks were describable and, to some extent, assessable. In that circumstance, the patient was entitled to know about the three alternative methods together with the risks and advantages of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[181] In a strongly worded dissent, Goldie J.A. said he was not persuaded that it is the law in Canada that a surgeon is required to "volunteer a comparative assessment of alternative surgical techniques in the knowledge that if he or she is wrong in that assessment the consent given may be vitiated" (para. 251). I note, however, that the Supreme Court of Canada denied leave to appeal without reasons, </w:t>
      </w:r>
      <w:hyperlink r:id="rId871" w:history="1">
        <w:r>
          <w:rPr>
            <w:rFonts w:ascii="arial" w:eastAsia="arial" w:hAnsi="arial" w:cs="arial"/>
            <w:i/>
            <w:color w:val="0077CC"/>
            <w:sz w:val="20"/>
            <w:u w:val="single"/>
            <w:shd w:val="clear" w:color="auto" w:fill="FFFFFF"/>
            <w:lang w:val="en-US" w:eastAsia="en-US" w:bidi="ar-SA"/>
          </w:rPr>
          <w:t>[1999] S.C.C.A. No. 117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[182] I am very reluctant to extrapolate from the majority decision in </w:t>
      </w:r>
      <w:r>
        <w:rPr>
          <w:rFonts w:ascii="arial" w:eastAsia="arial" w:hAnsi="arial" w:cs="arial"/>
          <w:i/>
          <w:color w:val="000000"/>
          <w:sz w:val="20"/>
          <w:lang w:val="en-US" w:eastAsia="en-US" w:bidi="ar-SA"/>
        </w:rPr>
        <w:t>Van Mol,</w:t>
      </w:r>
      <w:r>
        <w:rPr>
          <w:rFonts w:ascii="arial" w:eastAsia="arial" w:hAnsi="arial" w:cs="arial"/>
          <w:color w:val="000000"/>
          <w:sz w:val="20"/>
          <w:lang w:val="en-US" w:eastAsia="en-US" w:bidi="ar-SA"/>
        </w:rPr>
        <w:t xml:space="preserve"> the broader proposition that the plaintiff advanced here. There was no option of doing nothing under consideration in </w:t>
      </w:r>
      <w:r>
        <w:rPr>
          <w:rFonts w:ascii="arial" w:eastAsia="arial" w:hAnsi="arial" w:cs="arial"/>
          <w:i/>
          <w:color w:val="000000"/>
          <w:sz w:val="20"/>
          <w:lang w:val="en-US" w:eastAsia="en-US" w:bidi="ar-SA"/>
        </w:rPr>
        <w:t>Van Mol.</w:t>
      </w:r>
      <w:r>
        <w:rPr>
          <w:rFonts w:ascii="arial" w:eastAsia="arial" w:hAnsi="arial" w:cs="arial"/>
          <w:color w:val="000000"/>
          <w:sz w:val="20"/>
          <w:lang w:val="en-US" w:eastAsia="en-US" w:bidi="ar-SA"/>
        </w:rPr>
        <w:t xml:space="preserve"> Surgical intervention was required and the questions related to making a choice of alternative surgical techniques. The present case did not involve a similar choice.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[183] The plaintiffs also relied on </w:t>
      </w:r>
      <w:r>
        <w:rPr>
          <w:rFonts w:ascii="arial" w:eastAsia="arial" w:hAnsi="arial" w:cs="arial"/>
          <w:i/>
          <w:color w:val="000000"/>
          <w:sz w:val="20"/>
          <w:lang w:val="en-US" w:eastAsia="en-US" w:bidi="ar-SA"/>
        </w:rPr>
        <w:t>Malette v. Schulman</w:t>
      </w:r>
      <w:r>
        <w:rPr>
          <w:rFonts w:ascii="arial" w:eastAsia="arial" w:hAnsi="arial" w:cs="arial"/>
          <w:color w:val="000000"/>
          <w:sz w:val="20"/>
          <w:lang w:val="en-US" w:eastAsia="en-US" w:bidi="ar-SA"/>
        </w:rPr>
        <w:t xml:space="preserve"> </w:t>
      </w:r>
      <w:hyperlink r:id="rId872" w:history="1">
        <w:r>
          <w:rPr>
            <w:rFonts w:ascii="arial" w:eastAsia="arial" w:hAnsi="arial" w:cs="arial"/>
            <w:i/>
            <w:color w:val="0077CC"/>
            <w:sz w:val="20"/>
            <w:u w:val="single"/>
            <w:shd w:val="clear" w:color="auto" w:fill="FFFFFF"/>
            <w:lang w:val="en-US" w:eastAsia="en-US" w:bidi="ar-SA"/>
          </w:rPr>
          <w:t>(1987), 63 O.R. (2d) 243</w:t>
        </w:r>
      </w:hyperlink>
      <w:r>
        <w:rPr>
          <w:rFonts w:ascii="arial" w:eastAsia="arial" w:hAnsi="arial" w:cs="arial"/>
          <w:color w:val="000000"/>
          <w:sz w:val="20"/>
          <w:lang w:val="en-US" w:eastAsia="en-US" w:bidi="ar-SA"/>
        </w:rPr>
        <w:t xml:space="preserve">, in support of their proposition that all options and their associated risks should have been addressed with Mrs. Lotocky. However, in my view, </w:t>
      </w:r>
      <w:r>
        <w:rPr>
          <w:rFonts w:ascii="arial" w:eastAsia="arial" w:hAnsi="arial" w:cs="arial"/>
          <w:i/>
          <w:color w:val="000000"/>
          <w:sz w:val="20"/>
          <w:lang w:val="en-US" w:eastAsia="en-US" w:bidi="ar-SA"/>
        </w:rPr>
        <w:t>Malette</w:t>
      </w:r>
      <w:r>
        <w:rPr>
          <w:rFonts w:ascii="arial" w:eastAsia="arial" w:hAnsi="arial" w:cs="arial"/>
          <w:color w:val="000000"/>
          <w:sz w:val="20"/>
          <w:lang w:val="en-US" w:eastAsia="en-US" w:bidi="ar-SA"/>
        </w:rPr>
        <w:t xml:space="preserve"> does not advance the plaintiffs' case. The claim there was one in battery and the issue before the court was not whether there was informed consent, but whether the plaintiff, who was a Jehovah's Witness, was entitled to refuse a lifesaving blood transfusion. The decision does not assist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[184] The plaintiffs also relied on </w:t>
      </w:r>
      <w:r>
        <w:rPr>
          <w:rFonts w:ascii="arial" w:eastAsia="arial" w:hAnsi="arial" w:cs="arial"/>
          <w:i/>
          <w:color w:val="000000"/>
          <w:sz w:val="20"/>
          <w:lang w:val="en-US" w:eastAsia="en-US" w:bidi="ar-SA"/>
        </w:rPr>
        <w:t>Hollis v. Dow Corning Corp.</w:t>
      </w:r>
      <w:r>
        <w:rPr>
          <w:rFonts w:ascii="arial" w:eastAsia="arial" w:hAnsi="arial" w:cs="arial"/>
          <w:color w:val="000000"/>
          <w:sz w:val="20"/>
          <w:lang w:val="en-US" w:eastAsia="en-US" w:bidi="ar-SA"/>
        </w:rPr>
        <w:t xml:space="preserve">, </w:t>
      </w:r>
      <w:hyperlink r:id="rId873" w:history="1">
        <w:r>
          <w:rPr>
            <w:rFonts w:ascii="arial" w:eastAsia="arial" w:hAnsi="arial" w:cs="arial"/>
            <w:i/>
            <w:color w:val="0077CC"/>
            <w:sz w:val="20"/>
            <w:u w:val="single"/>
            <w:shd w:val="clear" w:color="auto" w:fill="FFFFFF"/>
            <w:lang w:val="en-US" w:eastAsia="en-US" w:bidi="ar-SA"/>
          </w:rPr>
          <w:t>[1995] S.C.J. No. 104</w:t>
        </w:r>
      </w:hyperlink>
      <w:r>
        <w:rPr>
          <w:rFonts w:ascii="arial" w:eastAsia="arial" w:hAnsi="arial" w:cs="arial"/>
          <w:color w:val="000000"/>
          <w:sz w:val="20"/>
          <w:lang w:val="en-US" w:eastAsia="en-US" w:bidi="ar-SA"/>
        </w:rPr>
        <w:t xml:space="preserve">. While the court in that case does make reference to the law on informed consent, the case itself is not concerned with informed consent in the doctor patient relationship but with whether Dow met its obligation to warn doctors of the dangers associated with breast implants as required under the "learned intermediary exception" to the duty to warn. To the extent that the Supreme Court discussed the issue of informed consent in the doctor/patient relationship, they reaffirmed the test set out in </w:t>
      </w:r>
      <w:r>
        <w:rPr>
          <w:rFonts w:ascii="arial" w:eastAsia="arial" w:hAnsi="arial" w:cs="arial"/>
          <w:i/>
          <w:color w:val="000000"/>
          <w:sz w:val="20"/>
          <w:lang w:val="en-US" w:eastAsia="en-US" w:bidi="ar-SA"/>
        </w:rPr>
        <w:t>Hopp</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Reibl.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[185] Finally, the plaintiffs relied on </w:t>
      </w:r>
      <w:r>
        <w:rPr>
          <w:rFonts w:ascii="arial" w:eastAsia="arial" w:hAnsi="arial" w:cs="arial"/>
          <w:i/>
          <w:color w:val="000000"/>
          <w:sz w:val="20"/>
          <w:lang w:val="en-US" w:eastAsia="en-US" w:bidi="ar-SA"/>
        </w:rPr>
        <w:t>Haughain v. Paine</w:t>
      </w:r>
      <w:r>
        <w:rPr>
          <w:rFonts w:ascii="arial" w:eastAsia="arial" w:hAnsi="arial" w:cs="arial"/>
          <w:color w:val="000000"/>
          <w:sz w:val="20"/>
          <w:lang w:val="en-US" w:eastAsia="en-US" w:bidi="ar-SA"/>
        </w:rPr>
        <w:t xml:space="preserve"> </w:t>
      </w:r>
      <w:hyperlink r:id="rId874" w:history="1">
        <w:r>
          <w:rPr>
            <w:rFonts w:ascii="arial" w:eastAsia="arial" w:hAnsi="arial" w:cs="arial"/>
            <w:i/>
            <w:color w:val="0077CC"/>
            <w:sz w:val="20"/>
            <w:u w:val="single"/>
            <w:shd w:val="clear" w:color="auto" w:fill="FFFFFF"/>
            <w:lang w:val="en-US" w:eastAsia="en-US" w:bidi="ar-SA"/>
          </w:rPr>
          <w:t>(1987), 37 D.L.R. (4th) 624</w:t>
        </w:r>
      </w:hyperlink>
      <w:r>
        <w:rPr>
          <w:rFonts w:ascii="arial" w:eastAsia="arial" w:hAnsi="arial" w:cs="arial"/>
          <w:color w:val="000000"/>
          <w:sz w:val="20"/>
          <w:lang w:val="en-US" w:eastAsia="en-US" w:bidi="ar-SA"/>
        </w:rPr>
        <w:t xml:space="preserve"> (leave to appeal to the Supreme Court of Canada refused), for the proposition that the law has expanded to require disclosure of all options including the option to do nothing and the risks associated with each option. </w:t>
      </w:r>
      <w:r>
        <w:rPr>
          <w:rFonts w:ascii="arial" w:eastAsia="arial" w:hAnsi="arial" w:cs="arial"/>
          <w:i/>
          <w:color w:val="000000"/>
          <w:sz w:val="20"/>
          <w:lang w:val="en-US" w:eastAsia="en-US" w:bidi="ar-SA"/>
        </w:rPr>
        <w:t>Haughain</w:t>
      </w:r>
      <w:r>
        <w:rPr>
          <w:rFonts w:ascii="arial" w:eastAsia="arial" w:hAnsi="arial" w:cs="arial"/>
          <w:color w:val="000000"/>
          <w:sz w:val="20"/>
          <w:lang w:val="en-US" w:eastAsia="en-US" w:bidi="ar-SA"/>
        </w:rPr>
        <w:t xml:space="preserve"> does not go that far.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[186] The plaintiff in </w:t>
      </w:r>
      <w:r>
        <w:rPr>
          <w:rFonts w:ascii="arial" w:eastAsia="arial" w:hAnsi="arial" w:cs="arial"/>
          <w:i/>
          <w:color w:val="000000"/>
          <w:sz w:val="20"/>
          <w:lang w:val="en-US" w:eastAsia="en-US" w:bidi="ar-SA"/>
        </w:rPr>
        <w:t>Haughain</w:t>
      </w:r>
      <w:r>
        <w:rPr>
          <w:rFonts w:ascii="arial" w:eastAsia="arial" w:hAnsi="arial" w:cs="arial"/>
          <w:color w:val="000000"/>
          <w:sz w:val="20"/>
          <w:lang w:val="en-US" w:eastAsia="en-US" w:bidi="ar-SA"/>
        </w:rPr>
        <w:t xml:space="preserve"> had problems with his back that a surgeon suggested be resolved by surgery. The surgeon did not disclose to the patient that his back problems would likely clear up on their own and that the surgery carried with it a significant risk of paralysis, which materialized. In its analysis of the test for informed consent, the court reviewed </w:t>
      </w:r>
      <w:r>
        <w:rPr>
          <w:rFonts w:ascii="arial" w:eastAsia="arial" w:hAnsi="arial" w:cs="arial"/>
          <w:i/>
          <w:color w:val="000000"/>
          <w:sz w:val="20"/>
          <w:lang w:val="en-US" w:eastAsia="en-US" w:bidi="ar-SA"/>
        </w:rPr>
        <w:t>Videto et al v. Kennedy</w:t>
      </w:r>
      <w:r>
        <w:rPr>
          <w:rFonts w:ascii="arial" w:eastAsia="arial" w:hAnsi="arial" w:cs="arial"/>
          <w:color w:val="000000"/>
          <w:sz w:val="20"/>
          <w:lang w:val="en-US" w:eastAsia="en-US" w:bidi="ar-SA"/>
        </w:rPr>
        <w:t xml:space="preserve"> </w:t>
      </w:r>
      <w:hyperlink r:id="rId875" w:history="1">
        <w:r>
          <w:rPr>
            <w:rFonts w:ascii="arial" w:eastAsia="arial" w:hAnsi="arial" w:cs="arial"/>
            <w:i/>
            <w:color w:val="0077CC"/>
            <w:sz w:val="20"/>
            <w:u w:val="single"/>
            <w:shd w:val="clear" w:color="auto" w:fill="FFFFFF"/>
            <w:lang w:val="en-US" w:eastAsia="en-US" w:bidi="ar-SA"/>
          </w:rPr>
          <w:t>(1981), 17 C.C.L.T. 307</w:t>
        </w:r>
      </w:hyperlink>
      <w:r>
        <w:rPr>
          <w:rFonts w:ascii="arial" w:eastAsia="arial" w:hAnsi="arial" w:cs="arial"/>
          <w:color w:val="000000"/>
          <w:sz w:val="20"/>
          <w:lang w:val="en-US" w:eastAsia="en-US" w:bidi="ar-SA"/>
        </w:rPr>
        <w:t xml:space="preserve"> (Ont. C.A.), which summarized the eight conclusions of the Supreme Court of Canada in </w:t>
      </w:r>
      <w:r>
        <w:rPr>
          <w:rFonts w:ascii="arial" w:eastAsia="arial" w:hAnsi="arial" w:cs="arial"/>
          <w:i/>
          <w:color w:val="000000"/>
          <w:sz w:val="20"/>
          <w:lang w:val="en-US" w:eastAsia="en-US" w:bidi="ar-SA"/>
        </w:rPr>
        <w:t>Reibl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Hopp</w:t>
      </w:r>
      <w:r>
        <w:rPr>
          <w:rFonts w:ascii="arial" w:eastAsia="arial" w:hAnsi="arial" w:cs="arial"/>
          <w:color w:val="000000"/>
          <w:sz w:val="20"/>
          <w:lang w:val="en-US" w:eastAsia="en-US" w:bidi="ar-SA"/>
        </w:rPr>
        <w:t xml:space="preserve">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to the principles outlined above a matter which was not under direct consideration in the foregoing cases: In order to enable a patient to give informed consent, a surgeon must also, where the circumstances require it, explain to the patient the consequences of leaving the ailment untreated, and alternative means of treatment and their risks. (pages 638-639)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[187] The reference "add to the principles" suggests that the Saskatchewan Court of Appeal intended to enlarge "where the circumstances require it" but not otherwise alter the test for informed consent set out in </w:t>
      </w:r>
      <w:r>
        <w:rPr>
          <w:rFonts w:ascii="arial" w:eastAsia="arial" w:hAnsi="arial" w:cs="arial"/>
          <w:i/>
          <w:color w:val="000000"/>
          <w:sz w:val="20"/>
          <w:lang w:val="en-US" w:eastAsia="en-US" w:bidi="ar-SA"/>
        </w:rPr>
        <w:t>Reibl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Hopp</w:t>
      </w:r>
      <w:r>
        <w:rPr>
          <w:rFonts w:ascii="arial" w:eastAsia="arial" w:hAnsi="arial" w:cs="arial"/>
          <w:color w:val="000000"/>
          <w:sz w:val="20"/>
          <w:lang w:val="en-US" w:eastAsia="en-US" w:bidi="ar-SA"/>
        </w:rPr>
        <w:t xml:space="preserve">. I do not accept </w:t>
      </w:r>
      <w:r>
        <w:rPr>
          <w:rFonts w:ascii="arial" w:eastAsia="arial" w:hAnsi="arial" w:cs="arial"/>
          <w:i/>
          <w:color w:val="000000"/>
          <w:sz w:val="20"/>
          <w:lang w:val="en-US" w:eastAsia="en-US" w:bidi="ar-SA"/>
        </w:rPr>
        <w:t>Haughain</w:t>
      </w:r>
      <w:r>
        <w:rPr>
          <w:rFonts w:ascii="arial" w:eastAsia="arial" w:hAnsi="arial" w:cs="arial"/>
          <w:color w:val="000000"/>
          <w:sz w:val="20"/>
          <w:lang w:val="en-US" w:eastAsia="en-US" w:bidi="ar-SA"/>
        </w:rPr>
        <w:t xml:space="preserve"> as authority for the broad general principle advanced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[188] In my view, the principle to be drawn from </w:t>
      </w:r>
      <w:r>
        <w:rPr>
          <w:rFonts w:ascii="arial" w:eastAsia="arial" w:hAnsi="arial" w:cs="arial"/>
          <w:i/>
          <w:color w:val="000000"/>
          <w:sz w:val="20"/>
          <w:lang w:val="en-US" w:eastAsia="en-US" w:bidi="ar-SA"/>
        </w:rPr>
        <w:t>Haughain</w:t>
      </w:r>
      <w:r>
        <w:rPr>
          <w:rFonts w:ascii="arial" w:eastAsia="arial" w:hAnsi="arial" w:cs="arial"/>
          <w:color w:val="000000"/>
          <w:sz w:val="20"/>
          <w:lang w:val="en-US" w:eastAsia="en-US" w:bidi="ar-SA"/>
        </w:rPr>
        <w:t xml:space="preserve"> is that where a doctor undertakes high risk surgery on a patient and it is likely that the injury would resolve on its own, without surgery, the doctor will not have informed consent unless the patient has been made aware that non-treatment is a viable medical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[189] Even if I am wrong, this is not a case where doing nothing was an option. While the defendants and experts did not necessarily agree on what needed to be done, or the timing of the actions, they all agreed that something needed to be done as a result of the August 18 NST. Dr. Markle was of the view that a repeat NST needed to be performed on August 21 unless Mrs. Lotocky went into labour over the weekend. Rescheduling the NST for August 21 was not the equivalent of a medical choice to do nothing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[190] On applying the consistent thread of the authorities, commencing with </w:t>
      </w:r>
      <w:r>
        <w:rPr>
          <w:rFonts w:ascii="arial" w:eastAsia="arial" w:hAnsi="arial" w:cs="arial"/>
          <w:i/>
          <w:color w:val="000000"/>
          <w:sz w:val="20"/>
          <w:lang w:val="en-US" w:eastAsia="en-US" w:bidi="ar-SA"/>
        </w:rPr>
        <w:t>Hopp,</w:t>
      </w:r>
      <w:r>
        <w:rPr>
          <w:rFonts w:ascii="arial" w:eastAsia="arial" w:hAnsi="arial" w:cs="arial"/>
          <w:color w:val="000000"/>
          <w:sz w:val="20"/>
          <w:lang w:val="en-US" w:eastAsia="en-US" w:bidi="ar-SA"/>
        </w:rPr>
        <w:t xml:space="preserve"> I find that Dr. Markle had a duty to disclose to Mrs. Lotocky the nature of the proposed treatment, namely, waiting until August 21 and repeating the NST, together with any material risks. The material risk in this case was that the well-being of the fetus might decline over the intervening time before August 21 necessitating an urgent return to hospital and immediate delivery. On reviewing the evidence, I am satisfied that Dr. Markle told Mrs. Lotocky to watch for any decrease in fetal movement, vaginal bleeding or leakage of amniotic fluid, onset of contractions or labour and to contact him urgently.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[191] To succeed on an allegation of lack of informed consent, a plaintiff must establish causation. In this case, Mrs. Lotocky must demonstrate that she would have pursued a different course of action if she had been provided with all the options. I have concluded that she would not have and will provide my reasons in this regard later in the section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NURSE PRUTTON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[192] Mrs. Lotocky re-attended LGH for the second NST on the morning of August 21. The test result was not reassuring; the attending nurse called Dr. Markle and told him that it was less reassuring than the previous test. Dr. Markle noted in his chart that there were decelerations to 60. He went to the hospital, reviewed the strip and also concluded that it was non-reassuring. Shortly thereafter, Dr. Markle consulted with the obstetrician, Dr. Schouls.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[193] At 11:45 am, Dr. Schouls admitted Mrs. Lotocky to the delivery ward, then examined her and ordered an OCT. She directed that the oxytocin (syntocinon) be started according to protocol with continuous monitoring. At the end of the OCT, Dr. Schouls directed an increase in the dosage to commence an induction. Nurse Prutton was the nurse responsible for Mrs. Lotocky's care upon her admittance to the 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[194] Nurse Prutton assessed Mrs. Lotocky upon admission to the ward and was responsible for monitoring Mrs. Lotocky during the OCT which began at 12:30 p.m. Mrs. Lotocky was not in labour at the beginning of the OCT.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[195] The purpose of an OCT is to determine if the baby can tolerate the stress associated with contractions, with a view to then inducing labour or, if not, proceeding to a c-section. Dr. Pendleton accurately described the physiology of the test in his report,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oxytocin challenge test involves not just observation of the mother and fetus, but the administration of a uterine contracting substance, oxytocin, which mimics labour, and indeed may well set the uterus into spontaneous activity. As labour results in significant contraction of the uterus, with an alteration in blood flow through the placenta, which is reduced at the height of a contraction, this test is entirely appropriate to assess whether a fetus will be distressed by labour and should be delivered urgently by Cesarean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went on to point out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principle of oxytocin challenge proceeding to labour is to slowly increase the oxytocin to provoke appropriate frequent contractions of the uterus and this is taken up to a maximum level, above which it is only altered by a direct order of a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[196] The LGH policy, in place at the time, for conducting an OCT included the following conditions respecting the infusion rate: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2.13 The rate of the Oxytocin infusion rate is regulated according to the following protocol and the maternal fetal response.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2.15 If the Oxytocin infusion rate is to exceed 16 mu/minute an obstetrical consultation is required.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2.16 BP and P are monitored hourly.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2.17 Nurse patient ratio during the increase of increments of Oxytocin will be 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2.18 Continuous electronic fetal monitoring occurs while the Oxytocin infusion is being increased.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2.19 </w:t>
      </w:r>
      <w:r>
        <w:rPr>
          <w:rFonts w:ascii="arial" w:eastAsia="arial" w:hAnsi="arial" w:cs="arial"/>
          <w:color w:val="000000"/>
          <w:sz w:val="20"/>
          <w:u w:val="single"/>
          <w:lang w:val="en-US" w:eastAsia="en-US" w:bidi="ar-SA"/>
        </w:rPr>
        <w:t>Intermittent</w:t>
      </w:r>
      <w:r>
        <w:rPr>
          <w:rFonts w:ascii="arial" w:eastAsia="arial" w:hAnsi="arial" w:cs="arial"/>
          <w:color w:val="000000"/>
          <w:sz w:val="20"/>
          <w:lang w:val="en-US" w:eastAsia="en-US" w:bidi="ar-SA"/>
        </w:rPr>
        <w:t xml:space="preserve"> electronic fetal monitoring occurs thereafter at the nurse's discretion or on the physician's 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2.20 Oxytocin infusion is discontinued immediately in the event of an untoward fetal or maternal response and the physician is notified.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policy otherwise addressed reducing or discontinuing the infusion,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4.12 Discontinue the Oxytocin and notify physician immediately if the following occurs: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uterine hyperstimulation/tonicity</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fetal distress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1:1/1:2 patient ratio cannot be provided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KEY POINTS: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Hyperstimulation can cause compromise of fetal oxygenation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4.13 Be prepared to decrease the Oxytocin infusion following:</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rupture of membranes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full dilatation</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more than 5 contractions in 10 minutes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KEY POINTS: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Rupture of the membranes increases uterine response. Oxytocin may require reduction by as much as half the dose.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[197] The plaintiffs contended that Nurse Prutton failed to follow the policy in a number of respects by: failing to monitor Mrs. Lotocky's blood pressure and pulse hourly; failing to discontinue oxytocin upon hyperstimulation; and failing to discontinue or decrease the infusion when Mrs. Lotocky was having 5 contractions in 10 minutes and, instead, increasing it. I will address below the factual and expert issues that must be resolved before deciding these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[198] Nurse Prutton is now retired. She first qualified as a mid-wife in Scotland in 1965 shortly before immigrating to Canada. Upon arriving in Canada, she worked periodically as a labour delivery nurse until 1985 when she became a full time labour and delivery nurse. She remained in that position until retirement. Nurse Prutton had significant experience monitoring the induction of oxytocin as well as with FHR monitoring.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[199] Like Nurse Callander, Nurse Prutton has no recollection of the events in question independently of her chart entries and general practice. Nurse Prutton made the relevant entries respecting the syntocinon induction on a partogram and also on the reverse side in her nursing notes. As the FHR and contraction activity were continuously monitored electronically there is also a monitoring strip available. The nurse made some further notes on the strip. There is no reason to doubt the accuracy of any of these contemporaneous entries.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[200] In addition to the electronic monitoring, Nurse Prutton relied on her practice of keeping a hand on the mother's abdomen to pick up any contractions. According to the nurse, her hand is more reliable than the external transducer because the latter sometimes has difficulty picking up contractions because of the mother's body position and, in any event, provides information respecting the timing but not the strength of contractions. I accept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[201] Dr. Schouls ordered the OCT after reviewing the August 21 NST and concluding it was non-reassuring. The doctor had decided by that point to administer the OCT to determine if the fetus would tolerate labour and, if so, to proceed towards a vaginal delivery. If the fetus did not tolerate labour, the plan was to proceed to a c-section.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[202] At the direction of Dr. Schouls, Nurse Prutton commenced the OCT at 1230 with 2 milliunits/minute (mu), the usual dosage of syntocinon prescribed by policy. According to her chart, she observed a high FHR and poor variability about one-half hour after the start of the OCT.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[203] At 1330, on Dr. Schouls's order, the nurse increased the dosage to 4 mu. This was the commencement of the induction.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[204] Mild contractions started at the rate of one in three minutes by 1400 and, at 1430, the nurse increased the dosage to 6 mu. She testified that she did so to get stronger contractions. By 1500 hours, she recorded mild contractions lasting 20 to 30 seconds occurring every two to three minutes. She testified that she did not observe any pattern of decelerations and by 1518 and thereafter, there was very little change to the FHR although contractions continued at about two minute intervals. At 1530, Nurse Prutton increased the dosage to 8 mu because, in her view, the contractions were insufficient to bring on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[205] At 1600, Dr. Schouls conducted a vaginal examination, measured the dilation of the cervix and manipulated it gently to help bring on labour. By that point, according to the chart, Mrs. Lotocky was having one or two contractions every two and one-half minutes. The dosage was increased to 10 mu and increased again, at 1630, to 12 mu, and again, at 1700, to 14 mu. Nurse Prutton charted reduced variability of the FHR at 1630.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[206] According to Nurse Prutton, the policy permitted her to increase the dosage by 2 mu every half hour after induction started, subject to the maximum dosage. That is consistent with paragraph 4.6 of the LGH policy which reads: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4.6</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Begin the IV rate at 2 mu/min. and increase by 2 mu/min at 30 minute intervals according to maternal/fetal response, to a maximum of 16 mu/min.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1730, Nurse Prutton increased the dosage to 16 mu, the maximum permitted for an induction by the policy without consulting the obstetrician. She noted that the strength of the contractions had increased to moderate and were occurring once every two to three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[207] At 1740, the nurse turned the monitor off so Mrs. Lotocky could get up. The contractions were stronger. Monitoring began again at 1800 and the nurse made a note: "one deceleration when on back to L side" and a companion reference on the FHR strip. In appearance, the deceleration on the strip descends from a baseline of 150 to 160 to about 70 before returning and, perhaps, accelerating slightly.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[208] The charting entries indicate that the dosage was then reduced by half, to 8 mu. According to the partogram, this occurred at 1830. The nursing note records the entry sometime during the 10 minute period before. The monitoring strip records the reduction under Panel 25169 which equates to a time of about 1824 to 1825.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[209] According to Nurse Prutton, Mrs. Lotocky was in labour by the time the dosage was reduced. At that point, Mrs. Lotocky was having moderate to strong contractions lasting over 45 seconds each. The nurse's last two entries on the partogram indicate moderate to strong contractions lasting 40 to 60 seconds occurring 1 to 2 minutes apart.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[210] Nurse Prutton also conducted a vaginal examination immediately before reducing the dosage. Based on all her findings, she concluded that Mrs. Lotocky was in very active labour and arranged for the doctors who were to deliver the baby to come.</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Failing to properly administer and interpret the August 21 NST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[211] The plaintiffs contended that Nurse Prutton minimized worrisome features of the monitoring strip running during the OCT and subsequent induction. They say that much of the nurse's interpretation was simply incorrect. These contentions are subject to the same weaknesses as those that they advanced against Nurse Callander.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[212] Dr. Arnold provided the most ominous interpretation of the strip during the OCT. According to him, the baseline FHR over the first 10 minutes was 180 with absent variability and repetitive decelerations, a FHR pattern that he described as sinusoidal. In his view, these signs were so ominous as to justify proceeding immediately to a c-section for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[213] Nurse Prutton disagreed. She identified the baseline at the beginning and ending of the pattern at 160 and, as a result, interpreted the pattern as positive accelerations from that baseline rather than decelerations from the higher baseline posited by Dr. Arnold.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[214] Dr. Schouls testified that when she reviewed the strip, she interpreted the baseline and pattern the same way as the nurse. Dr. Schouls was responsible, after reviewing the early strip, for the decision to induce labour. In her opinion, the OCT was negative, meaning a good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[215] Another of the plaintiffs' experts, Nurse Burke, opined that it was difficult to determine a baseline FHR during the first 10 minutes of the OCT. She proffered a range from 160 to 180. This tends to confirm other evidence referred to earlier about intra-observer variability affecting the range of clinical interpretations for the same strip even though these differences seem very dramatic.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[216] I am not impressed with Dr. Arnold's evidence having compared it to that of the other experts. Hindsight appeared to lead him to conclude that the signs must have been there and, if heeded appropriately, the damage to Michael was easily avoidable. I cannot agree that the signs were as unequivocal as he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[217] Dr. Arnold acknowledged that the OCT did not fit the criteria for a positive, or bad, result but, according to him, it was a false negative, or good, result because the test does not evaluate variability or spontaneous decelerations. Earlier in his report, he opined that the OCT was unnecessary because "the occurrence of spontaneous fetal heart decelerations on a non-stress test are equivalent in significance to a positive oxytocin contraction test". Although the doctor was referring there specifically to the earlier NST of the same date, he did so to support his contention that there was no need for the OCT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[218] If Dr. Arnold is correct, there would appear to be little utility to an OCT and medical professionals should rely entirely on their interpretation of ominous signs on the monitoring strip. No other expert expressed a similar view that an OCT lacks utility.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[219] Both Nurse Tier and Nurse Burke opined that the August 21 NST strip was ominous. In both their views, the strip continued to be ominous during the OCT. Nurse Tier opined that Nurse Prutton failed to initiate a chain of consultation with the Charge Nurse notwithstanding the involvement of Dr. Schouls whose evaluation of the strip would be final. Nurse Burke criticized the lack of charting including the lack of reference to any communication of concern to the doctors about "the ongoing high fetal baseline and lack of variability".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[220] Both Drs. Bircham and Pendleton interpreted the August 21 strips in much the same way as Dr. Schouls. I attach more weight to their opinions than I do to Dr. Arnold's. I am not persuaded that Nurse Prutton failed to meet the standard of care in interpreting the August 21 strips as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[221] The plaintiffs also argue that Nurse Prutton expressed disdain with fetal heart monitoring machines and failed to utilize the information provided by the tocograph in assessing Mrs. Lotocky and instead relied on her hands to assess the contractions. They contend that this supports a conclusion that Nurse Prutton was negligent in her monitoring of Mrs. Lotocky.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[222] This characterization of the evidence is unfair. While Nurse Prutton did testify that she used her hand to monitor Mrs. Lotocky, she also used the TOCO. Her reason for using both is that the TOCO only monitors the length and frequency of the contractions. As it cannot monitor the strength, she relies on her hand for that purpose. The efficacy of having a nurse conduct abdominal palpations to provide information on uterine activity was confirmed by Nurse Tier in cross-examination. There is no evidence that would support a conclusion that Nurse Prutton's use of the TOCO and her hand to monitor Mrs. Lotocky was a breach of her standard of care.</w:t>
      </w:r>
      <w:r>
        <w:rPr>
          <w:rFonts w:ascii="arial" w:eastAsia="arial" w:hAnsi="arial" w:cs="arial"/>
          <w:sz w:val="20"/>
          <w:lang w:val="en-US" w:eastAsia="en-US" w:bidi="ar-SA"/>
        </w:rPr>
        <w:cr/>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Continuing the OCT despite Mrs. Lotocky experiencing uterine hyperstimulation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[223] This issue relates to uterine hyperstimulation during contractions. It will be recalled that the LGH policy stated that the nurse was required to prepare to decrease the infusion in the event of "more than 5 contractions in 10 minutes" and to discontinue and immediately notify the physician in the event of uterine hyperstimulation. Hyperstimulation is an obviously serious development. There is, however, considerable doubt whether "hyperstimulation" includes mild contractions as the plaintiffs contend.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[224] Nurse Prutton testified, in chief, that there was no uterine hyperstimulation during the OCT and induction. In cross-examination, she testified that the goal was to achieve up to 4 contractions in a 10 minute period with rest in between. This generally equates to one moderately strong contraction lasting at least 45 to 60 seconds every 2 to 3 minutes, or 3 to 4 in the 10 minute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[225] Nurse Prutton agreed that the section of the strip commencing at about 1500 showed 5 contractions within a 10 minute period. She further agreed that a partial section of the next strip running until 1530 showed 4 contractions within a 7 1/2 minute period before the monitor was turned off to allow Mrs. Lotocky to go to the bathroom.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[226] According to Nurse Prutton, it was not necessary to stop the syntocinon after the 5 contractions because they were only mild. She explained that the start of a syntocinon induction can bring on very quick, mild contractions. Provided the fetus responds appropriately, she testified that she would not discontinue the syntocinon. When confronted with the wording of s. 4.13 of the policy, Nurse Prutton agreed that it does not expressly modify the type of contractions.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[227] Nurse Tier disagreed that the presence of uterine hyperstimulation depends on the strength of contractions. She also referred to the section of the strip at 1500 and, in her report, described the 5 contractions there as a hyperstimulation or tachystole. In her testimony, she identified other examples in the panels following, including the panel for the time period 1640 to 1650 which she testified showed 6 contractions. She identified a hyperstimulation at 1600 as mild. This adjective is consistent with the evidence of Nurse Prutton whom, I observe, recorded all the contractions during the period referred to by Nurse Tier as mild.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[228] Nurse Tier conceded in cross-examination that there are accepted different definitions of hyperstimulation. For example, she acknowledged that the British Columbia Reproductive Care Program (BCRCP) which establishes provincial standards for obstetrics defines uterine hyperstimulation as 6 or more contractions within 2 consecutive 10 minute windows.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[229] The plaintiffs also relied on the evidence of Nurse Burke but I note that although she described the presence of 5 contractions in 10 minutes in her report, she did not identify any failure to react appropriately to hyperstimulation. Like Nurse Prutton, she must have concluded that the observed contractions were not a hyperstimulation.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[230] There is nothing to contradict Nurse Prutton's explanation that the LGH policy respecting hyperstimulation did not apply to mild contractions. Nor is there any clear evidence of hyperstimulation as defined by the BCRP.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[231] The plaintiffs contend that 5 contractions in a 10 minute period constituted hyperstimulation and that the LGH policy "clearly directs the nurse to decrease or discontinue the oxytocin following more than 5 contractions in 10 minutes" which Nurse Prutton failed to do. I am not persuaded that either proposition is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[232] The LGH policy did not expressly define uterine hyperstimulation but it is evident that the definition used was more than any 5 contractions in a 10 minute period. This is because the policy required the nurse to discontinue the oxytocin in the event of hyperstimulation. On the other hand, it only required the nurse to prepare to decrease, not terminate, the oxytocin in the event of more than 5 contractions in 10 minutes. It is illogical to import a definition for hyperstimulation, as Nurse Tier did, involving any 5 contractions in 10 minutes, requiring immediate termination, when the policy expressly contemplates continuing on a conditional basis in the event of more than 5 in the same period. I therefore find that Nurse Prutton was not in breach of her standard of care for not terminating the syntocinon.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[233] The plaintiffs argue that since Mrs. Lotocky experienced 6 contractions in the 10 minute period between 1640 and 1650, Nurse Prutton breached LGH policy by increasing the dosage of syntocinon at 1700 and at 1740. This is because the LGH policy requires the nurse to be prepared to decrease, rather than increase, the oxytocin following more than 5 contractions in 10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[234] While Nurse Tier testified there were 6 contractions in the 10 minute period from 1640 to 1650, no other expert did. I am not satisfied, on all of the evidence, that there were ever more than 5 contractions in a 10 minute period. Accordingly, Nurse Prutton was not in breach of the hospital policy when she increased the oxytocin at 1700 and 1740.</w:t>
      </w:r>
      <w:r>
        <w:rPr>
          <w:rFonts w:ascii="arial" w:eastAsia="arial" w:hAnsi="arial" w:cs="arial"/>
          <w:sz w:val="20"/>
          <w:lang w:val="en-US" w:eastAsia="en-US" w:bidi="ar-SA"/>
        </w:rPr>
        <w:cr/>
      </w:r>
    </w:p>
    <w:p>
      <w:pPr>
        <w:numPr>
          <w:numId w:val="2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Failing to adequately chart her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[235] According to the plaintiffs, Nurse Prutton failed to adequately chart. Their principal example related to the charting of the findings on vaginal examinations. While the charting in such regard was not as complete as it might have been, I am satisfied that the nurse charted the results. I reject the plaintiffs' contention that the lack of any charting reference on either the partogram or the nursing notes to Dr. Schouls conducting a vaginal examination at about 1700 hours leads to the conclusion that there was no such examination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[236] I am satisfied that Nurse Prutton charted the fact of the examination on the NST strip by writing "VE Dr. Schouls" at 25148 during the 10 minute period between 1650 and 1700. This note was made reasonably contemporaneously with the event. The plaintiffs also contended that the nurse's evidence conflicted with that of Dr. Schouls, but I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[237] It was apparent from Dr. Schouls' evidence that she was relying on the nursing notes, including the note on the NST strip referred to immediately above, to refresh her memory about the individual vaginal examinations after the first one. Neither counsel asked Dr. Schouls about the specific timing of the examination noted on the strip. Plaintiffs' counsel never challenged her evidence that she conducted the examination as noted on the strip. The time may be reconstructed from the printouts on the strip itself. In my view, that is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[238] While the partogram and the nursing notes would have been more complete if the nurse had transposed the information from the strip to them, I do not accept that she failed to create a chart record. More importantly, having regard to the plaintiffs' contention that the strip showed an unexplained deceleration at that point, which I will address later, I am satisfied that Dr. Schouls conducted the examination at that time and that the tracing did not show an unexplainable deceleration.</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Failing to take blood pressure as required by LGH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[239] The plaintiffs submitted that Nurse Prutton failed to chart Mrs. Lotocky's blood pressure once an hour as required by LGH policy. It appears from the partogram that the nurse only charted the blood pressure twice about 4 hours apart. She recorded Mrs. Lotocky's temperature at the same time but no other vital 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[240] I observe however that the entries made for blood pressure were unchanged from those recorded at the time of admission to the delivery ward. Nurse Prutton gave evidence, albeit in a different context, that her practice was to only record changes in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[241] Nurse Prutton breached the LGH policy and hence her standard of care by failing to chart Mrs. Lotocky's blood pressure every hour. The effect of that will be dealt with in the section on causation.</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Failing to get other medical aid for Mrs. Lotocky and Michael in the absence of an adequate medical response by the attending physician in 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[242] The plaintiffs raised this issue in their pleadings but did not address it in argument. I will briefly deal with it anyway because it is clear that Nurse Prutton considered the response of the physicians, particularly Dr. Schouls with whom she was most involved, to be prompt and adequate. She testified that she had no reason to challenge the induction when Dr. Schouls ordered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[242] As I will set out below, in my review of the actions of Dr. Schouls, there was no clear and obvious neglect or incompetence on the part of Dr. Schouls in ordering the induction. Indeed, although the plaintiffs allege that the doctor was negligent in not erring on the side of caution and proceeding to a c-section, they were careful to point out in their written submission that they did: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not intend to assert that Dr. Schouls did not care enough about Michael's health, or was callous and/or cavalier. It is also, obviously, not to assert anything general about her competence.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 the plaintiffs did not press this issue in final submissions, they may have intended this passage, in part, as a concession that it is unnecessary for me to address the issue raised in the pleadings. Out of an abundance of caution, I have considered it anyway.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xml:space="preserve">  [243] It is not negligent for a nurse to follow a physician's instructions absent "clear and obvious" neglect or incompetence. Nurse Prutton cannot be found to be negligent on this basis: see </w:t>
      </w:r>
      <w:r>
        <w:rPr>
          <w:rFonts w:ascii="arial" w:eastAsia="arial" w:hAnsi="arial" w:cs="arial"/>
          <w:i/>
          <w:color w:val="000000"/>
          <w:sz w:val="20"/>
          <w:lang w:val="en-US" w:eastAsia="en-US" w:bidi="ar-SA"/>
        </w:rPr>
        <w:t>Serre v. de Tilly</w:t>
      </w:r>
      <w:r>
        <w:rPr>
          <w:rFonts w:ascii="arial" w:eastAsia="arial" w:hAnsi="arial" w:cs="arial"/>
          <w:color w:val="000000"/>
          <w:sz w:val="20"/>
          <w:lang w:val="en-US" w:eastAsia="en-US" w:bidi="ar-SA"/>
        </w:rPr>
        <w:t xml:space="preserve"> </w:t>
      </w:r>
      <w:hyperlink r:id="rId876" w:history="1">
        <w:r>
          <w:rPr>
            <w:rFonts w:ascii="arial" w:eastAsia="arial" w:hAnsi="arial" w:cs="arial"/>
            <w:i/>
            <w:color w:val="0077CC"/>
            <w:sz w:val="20"/>
            <w:u w:val="single"/>
            <w:shd w:val="clear" w:color="auto" w:fill="FFFFFF"/>
            <w:lang w:val="en-US" w:eastAsia="en-US" w:bidi="ar-SA"/>
          </w:rPr>
          <w:t>(1975), 58 D.L.R. (3d) 362</w:t>
        </w:r>
      </w:hyperlink>
      <w:r>
        <w:rPr>
          <w:rFonts w:ascii="arial" w:eastAsia="arial" w:hAnsi="arial" w:cs="arial"/>
          <w:color w:val="000000"/>
          <w:sz w:val="20"/>
          <w:lang w:val="en-US" w:eastAsia="en-US" w:bidi="ar-SA"/>
        </w:rPr>
        <w:t xml:space="preserve"> (Ont. H.C.), which I earlier approved in </w:t>
      </w:r>
      <w:r>
        <w:rPr>
          <w:rFonts w:ascii="arial" w:eastAsia="arial" w:hAnsi="arial" w:cs="arial"/>
          <w:i/>
          <w:color w:val="000000"/>
          <w:sz w:val="20"/>
          <w:lang w:val="en-US" w:eastAsia="en-US" w:bidi="ar-SA"/>
        </w:rPr>
        <w:t>Tekano v. Lions Gate Hospital</w:t>
      </w:r>
      <w:r>
        <w:rPr>
          <w:rFonts w:ascii="arial" w:eastAsia="arial" w:hAnsi="arial" w:cs="arial"/>
          <w:color w:val="000000"/>
          <w:sz w:val="20"/>
          <w:lang w:val="en-US" w:eastAsia="en-US" w:bidi="ar-SA"/>
        </w:rPr>
        <w:t xml:space="preserve">, </w:t>
      </w:r>
      <w:hyperlink r:id="rId877" w:history="1">
        <w:r>
          <w:rPr>
            <w:rFonts w:ascii="arial" w:eastAsia="arial" w:hAnsi="arial" w:cs="arial"/>
            <w:i/>
            <w:color w:val="0077CC"/>
            <w:sz w:val="20"/>
            <w:u w:val="single"/>
            <w:shd w:val="clear" w:color="auto" w:fill="FFFFFF"/>
            <w:lang w:val="en-US" w:eastAsia="en-US" w:bidi="ar-SA"/>
          </w:rPr>
          <w:t>[1999] B.C.J. No. 1763</w:t>
        </w:r>
      </w:hyperlink>
      <w:r>
        <w:rPr>
          <w:rFonts w:ascii="arial" w:eastAsia="arial" w:hAnsi="arial" w:cs="arial"/>
          <w:color w:val="000000"/>
          <w:sz w:val="20"/>
          <w:lang w:val="en-US" w:eastAsia="en-US" w:bidi="ar-SA"/>
        </w:rPr>
        <w:t xml:space="preserve"> (S.C.), at para. 110.</w:t>
      </w:r>
      <w:r>
        <w:rPr>
          <w:rFonts w:ascii="arial" w:eastAsia="arial" w:hAnsi="arial" w:cs="arial"/>
          <w:sz w:val="20"/>
          <w:lang w:val="en-US" w:eastAsia="en-US" w:bidi="ar-SA"/>
        </w:rPr>
        <w:cr/>
      </w:r>
    </w:p>
    <w:p>
      <w:pPr>
        <w:numPr>
          <w:numId w:val="2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Failing to obtain informed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[244] In their statement of claim, the plaintiffs alleged that Nurse Prutton breached her standard of care by failing to get informed consent from Mrs. Lotocky. This was not pursued by the plaintiffs in evidence or in their submissions at the end of trial. The plaintiffs have failed to establish a lack of informed consent as it related to Nurse Prutton.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DOCTOR SCHOULS</w:t>
      </w:r>
      <w:r>
        <w:rPr>
          <w:rFonts w:ascii="arial" w:eastAsia="arial" w:hAnsi="arial" w:cs="arial"/>
          <w:sz w:val="20"/>
          <w:lang w:val="en-US" w:eastAsia="en-US" w:bidi="ar-SA"/>
        </w:rPr>
        <w:cr/>
      </w:r>
    </w:p>
    <w:p>
      <w:pPr>
        <w:numPr>
          <w:numId w:val="2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Failing to proceed to a c-section</w:t>
      </w:r>
    </w:p>
    <w:p>
      <w:pPr>
        <w:numPr>
          <w:numId w:val="2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Continuing the OCT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[245] While the first issue is broader in that the plaintiffs allege that Dr. Schouls should have proceeded to a c-section based on all the clinical information available to her at the time of her initial consultation and assessment of Mrs. Lotocky, they also allege that there was a pattern of late decelerations and bradycardia evident during the subsequent OCT that should have led to birth by c-section rather than inducing a vaginal birth. The plaintiffs' contentions on both issues depend on my accepting that the medical professionals involved, including for this purpose, Dr. Schouls, failed to meet the standard of care applicable in interpreting the FHR monitoring strips within the context of the overall clinical picture. As I have made clear already, I have not accepted the plaintiffs' contentions in that regard. For convenience, I rephrase the issues slightly to recognize their progression and interconnectedness:</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it appropriate to proceed with the OCT rather than a c-section;</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it appropriate to continue the OCT through conclusion and then induce labour rather than stopping the process at any point and proceeding with a c-section.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[246] As mentioned earlier, Dr. Schouls was the obstetrician on call on August 21, 2005. She attended at the request of Dr. Markle, reviewed the NST strips, assessed Mrs. Lotocky, and was responsible for ordering the OCT and subsequent induction.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[247] Dr. Schouls, by reason of her specialization as an obstetrician, was subject to a higher standard of care. She had a different role to play than the nurses or Dr. Markle. Her counsel conceded, in his written submission, that "[t]he most difficult procedures performed during pregnancy are completed by obstetricians".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[248] According to the plaintiffs, the August 18 NST was sufficiently ominous to call for a c-section that day. Dr. Schouls was, of course, not consulted until after the repeat NST on the morning of August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[249] Shortly after being contacted, Dr. Schouls reviewed both the August 18 NST and the August 21 NST strips before ordering the OCT. She also discussed the history with Dr. Markle and, at about noon on August 21, she examined Mrs. Lotocky. In Dr. Schouls' view, based partially on her review of the August 18 strip, there had been fetal decelerations on that date. She made a note of variable decelerations with "good variability otherwise". As to the August 21 NST, she recorded variable decelerations approximately every 10 minutes. She testified that the second strip had features that were potentially concerning. There was some decrease in variability contrasted to the normal range of 10 to 25 bpm.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[250] Dr. Schouls also reviewed the ongoing strips at each of her later assessments of Mrs. Lotocky. Those assessments occurred at 1330, the conclusion of the OCT when the doctor ordered the first increase in syntocinon to induce labour; again at 1600 or 1610 during the period Nurse Prutton was increasing the dosage at intervals; at 1700; at 1830, shortly after the syntocinon was reduced to 8 mu and finally, at 1900. According to Dr. Schouls, she reviewed the strips specifically to determine whether there were any ominous signs that the fetus was unable to tolerate contractions.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[251] As set out earlier, Dr. Arnold provided the most ominous interpretation of the strip during the OCT and testified that the high baseline FHR with absent variability and repetitive decelerations were so ominous as to justify proceeding immediately to a c-section for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[252] Dr. Schouls did not agree that the tracings showed a sick fetus. Nor did she agree, as suggested by Dr. Arnold, that the OCT was a false negative. According to her, if the fetus had insufficient reserves, late decelerations or bradycardias would have occurred when the contractions became stronger but did not. By the time of her final assessment, there were occasional decelerations showing on the strip and decreased variability, but no late decelerations or prolonged bradycardia.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[253] In spite of Dr. Arnold's qualifications and expertise, he stands alone in proffering the most ominous interpretations. If a strip is very ominous or very reassuring, I would expect a greater consensus among different experts. I give little weight to Dr. Arnold's opinion where it differs from that of Dr. Pendleton in particular and even that of Dr. Schouls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[254] After reviewing the August 18 and 21 NST strips, Dr. Pendleton referred to the decision on August 21 to deliver Mrs. Lotocky's baby that day rather than sending her home again to wait. He then opined that the decision to proceed with the OCT was "entirely appropriate" and that there was "no evidence at [that] time to suggest urgent operative delivery on the basis of the initial non-stress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[255] During his testimony, Dr. Pendleton made it clear that he reviewed the two strips, in part, to determine if he would have ordered a c-section, given the overall clinical picture. He testified that he would not have even though he interpreted the August 21 strip as less reassuring than the first one. In cross-examination, Dr. Pendleton testified that the August 21 strip was sufficiently non-reassuring that "it would be better for the baby to be in the crib than in the mother". It was apparent from the doctor's evidence that he considered an OCT with a view to proceeding to an induction if the fetus tolerated contractions adequately as an appropriate means of accomplishing that. I accept Dr. Pendleton's evidence in regard to the decision to proceed with the OCT.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[256] As to the continuation of the OCT and the induction, Dr. Pendleton described that the trace was "relatively flat" but stated that it was "within normal range, showing no evidence of significant deceleration related to the administration of oxytocin". In his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indication that this baby's condition was worsening and that Dr. Schouls should have decided to make a Caesarean delivery at this time. It was entirely appropriate to continue with careful observation and the expectation that as contractions increased, labour would progress satisfactorily, and indeed, rapidly.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By the time of Dr. Schouls' vaginal examination of Mrs. Lotocky, noted on the strip at 25148, Mrs. Lotocky was in active labour. Dr. Pendleton opined that there was, at that point, "no indication for immediate operative delivery either on the grounds of no progress' or distress of the baby'". Plaintiffs' counsel cross-examined Dr. Pendleton vigorously on this aspect of his opinion but did not, in my view, make any inroads that seriously impacted its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[257] Dr. Pendleton's opinions were consistent with and supportive of the views that Dr. Schouls formed at the material time. I find no failure on the part of Dr. Schouls to meet the standard of care applicable to an obstetrician in such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[258] During final written and oral submissions, counsel for the plaintiffs referred several times to Dr. Schouls waiting for an inappropriate "gold standard" of signs of classic late decelerations associated with contractions and prolonged bradycardia before she would proceed to a c-section. The difficulty with the plaintiffs' submission in this regard is that Dr. Schouls applied an accepted medical standard rather than applying some lesser standard of her own creation. In any event, the reference to a "gold standard" must be considered in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[259] Dr. Pendleton described the "gold standard" during cross-examination as "progressive late (relative to contraction) decelerations" before taking action by way of c-section. In that sense, the standard refers to the important clinical evidence of a deteriorating pattern that may be evident on monitoring. I accept that the first appearance of decelerations, regardless of pattern, other than late decelerations, or even of a bradycardia, does not immediately constitute a progression or pattern requiring a c-section.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[260] I do not accept that Dr. Schouls, in effect, was waiting for signs that were so ominous that it was too late for Michael's well being and would only then, intervene by c-section. Instead, Dr. Schouls testified that if there were worrisome signs that the fetus was not responding well to the increase in strength of contractions, she would have expedited delivery. Dr. Schouls also pointed out that the purpose of a contraction test, or OCT, "was not so much to tell us whether we had concerns about the fetus, it was to determine the best mode of delivery". She and others differed with Dr. Arnold in particular about the presence and extent of ominous signs but did not differ on the solution if they were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[261] For example, Dr. Pendleton disagreed with Dr. Arnold that Dr. Schouls should have moved to delivery by c-section. I accept Dr. Schouls' evidence as to her reasons for not doing so. According to the doctor: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Caesarean section is a major operation. A Caesarean section should be undertaken if you can assume that by doing it you will decrease the risk to both mother and baby. At this point the baby did not seem to show any adverse effects by having contractions. And certainly we know that a Caesarean section is a higher risk procedure for a woman than a vaginal delivery. Particularly with Mrs. Lotocky where she had two very straightforward normal vaginal deliveries. To undergo a Caesarean section, without obvious proof that it would be advantageous to the baby, would not be something I'd recommend.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find this explanation more nuanced and complete than the "gold standard" referred to in the plaintiffs' final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xml:space="preserve">  [262] The plaintiffs submitted, relying on </w:t>
      </w:r>
      <w:r>
        <w:rPr>
          <w:rFonts w:ascii="arial" w:eastAsia="arial" w:hAnsi="arial" w:cs="arial"/>
          <w:i/>
          <w:color w:val="000000"/>
          <w:sz w:val="20"/>
          <w:lang w:val="en-US" w:eastAsia="en-US" w:bidi="ar-SA"/>
        </w:rPr>
        <w:t>Kuan v. Harrison,</w:t>
      </w:r>
      <w:r>
        <w:rPr>
          <w:rFonts w:ascii="arial" w:eastAsia="arial" w:hAnsi="arial" w:cs="arial"/>
          <w:color w:val="000000"/>
          <w:sz w:val="20"/>
          <w:lang w:val="en-US" w:eastAsia="en-US" w:bidi="ar-SA"/>
        </w:rPr>
        <w:t xml:space="preserve"> </w:t>
      </w:r>
      <w:hyperlink r:id="rId878" w:history="1">
        <w:r>
          <w:rPr>
            <w:rFonts w:ascii="arial" w:eastAsia="arial" w:hAnsi="arial" w:cs="arial"/>
            <w:i/>
            <w:color w:val="0077CC"/>
            <w:sz w:val="20"/>
            <w:u w:val="single"/>
            <w:shd w:val="clear" w:color="auto" w:fill="FFFFFF"/>
            <w:lang w:val="en-US" w:eastAsia="en-US" w:bidi="ar-SA"/>
          </w:rPr>
          <w:t>[1997] B.C.J. No. 1215</w:t>
        </w:r>
      </w:hyperlink>
      <w:r>
        <w:rPr>
          <w:rFonts w:ascii="arial" w:eastAsia="arial" w:hAnsi="arial" w:cs="arial"/>
          <w:color w:val="000000"/>
          <w:sz w:val="20"/>
          <w:lang w:val="en-US" w:eastAsia="en-US" w:bidi="ar-SA"/>
        </w:rPr>
        <w:t xml:space="preserve"> (S.C.), that Dr. Schouls should have performed a c-section because the downside risk to the baby was low. By this, the plaintiffs mean that the standard of care required erring on the side of caution. However, the lack of downside risk under consideration in </w:t>
      </w:r>
      <w:r>
        <w:rPr>
          <w:rFonts w:ascii="arial" w:eastAsia="arial" w:hAnsi="arial" w:cs="arial"/>
          <w:i/>
          <w:color w:val="000000"/>
          <w:sz w:val="20"/>
          <w:lang w:val="en-US" w:eastAsia="en-US" w:bidi="ar-SA"/>
        </w:rPr>
        <w:t>Kuan</w:t>
      </w:r>
      <w:r>
        <w:rPr>
          <w:rFonts w:ascii="arial" w:eastAsia="arial" w:hAnsi="arial" w:cs="arial"/>
          <w:color w:val="000000"/>
          <w:sz w:val="20"/>
          <w:lang w:val="en-US" w:eastAsia="en-US" w:bidi="ar-SA"/>
        </w:rPr>
        <w:t xml:space="preserve"> arose in very different circumstances and did not involve a decision whether to intervene surgically.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xml:space="preserve">  [263] In </w:t>
      </w:r>
      <w:r>
        <w:rPr>
          <w:rFonts w:ascii="arial" w:eastAsia="arial" w:hAnsi="arial" w:cs="arial"/>
          <w:i/>
          <w:color w:val="000000"/>
          <w:sz w:val="20"/>
          <w:lang w:val="en-US" w:eastAsia="en-US" w:bidi="ar-SA"/>
        </w:rPr>
        <w:t>Kuan,</w:t>
      </w:r>
      <w:r>
        <w:rPr>
          <w:rFonts w:ascii="arial" w:eastAsia="arial" w:hAnsi="arial" w:cs="arial"/>
          <w:color w:val="000000"/>
          <w:sz w:val="20"/>
          <w:lang w:val="en-US" w:eastAsia="en-US" w:bidi="ar-SA"/>
        </w:rPr>
        <w:t xml:space="preserve"> the defendants were found negligent for unnecessarily using an oxytocin drip to augment contractions and then failing to monitor the drip properly. The lack of downside risk related to whether there would have been any adverse impact, once there was a worsening of the monitoring strip, associated with turning off the drip and reassessing the mother. The trial judge was not persuaded that turning off the drip in those circumstances would have put the mother or fetus at risk solely because labour might continue for a longer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[264] In the present case, no expert suggested that a c-section does not involve some risk, at least for the mother. Dr. Arnold agreed in cross-examination that a vaginal birth is always preferable if it can be done.</w:t>
      </w:r>
      <w:r>
        <w:rPr>
          <w:rFonts w:ascii="arial" w:eastAsia="arial" w:hAnsi="arial" w:cs="arial"/>
          <w:sz w:val="20"/>
          <w:lang w:val="en-US" w:eastAsia="en-US" w:bidi="ar-SA"/>
        </w:rPr>
        <w:cr/>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Failing to perform an artificial rupture of the membranes (ARM) and attach a fetal scalp monitor to the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[265] Dr. Schouls performed a controlled ARM at 1900 when Mrs. Lotocky was at or near full dilation and she was about to enter the second stage of labour. Although the head remained ballottable, or able to move around in the birth canal, Dr. Schouls performed the ARM because she expected that without it a spontaneous rupture would occur within minutes, creating a risk of cord prolapse. The doctor felt that she could control the movement of the baby's head into the birth canal by performing the ARM and reduce that risk. Michael was born four minutes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[266] Dr. Arnold testified that Dr. Schouls should have performed an ARM much earlier in order to perform a fetal scalp measurement. This would have permitted a measurement of the pH of the fetus which he said was "perhaps the most accurate means of determining the level of distress". He also opined that the fetal scalp electrode is the "best means of assessing fetal heart variability". The doctor went so far as to say the failure to take this step indicated "a complete lack of concern on the part of Dr. Schouls". Because an ARM would have been required in order to perform a fetal scalp measurement, the two procedures are intimately connected.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[267] Both the timing at which an ARM may safely be performed and whether a fetal scalp monitor was needed were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[268] As to timing, Dr. Arnold agreed, in cross-examination, that the physician must consider the station of the presenting part, namely the leading part of the fetus as it descends towards and enters the birth canal, before deciding to perform an ARM. The common landmark reference is at the ischial spines, known as station zero. If the presenting part is above the ischial spines, it is measured as spines minus and, if below, as spines plus. Dr. Arnold agreed that a baby who has not entered the birth canal would present at spines minus three. At that point, the presenting part is still ballottable. Dr. Arnold did not agree with the suggestion that it is dangerous to rupture the membranes when the presenting part is still ballottable. He explained there are "little tricks" that obstetricians have to rupture membranes and get the baby's head to come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[269] However, Dr. Arnold acknowledged there was a risk of a cord prolapse, which is an obstetrical emergency, but described the risk as one that an obstetrician could minimize "with the expertise that you have". I note that he also referred to the need for an "experienced" obstetrician to perform the ARM in such circumstance.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[270] According to the chart notation and other evidence, the head of the fetus was still high when Dr. Schouls first examined Mrs. Lotocky. She testified that she did not consider an ARM at that point. She explained that it would have been too risky to conduct and that the extent of dilatation, then 1-3 cms, was also a factor to take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[271] As to need, Dr. Schouls testified that even if the head had been low and the cervix dilated 2-3 cms, she would only have considered an ARM if necessary to get further information about the fetus. In her view, the monitoring strip was providing satisfactory information so there was no such need even if the conditions for performing an ARM had otherwise been favourable. Dr. Schouls agreed that performing an ARM to place an internal fetal scalp electrode can be helpful in monitoring where there is difficulty with external monitoring but described other risks associated with an ARM such as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[272] In cross-examination, Dr. Schouls agreed that she could have performed an ARM at the earlier stage, although using a different implement, and potentially, at least, have determined the cord was not presenting first before proceeding but that evidence did not diminish the significance of her explanation that there was no need to effect monitoring by fetal scalp electrode. The evidence of the other experts is more consistent with that of Dr. Schouls than Dr. Arnold.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[273] Dr. Farmer, whom it will be recalled had some residency training in obstetrics, appeared to agree with Dr. Schouls on the risk. He testified that a physician would not do an ARM while the fetal head was ballottable because of the danger of cord prolapse. He also confirmed cord prolapse would be an obstetrical emergency.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[274] Dr. Pendleton testified that it would not have been possible to apply a fetal scalp electrode because of the high fetal head position until late into labour and that, in any event, nobody would do it because of the significant risk of cord prolapse. Dr. Bircham gave similar evidence about the risk but agreed that a controlled ARM at full dilatation for a mother with a history of rapid labour was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[275] Dr. Bircham further agreed with both Dr. Schouls and Dr. Pendleton that it would have been impracticable to attempt to place a fetal scalp electrode while the fetal head was high. Finally, she agreed with Dr. Schouls that the application would not have resulted in a better tracing than was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[276] I am unable to accept Dr. Arnold's opinions respecting the timing and need for an earlier ARM in this case. In any event, even if his views represent one school of thought, it is clear that there is another consistent with the course of action adopted by Dr. Schouls. I find no breach of the standard of care in this regard.</w:t>
      </w:r>
      <w:r>
        <w:rPr>
          <w:rFonts w:ascii="arial" w:eastAsia="arial" w:hAnsi="arial" w:cs="arial"/>
          <w:sz w:val="20"/>
          <w:lang w:val="en-US" w:eastAsia="en-US" w:bidi="ar-SA"/>
        </w:rPr>
        <w:cr/>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Failing to take cord blood gas samples at the time of Michael's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[277] I earlier dealt with this issue and concluded that the cord blood gas samples should have been taken in the circumstances. It was the responsibility of Dr. Schouls or Dr. Markle to take them. While I found that Dr. Schouls was likely writing up her chart at the time that the cord blood gases should have been taken, this does not relieve Dr. Schouls of responsibility for ensuring that they were taken. No expert evidence was led about the relationship between obstetrician and general practitioner during a delivery but it is apparent that Dr. Markle was there to assist. It follows that Dr. Schouls is equally at fault for failing to take cord blood gas samples. This was a breach of her standard of care.</w:t>
      </w:r>
      <w:r>
        <w:rPr>
          <w:rFonts w:ascii="arial" w:eastAsia="arial" w:hAnsi="arial" w:cs="arial"/>
          <w:sz w:val="20"/>
          <w:lang w:val="en-US" w:eastAsia="en-US" w:bidi="ar-SA"/>
        </w:rPr>
        <w:cr/>
      </w:r>
    </w:p>
    <w:p>
      <w:pPr>
        <w:numPr>
          <w:numId w:val="2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Failing to obtain informed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[278] The plaintiffs contended that on August 21, Dr. Schouls failed to inform Mrs. Lotocky of the option to proceed with a c-section rather than the OCT and induction as well as the risks associated with each for both her and her unborn child. In my view, based on the evidence other than that of Dr. Arnold which I rejected, Dr. Schouls was justifiably not prepared to offer a c-section as an option to the OCT followed by induction. The real question, as a result, is whether she explained to Mrs. Lotocky that she proposed proceeding with the latter but would perform a c-section if the fetus could not tolerate contractions. I am satisfied that Mrs. Lotocky understood that approach and agreed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LGH:</w:t>
      </w:r>
      <w:r>
        <w:rPr>
          <w:rFonts w:ascii="arial" w:eastAsia="arial" w:hAnsi="arial" w:cs="arial"/>
          <w:sz w:val="20"/>
          <w:lang w:val="en-US" w:eastAsia="en-US" w:bidi="ar-SA"/>
        </w:rPr>
        <w:cr/>
      </w:r>
    </w:p>
    <w:p>
      <w:pPr>
        <w:numPr>
          <w:numId w:val="30"/>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Breaching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xml:space="preserve">  [279] Any liability on the part of LGH requires a finding first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one or both defendant nurses who were employees of the hospital at the material time. The plaintiffs have established breaches of the nurses' standard of care relating to their charting obligations, for which their employer would also be liable provided those breaches caused injury to the plaintiffs. As I set out below, those failures did not cause any injury. Accordingly, it is not necessary for me to consider the liability of LGH any further.</w:t>
      </w:r>
      <w:r>
        <w:rPr>
          <w:rFonts w:ascii="arial" w:eastAsia="arial" w:hAnsi="arial" w:cs="arial"/>
          <w:sz w:val="20"/>
          <w:lang w:val="en-US" w:eastAsia="en-US" w:bidi="ar-SA"/>
        </w:rPr>
        <w:cr/>
      </w:r>
    </w:p>
    <w:p>
      <w:pPr>
        <w:numPr>
          <w:numId w:val="31"/>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[280] While the parties agree that the onus is on the plaintiffs to prove causation, they disagree about how causation can be proved. Specifically, they disagree about whether the court is entitled to infer causation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xml:space="preserve">  [281] The plaintiffs argue that while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requires the plaintiff to prove causation, it does not require that causation be proven with scientific precision. They argue that </w:t>
      </w:r>
      <w:r>
        <w:rPr>
          <w:rFonts w:ascii="arial" w:eastAsia="arial" w:hAnsi="arial" w:cs="arial"/>
          <w:i/>
          <w:color w:val="000000"/>
          <w:sz w:val="20"/>
          <w:lang w:val="en-US" w:eastAsia="en-US" w:bidi="ar-SA"/>
        </w:rPr>
        <w:t>Snell</w:t>
      </w:r>
      <w:r>
        <w:rPr>
          <w:rFonts w:ascii="arial" w:eastAsia="arial" w:hAnsi="arial" w:cs="arial"/>
          <w:color w:val="000000"/>
          <w:sz w:val="20"/>
          <w:lang w:val="en-US" w:eastAsia="en-US" w:bidi="ar-SA"/>
        </w:rPr>
        <w:t xml:space="preserve"> permits the court to draw inferences as to causation where the evidence of causation is particularly within the knowledge of the defendant, which they say is the case here. They submit that the British Columbia Court of Appeal decision in </w:t>
      </w:r>
      <w:r>
        <w:rPr>
          <w:rFonts w:ascii="arial" w:eastAsia="arial" w:hAnsi="arial" w:cs="arial"/>
          <w:i/>
          <w:color w:val="000000"/>
          <w:sz w:val="20"/>
          <w:lang w:val="en-US" w:eastAsia="en-US" w:bidi="ar-SA"/>
        </w:rPr>
        <w:t>Levitt v. Carr</w:t>
      </w:r>
      <w:r>
        <w:rPr>
          <w:rFonts w:ascii="arial" w:eastAsia="arial" w:hAnsi="arial" w:cs="arial"/>
          <w:color w:val="000000"/>
          <w:sz w:val="20"/>
          <w:lang w:val="en-US" w:eastAsia="en-US" w:bidi="ar-SA"/>
        </w:rPr>
        <w:t xml:space="preserve">, </w:t>
      </w:r>
      <w:hyperlink r:id="rId879" w:history="1">
        <w:r>
          <w:rPr>
            <w:rFonts w:ascii="arial" w:eastAsia="arial" w:hAnsi="arial" w:cs="arial"/>
            <w:i/>
            <w:color w:val="0077CC"/>
            <w:sz w:val="20"/>
            <w:u w:val="single"/>
            <w:shd w:val="clear" w:color="auto" w:fill="FFFFFF"/>
            <w:lang w:val="en-US" w:eastAsia="en-US" w:bidi="ar-SA"/>
          </w:rPr>
          <w:t>[1992] B.C.J. No. 704</w:t>
        </w:r>
      </w:hyperlink>
      <w:r>
        <w:rPr>
          <w:rFonts w:ascii="arial" w:eastAsia="arial" w:hAnsi="arial" w:cs="arial"/>
          <w:color w:val="000000"/>
          <w:sz w:val="20"/>
          <w:lang w:val="en-US" w:eastAsia="en-US" w:bidi="ar-SA"/>
        </w:rPr>
        <w:t xml:space="preserve">, and the Supreme Court of Canada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also support their submission that it is open to the court to infer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xml:space="preserve">  [282] The defendants, on the other hand, argue that the plaintiffs must prove causation on the balance of probabilities and that this is not an appropriate case for the court to draw an inference. They argue that the British Columbia Court of Appeal decision in </w:t>
      </w:r>
      <w:r>
        <w:rPr>
          <w:rFonts w:ascii="arial" w:eastAsia="arial" w:hAnsi="arial" w:cs="arial"/>
          <w:i/>
          <w:color w:val="000000"/>
          <w:sz w:val="20"/>
          <w:lang w:val="en-US" w:eastAsia="en-US" w:bidi="ar-SA"/>
        </w:rPr>
        <w:t>Moore v. Castelgar &amp; District Hospital (</w:t>
      </w:r>
      <w:r>
        <w:rPr>
          <w:rFonts w:ascii="arial" w:eastAsia="arial" w:hAnsi="arial" w:cs="arial"/>
          <w:color w:val="000000"/>
          <w:sz w:val="20"/>
          <w:lang w:val="en-US" w:eastAsia="en-US" w:bidi="ar-SA"/>
        </w:rPr>
        <w:t xml:space="preserve">1998), </w:t>
      </w:r>
      <w:hyperlink r:id="rId331" w:history="1">
        <w:r>
          <w:rPr>
            <w:rFonts w:ascii="arial" w:eastAsia="arial" w:hAnsi="arial" w:cs="arial"/>
            <w:i/>
            <w:color w:val="0077CC"/>
            <w:sz w:val="20"/>
            <w:u w:val="single"/>
            <w:shd w:val="clear" w:color="auto" w:fill="FFFFFF"/>
            <w:lang w:val="en-US" w:eastAsia="en-US" w:bidi="ar-SA"/>
          </w:rPr>
          <w:t>49 B.C.L.R. (3d) 100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Bigcharles v. Lomax</w:t>
      </w:r>
      <w:r>
        <w:rPr>
          <w:rFonts w:ascii="arial" w:eastAsia="arial" w:hAnsi="arial" w:cs="arial"/>
          <w:color w:val="000000"/>
          <w:sz w:val="20"/>
          <w:lang w:val="en-US" w:eastAsia="en-US" w:bidi="ar-SA"/>
        </w:rPr>
        <w:t xml:space="preserve">, </w:t>
      </w:r>
      <w:hyperlink r:id="rId880" w:history="1">
        <w:r>
          <w:rPr>
            <w:rFonts w:ascii="arial" w:eastAsia="arial" w:hAnsi="arial" w:cs="arial"/>
            <w:i/>
            <w:color w:val="0077CC"/>
            <w:sz w:val="20"/>
            <w:u w:val="single"/>
            <w:shd w:val="clear" w:color="auto" w:fill="FFFFFF"/>
            <w:lang w:val="en-US" w:eastAsia="en-US" w:bidi="ar-SA"/>
          </w:rPr>
          <w:t>[2001] B.C.J. No. 1003</w:t>
        </w:r>
      </w:hyperlink>
      <w:r>
        <w:rPr>
          <w:rFonts w:ascii="arial" w:eastAsia="arial" w:hAnsi="arial" w:cs="arial"/>
          <w:color w:val="000000"/>
          <w:sz w:val="20"/>
          <w:lang w:val="en-US" w:eastAsia="en-US" w:bidi="ar-SA"/>
        </w:rPr>
        <w:t xml:space="preserve">, apply. They say that </w:t>
      </w:r>
      <w:r>
        <w:rPr>
          <w:rFonts w:ascii="arial" w:eastAsia="arial" w:hAnsi="arial" w:cs="arial"/>
          <w:i/>
          <w:color w:val="000000"/>
          <w:sz w:val="20"/>
          <w:lang w:val="en-US" w:eastAsia="en-US" w:bidi="ar-SA"/>
        </w:rPr>
        <w:t>Snell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do not support the proposition put forward by the plaintiffs that the court can infer causation where the plaintiffs have not proved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on the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xml:space="preserve">  [283] While I accept there are circumstances, such as those in </w:t>
      </w:r>
      <w:r>
        <w:rPr>
          <w:rFonts w:ascii="arial" w:eastAsia="arial" w:hAnsi="arial" w:cs="arial"/>
          <w:i/>
          <w:color w:val="000000"/>
          <w:sz w:val="20"/>
          <w:lang w:val="en-US" w:eastAsia="en-US" w:bidi="ar-SA"/>
        </w:rPr>
        <w:t>Levitt</w:t>
      </w:r>
      <w:r>
        <w:rPr>
          <w:rFonts w:ascii="arial" w:eastAsia="arial" w:hAnsi="arial" w:cs="arial"/>
          <w:color w:val="000000"/>
          <w:sz w:val="20"/>
          <w:lang w:val="en-US" w:eastAsia="en-US" w:bidi="ar-SA"/>
        </w:rPr>
        <w:t>, where the medical evidence supports an inference of causation, that is not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[284] Earlier in the judgment I reviewed the alleged breaches of standard of care for each of the defendants and indicated that I would deal with the issues of causation later. While I have made no finding as to the exact cause of Michael's injuries I have found that none of the breaches of the standard of care of any of the defendants were the cause of those injuries. The reasons for this are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Nurse Callander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[285] I have found that Nurse Callander breached her standard of care by failing to adequately chart her findings as they related to the Kubli scoring of the August 18 NST and in failing to record Mrs. Lotocky's blood pressure, as required by LGH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[286] While Nurse Callander's charting of the Kubli scoring was not adequate, her scoring of the test did not constitute a breach of her standard of care. Since the score and the actions taken based on that score did not cause any of Michael's injuries, the inadequate charting could not have caused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[287] While inappropriate charting could become a causative factor if it was relied on by others in making decisions about medical interventions, that is not an issue here. Both Dr. Markle and Dr. Schouls testified that they personally reviewed the NST and came to their own conclusions about the interpretation of the strip. There is no evidence before me that would support a conclusion that Drs. Markle and Schouls would have come to a different conclusion about what to do had the charting on the strip been more detailed. As a result I find that the failure of Nurse Callander to adequately chart her findings as they relate to the Kubli score was not a cause of Michael's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[288] I also find that the failure of Nurse Callander to record Mrs. Lotocky's blood pressure was not a cause of the injuries. There is no evidence before me that would support a conclusion that different action would have been taken by Nurse Callander and the other medical professionals involved had Nurse Callander charted the blood pressure. Nor is there evidence before me to support a conclusion that high maternal blood pressure, if it existed at the time of the August 18 NST, would have caused these injuries to Michael.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Markle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[289] I have found that Dr. Markle breached his standard of care by failing to take cord blood gases when Michael was born. However, I find that the failure to take the cord blood gases was not a cause of Michael's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xml:space="preserve">  [290] In their submissions, the plaintiffs cite </w:t>
      </w:r>
      <w:r>
        <w:rPr>
          <w:rFonts w:ascii="arial" w:eastAsia="arial" w:hAnsi="arial" w:cs="arial"/>
          <w:i/>
          <w:color w:val="000000"/>
          <w:sz w:val="20"/>
          <w:lang w:val="en-US" w:eastAsia="en-US" w:bidi="ar-SA"/>
        </w:rPr>
        <w:t>Chow (Litigation guardian of) v. Wellesley Hospital</w:t>
      </w:r>
      <w:r>
        <w:rPr>
          <w:rFonts w:ascii="arial" w:eastAsia="arial" w:hAnsi="arial" w:cs="arial"/>
          <w:color w:val="000000"/>
          <w:sz w:val="20"/>
          <w:lang w:val="en-US" w:eastAsia="en-US" w:bidi="ar-SA"/>
        </w:rPr>
        <w:t xml:space="preserve">, </w:t>
      </w:r>
      <w:hyperlink r:id="rId881" w:history="1">
        <w:r>
          <w:rPr>
            <w:rFonts w:ascii="arial" w:eastAsia="arial" w:hAnsi="arial" w:cs="arial"/>
            <w:i/>
            <w:color w:val="0077CC"/>
            <w:sz w:val="20"/>
            <w:u w:val="single"/>
            <w:shd w:val="clear" w:color="auto" w:fill="FFFFFF"/>
            <w:lang w:val="en-US" w:eastAsia="en-US" w:bidi="ar-SA"/>
          </w:rPr>
          <w:t>[1999] O.J. No. 279</w:t>
        </w:r>
      </w:hyperlink>
      <w:r>
        <w:rPr>
          <w:rFonts w:ascii="arial" w:eastAsia="arial" w:hAnsi="arial" w:cs="arial"/>
          <w:color w:val="000000"/>
          <w:sz w:val="20"/>
          <w:lang w:val="en-US" w:eastAsia="en-US" w:bidi="ar-SA"/>
        </w:rPr>
        <w:t xml:space="preserve"> (Gen. Div.), in support of their proposition that failure to take cord blood gases after Michael's birth was negligent. In response, the defendants argue that findings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fact specific and a finding that a failure to take cord blood gases was negligent in one case cannot be imported into another. I agree with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[291] The situation would be very different if I had found any negligent failure to recognize and act on an ominous FHR tracing or other clinical evidence. In that event, timing issues relating to the onset of brain injury would have been important and the failure to take cord blood gases could properly be held against the defendant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[292] In order for the plaintiffs to succeed they must establish on the facts of the case that the failure to take cord blood gases was the cause of Michael's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[293] In their submissions the plaintiffs referred to the evidence of Dr. Yager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presence of metabolic acidosis (revealed in cord blood gas, if taken) would be a telltale sign of a chronic process of loss of blood flow to a fetus, resulting in oxygen compromise ultimately sufficient to render the fetus unable to withstand the stresses of labour, resulting in "preferential" shunting of blood to the most "survival critical" areas of the brain and leaving other areas of the brain significantly deprived and therefore damaged.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[294] What is of significance is that the plaintiffs do not allege that the failure to take cord blood gases caused the injury to Michael. Rather, they argue that they are hampered in proving the cause of the injury because of the absence of cord blood gases and as a result causation should be inferred. There are a number of difficulties with this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xml:space="preserve">  [295] First, as noted by the defendants, the plaintiffs' argument that causation should be inferred requires the court to assume that the results would have shown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one or more of the defendants, which is not necessarily so. Second, unlike </w:t>
      </w:r>
      <w:r>
        <w:rPr>
          <w:rFonts w:ascii="arial" w:eastAsia="arial" w:hAnsi="arial" w:cs="arial"/>
          <w:i/>
          <w:color w:val="000000"/>
          <w:sz w:val="20"/>
          <w:lang w:val="en-US" w:eastAsia="en-US" w:bidi="ar-SA"/>
        </w:rPr>
        <w:t>Levitt</w:t>
      </w:r>
      <w:r>
        <w:rPr>
          <w:rFonts w:ascii="arial" w:eastAsia="arial" w:hAnsi="arial" w:cs="arial"/>
          <w:color w:val="000000"/>
          <w:sz w:val="20"/>
          <w:lang w:val="en-US" w:eastAsia="en-US" w:bidi="ar-SA"/>
        </w:rPr>
        <w:t>, there is no evidentiary basis in the case at bar on which to infer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xml:space="preserve">  [296] In </w:t>
      </w:r>
      <w:r>
        <w:rPr>
          <w:rFonts w:ascii="arial" w:eastAsia="arial" w:hAnsi="arial" w:cs="arial"/>
          <w:i/>
          <w:color w:val="000000"/>
          <w:sz w:val="20"/>
          <w:lang w:val="en-US" w:eastAsia="en-US" w:bidi="ar-SA"/>
        </w:rPr>
        <w:t>Levitt</w:t>
      </w:r>
      <w:r>
        <w:rPr>
          <w:rFonts w:ascii="arial" w:eastAsia="arial" w:hAnsi="arial" w:cs="arial"/>
          <w:color w:val="000000"/>
          <w:sz w:val="20"/>
          <w:lang w:val="en-US" w:eastAsia="en-US" w:bidi="ar-SA"/>
        </w:rPr>
        <w:t xml:space="preserve"> the plaintiff developed avasular necrosis which he alleged was the result of a lengthy high dosage steroid treatment. The trial judge determined that the initial prescription of high dosage steroids for 4 to 6 weeks was appropriate and not negligent. However, the continuation of the treatment beyond that period was negligent as the medical community was aware that there was a link between long-term high dosage steroid treatment and the possibility of developing a vascular necrosis. The judge held that the steroid treatment did cause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[297] The key issue before the judge was the timing of the injury. If the injury occurred during the initial 4-6 week treatment period then the doctor was not negligent as that was an appropriate treatment. If the injury occurred after that period, the doctor was negligent as long-term high dosage steroid treatments were not medically advisable and a breach of the doctor's standard of care. While there was no scientific evidence before the judge as to the exact timing of the injury, the judge inferred that it occurred after the initial 4 to 6 week period and found the doctor had been negligent. On appeal, the court held that it was open to the trial judge to infer that the injury occurred after 4-6 weeks of treatment as there was evidence before the judge that the longer a person was treated with steroids the greater the likelihood that the patient would develop avascular necrosis.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xml:space="preserve">  [298] The evidence in </w:t>
      </w:r>
      <w:r>
        <w:rPr>
          <w:rFonts w:ascii="arial" w:eastAsia="arial" w:hAnsi="arial" w:cs="arial"/>
          <w:i/>
          <w:color w:val="000000"/>
          <w:sz w:val="20"/>
          <w:lang w:val="en-US" w:eastAsia="en-US" w:bidi="ar-SA"/>
        </w:rPr>
        <w:t>Levitt</w:t>
      </w:r>
      <w:r>
        <w:rPr>
          <w:rFonts w:ascii="arial" w:eastAsia="arial" w:hAnsi="arial" w:cs="arial"/>
          <w:color w:val="000000"/>
          <w:sz w:val="20"/>
          <w:lang w:val="en-US" w:eastAsia="en-US" w:bidi="ar-SA"/>
        </w:rPr>
        <w:t xml:space="preserve"> was capable of supporting the conclusion that the injury occurred after the doctor breached his standard of care. I have found that Dr. Markle's only breach of his standard of care was his failure to take cord blood gases. The failure to take cord blood gases obviously could not have caused the injury; instead it caused a loss of opportunity to access valuable information about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[299] To accept the plaintiffs' submission and infer causation where there has been no breach of the standard of care that could have directly affected the health of the fetus would be inconsistent with the law. It would allow the plaintiff to establish liability anytime there was any breach of the standard of care even if that breach could not have caused the injury. That is not the law. The law requires that a plaintiff prove on a balance of probabilities that one or more particular breaches caused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[300] In the event that I found that there was a breach of the standard of care that could have directly affected the health of the fetus it would have been necessary to address the differences in the evidence respecting the timing of Michael's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[301] For present purposes, suffice it to say that Dr. Arnold opined asphyxia and consequent brain injury occurred at or about the time of birth, although he agrees that there are certain variables relating to the timing of brain injury evident on radiological examination. The defendants proffered evidence that Michael's brain injury was caused by placental insufficiency that could have been present for three or four weeks, and possibly longer, before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xml:space="preserve">  [302] In my view, an analysis of cord blood gases may well have provided the definitive answers to the timing of the brain injury. If I had found other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doctors I would have found in favour of the plaintiffs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[303] But none of that is the case here. For the above reasons I find that the plaintiffs failed to establish that Dr. Markle's failure to take cord blood gases caused Michael's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Nurse Prutton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[304] I found that Nurse Prutton breached her standard of care in failing to take and chart Mrs. Lotocky's blood pressure every hour as required by LGH policy. However, that is not sufficient to establish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[305] There is no evidence before me that would support a conclusion that the medical professionals involved in Michael's birth would have taken a different course of action that would have avoided the injury to Michael if Mrs. Lotocky's blood pressure had been taken and charted ever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Schouls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[306] Dr. Schouls breached her standard of care by failing, along with Dr. Markle, to take cord blood gases. For the reasons noted earlier, in relation to Dr. Markle, I find this was not the cause of Michael's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Causation and Informed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[307] While I found that there was no lack of informed consent, I have decided to address the issue of causation in the event that I am incorrect and the test for informed consent requires medical professionals to disclose all options to a patient even though they would not deem them medically advisable or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xml:space="preserve">  [308] The test for determining causation set out in </w:t>
      </w:r>
      <w:r>
        <w:rPr>
          <w:rFonts w:ascii="arial" w:eastAsia="arial" w:hAnsi="arial" w:cs="arial"/>
          <w:i/>
          <w:color w:val="000000"/>
          <w:sz w:val="20"/>
          <w:lang w:val="en-US" w:eastAsia="en-US" w:bidi="ar-SA"/>
        </w:rPr>
        <w:t>Reibl v. Hughes, supra</w:t>
      </w:r>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Arndt v. Smith, supra,</w:t>
      </w:r>
      <w:r>
        <w:rPr>
          <w:rFonts w:ascii="arial" w:eastAsia="arial" w:hAnsi="arial" w:cs="arial"/>
          <w:color w:val="000000"/>
          <w:sz w:val="20"/>
          <w:lang w:val="en-US" w:eastAsia="en-US" w:bidi="ar-SA"/>
        </w:rPr>
        <w:t xml:space="preserve"> is a modified objective test. It requires the court to determine what the average reasonable patient in the shoes of the patient would or would not have agreed to if all the material and special risks were disclosed to the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[309] Below are my reasons for finding that even if Mrs. Lotocky was entitled to be told of all her options she would not have taken those options and has therefore failed to establish a lack of informed consent. I will start by reviewing causation as it relates to informed consent to Dr. Schouls as that affects my determination about the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Schouls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[310] Plaintiffs' counsel argued that if Mrs. Lotocky had a c-section on August 21, 1995 Michael would have been spared the rigours of labour and delivery which they say were the cause of his injuries. They argue that because Mrs. Lotocky was not given the option to proceed by c-section and was not told of the risks to the child of giving birth vaginally, Dr. Schouls did not have informed consent to proceed with a vaginal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[311] While counsel argued that Mrs. Lotocky would have had a c-section if she had been provided with that option, I find that she would not have. In order to determine what Mrs. Lotocky would have done had she been given the option, I am required to determine what a reasonable person in Mrs. Lotocky's shoes would have done. This requires me to consider her personal circumstances. As mentioned earlier Mrs. Lotocky had previously delivered two children through medically uneventful rapid vaginal births. In my view, a reasonable person who has the previous birthing experiences of Mrs. Lotocky would chose to deliver vaginally.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[312] Mrs. Lotocky's own evidence supports this conclusion. In examination in chief, Mrs. Lotocky testified that she would have consented to a c-section if it had been recommended. She did not say that she would have had a c-section regardless of her doctor's recommendation. Further, in cross-examination, she testified that she put herself in Dr. Schouls' hands and was prepared to take her advice. She testified that she trusted Dr. Schouls to do the right 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[313] Dr. Schouls testified that a c-section was not advisable. Given Mrs. Lotocky's evidence that she would have followed the advice given to her by Dr. Schouls, I find that she would not have opted for a c-section if given the choice. As a result I find that Mrs. Lotocky failed to prove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Nurse Callander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[314] The plaintiffs argue that Nurse Callander lacked informed consent when she failed to give Mrs. Lotocky the option to remain in the hospital following the NST on August 18,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[315] As I mentioned previously the plaintiffs did not specifically plead that Nurse Callander lacked informed consent and did not raise it until final arguments. They did not adduce evidence from Mrs. Lotocky about what she would have done had she been given the option to stay in the hospital on the 18th. While the law is clear that the plaintiff's view on the ultimate question of what she would have done had she been given the option is often of little help, due to the effects of hindsight, the absence of evidence from Mrs. Lotocky about what she would have done is a factor for me to consider.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[316] Again, I must consider what a reasonable person in Mrs. Lotocky's shoes would have done. The NST was conducted on a Friday. Mrs. Lotocky had two young children at home who required care. She had two prior uneventful vaginal births and had been advised by a nurse to return on August 21 for a further NST. I find that a reasonable person in those circumstances would have elected to go home for the weekend even if she had been given the option to stay in the hospital as there was nothing that would indicate a need to remain. I therefore find that causation has not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Markle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[317] On August 19 Dr. Markle reviewed the NST and called Mrs. Lotocky at home. At the time he advised her that she needed to self-monitor. He did not offer her the option to come into the LGH for further testing or for immediate delivery by c-section. The plaintiff argues that because Dr. Markle did not give Mrs. Lotocky these options, informed consent was lacking.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[318] In addition to the factors outlined in the immediately preceding section, by this point, Mrs. Lotocky had confirmation from her doctor that the repeat NST on Monday was appropriate. He provided her with self-monitoring instructions to follow until the retest. He also told her to watch for certain things and call him urgently if any of them occurred. I find that a reasonable person in this situation would not have opted for an earlier retest unless her doctor recommended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[319] I also find that Mrs. Lotocky would not have had an immediate c-section on August 19 had she been given the option. Dr. Markle is not permitted to perform c-sections. An obstetrician must perform them. Dr. Schouls testified that had she seen the NST on August 18 she would not have recommended a c-section at that time. I find that Mrs. Lotocky would not have chosen to have a c-section on August 19 unless an obstetrician recommended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[320] I find that the plaintiffs have failed to establish liability on the part of any of the defendants. The defendants are entitled to costs. Counsel may speak to the scale if they cannot agree or to any special cost considerations that need to be brought to my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MACAULAY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8" style="position:absolute;z-index:251852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2"/>
          <w:headerReference w:type="default" r:id="rId883"/>
          <w:footerReference w:type="even" r:id="rId884"/>
          <w:footerReference w:type="default" r:id="rId885"/>
          <w:headerReference w:type="first" r:id="rId886"/>
          <w:footerReference w:type="first" r:id="rId88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888" w:history="1">
        <w:r>
          <w:rPr>
            <w:rFonts w:ascii="arial" w:eastAsia="arial" w:hAnsi="arial" w:cs="arial"/>
            <w:b/>
            <w:bCs/>
            <w:i/>
            <w:color w:val="0077CC"/>
            <w:kern w:val="32"/>
            <w:sz w:val="28"/>
            <w:szCs w:val="32"/>
            <w:u w:val="single"/>
            <w:shd w:val="clear" w:color="auto" w:fill="FFFFFF"/>
            <w:lang w:val="en-US" w:eastAsia="en-US" w:bidi="ar-SA"/>
          </w:rPr>
          <w:t>Lynds v. Runge, [2002] B.C.J. No. 2565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Quesnel,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McKinnon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March 14, 15 and 18 - 21, 2002.</w:t>
      </w:r>
    </w:p>
    <w:p>
      <w:pPr>
        <w:spacing w:before="120" w:line="260" w:lineRule="atLeast"/>
        <w:jc w:val="center"/>
        <w:rPr>
          <w:lang w:val="en-US" w:eastAsia="en-US" w:bidi="ar-SA"/>
        </w:rPr>
      </w:pPr>
      <w:r>
        <w:rPr>
          <w:rFonts w:ascii="arial" w:eastAsia="arial" w:hAnsi="arial" w:cs="arial"/>
          <w:color w:val="000000"/>
          <w:sz w:val="20"/>
          <w:lang w:val="en-US" w:eastAsia="en-US" w:bidi="ar-SA"/>
        </w:rPr>
        <w:t>Written submissions: June 6 and August 1, 2002.</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November 14, 2002.</w:t>
      </w:r>
    </w:p>
    <w:p>
      <w:pPr>
        <w:spacing w:before="120" w:line="260" w:lineRule="atLeast"/>
        <w:jc w:val="center"/>
        <w:rPr>
          <w:lang w:val="en-US" w:eastAsia="en-US" w:bidi="ar-SA"/>
        </w:rPr>
      </w:pPr>
      <w:r>
        <w:rPr>
          <w:rFonts w:ascii="arial" w:eastAsia="arial" w:hAnsi="arial" w:cs="arial"/>
          <w:color w:val="000000"/>
          <w:sz w:val="20"/>
          <w:lang w:val="en-US" w:eastAsia="en-US" w:bidi="ar-SA"/>
        </w:rPr>
        <w:t>Quesnel Registry No. 10029</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[2002] B.C.J. No. 2565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2002 BCSC 1579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[2003] 3 W.W.R. 446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10 B.C.L.R. (4th) 182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119 A.C.W.S. (3d) 1050</w:t>
      </w:r>
    </w:p>
    <w:p>
      <w:pPr>
        <w:spacing w:before="120" w:line="260" w:lineRule="atLeast"/>
        <w:rPr>
          <w:lang w:val="en-US" w:eastAsia="en-US" w:bidi="ar-SA"/>
        </w:rPr>
      </w:pPr>
      <w:r>
        <w:rPr>
          <w:rFonts w:ascii="arial" w:eastAsia="arial" w:hAnsi="arial" w:cs="arial"/>
          <w:color w:val="000000"/>
          <w:sz w:val="20"/>
          <w:lang w:val="en-US" w:eastAsia="en-US" w:bidi="ar-SA"/>
        </w:rPr>
        <w:t>Between Robert Lynds and Erika Lynds, plaintiff, and Gordon Runge and Heather Runge,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(53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29" style="position:absolute;z-index:25170124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71" w:name="Keywords_41"/>
      <w:bookmarkEnd w:id="271"/>
      <w:r>
        <w:rPr>
          <w:rFonts w:ascii="arial" w:eastAsia="arial" w:hAnsi="arial" w:cs="arial"/>
          <w:b/>
          <w:color w:val="000000"/>
          <w:sz w:val="20"/>
          <w:lang w:val="en-US" w:eastAsia="en-US" w:bidi="ar-SA"/>
        </w:rPr>
        <w:t xml:space="preserve">Torts — Nuisance — Actionable nuisance, what constitutes — Injury to property, neighbouring owners — Escape of water — Defences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Requirement that duty be owed to plaintiff.</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72" w:name="Case Summary_38"/>
            <w:bookmarkEnd w:id="272"/>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the Lynds against the Runges for damages for nuisance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Lynds owned land which they used for hay and potato farming. The land was flooded each year by beavers damming the stream that ran through the Runges' property. The Lynds purchased their property in 1993, and worked with the adjacent landowner concerning the beaver problem until he sold to the Runges in the same year. Initially, joint efforts were made to address the problem. However, when Lynd obtained trapping permits and went on to the Runges' land without consulting them, relations deteriorated. The Runges refused permission to trap the beavers. The Lynds sued the Runges in nuisance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claiming that they were responsible for the flooding. The Runges argued that they were not responsible for the acts of the beavers. </w:t>
            </w:r>
            <w:r>
              <w:rPr>
                <w:lang w:val="en-US" w:eastAsia="en-US" w:bidi="ar-SA"/>
              </w:rPr>
              <w:cr/>
            </w:r>
          </w:p>
          <w:p>
            <w:pPr>
              <w:spacing w:before="120" w:line="260" w:lineRule="atLeast"/>
              <w:ind w:left="240"/>
              <w:jc w:val="both"/>
              <w:rPr>
                <w:lang w:val="en-US" w:eastAsia="en-US" w:bidi="ar-SA"/>
              </w:rPr>
            </w:pPr>
            <w:bookmarkStart w:id="273" w:name="Holdings of Court_34"/>
            <w:bookmarkEnd w:id="273"/>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There was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where the long-standing damming of the waterway occurred by a natural cause. The Runges owed no duty to the Lynds to ensure that the beavers did not build dams, and the Runges were not responsible for the flooding which occurred. </w:t>
            </w:r>
            <w:r>
              <w:rPr>
                <w:lang w:val="en-US" w:eastAsia="en-US" w:bidi="ar-SA"/>
              </w:rPr>
              <w:cr/>
            </w:r>
          </w:p>
          <w:p>
            <w:pPr>
              <w:rPr>
                <w:lang w:val="en-US" w:eastAsia="en-US" w:bidi="ar-SA"/>
              </w:rPr>
            </w:pPr>
          </w:p>
        </w:tc>
      </w:tr>
    </w:tbl>
    <w:p>
      <w:pPr>
        <w:jc w:val="both"/>
        <w:rPr>
          <w:lang w:val="en-US" w:eastAsia="en-US" w:bidi="ar-SA"/>
        </w:rPr>
      </w:pPr>
      <w:bookmarkStart w:id="274" w:name="Counsel_40"/>
      <w:bookmarkEnd w:id="274"/>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30" style="position:absolute;z-index:25175244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R.M. Stewart, for the plaintiffs. S. Hutchison, for the defendants.</w:t>
      </w:r>
      <w:r>
        <w:rPr>
          <w:lang w:val="en-US" w:eastAsia="en-US" w:bidi="ar-SA"/>
        </w:rPr>
        <w:cr/>
      </w:r>
    </w:p>
    <w:p>
      <w:pPr>
        <w:spacing w:after="240"/>
        <w:rPr>
          <w:lang w:val="en-US" w:eastAsia="en-US" w:bidi="ar-SA"/>
        </w:rPr>
      </w:pPr>
      <w:bookmarkStart w:id="275" w:name="Judgment_41"/>
      <w:bookmarkEnd w:id="275"/>
      <w:r>
        <w:pict>
          <v:line id="_x0000_s1231" style="position:absolute;z-index:251803648"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76" w:name="McKINNON J."/>
            <w:bookmarkEnd w:id="276"/>
            <w:r>
              <w:rPr>
                <w:rFonts w:ascii="arial" w:eastAsia="arial" w:hAnsi="arial" w:cs="arial"/>
                <w:b/>
                <w:color w:val="000000"/>
                <w:sz w:val="30"/>
                <w:lang w:val="en-US" w:eastAsia="en-US" w:bidi="ar-SA"/>
              </w:rPr>
              <w:t>McKINNON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parties own adjoining property in a relatively remote area southwest of Quesnel, British Columbia. Each is several miles from another neighbour. There is no telephone nor hydro service in the area.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purchased their 40 acre parcel in 1993 with the intention of developing a portion of the bottom land for commercial vegetable and hay crops. They reside year round on the property and, since purchase, have attempted to develop these commercial crops as a means to supplement income from other sources.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also purchased their property in 1993, several months after the plaintiffs' purchase. It comprises approximately 160 acres and was purchased as recreational property. It has never been the defendants' primary residence; rather they reside there at various times of the year and for various periods. They enjoy its natural state, intending to keep it that way insofar as possible.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property is mostly cleared. Much of it is high ground where the house and outbuildings are located and where they have a market garden. The land slopes down to a large flat area which could be generally described as bottom land, most of which forms part of the defendants'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own about 15 acres of this bottom land which they have cultivated for both hay and potato production. The defendants have at times produced some hay from the area but generally they have no interest in any commercial use of this land. In any event, a large portion of the area is occupied by a naturally formed pond or lake. A stream drains this pond, running across the defendants' land in a southwesterly direction to adjoining Crown land where it meanders for many miles.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Beavers, as they are wont to do, regularly erect dams at two sites on the defendants' property, one near the pond (the lakehead dam), and the other closer to the defendants' home (the main dam).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plaintiffs maintain that the actions of the beavers cause flooding to portions of their bottom land, approximately five acres, which adversely affects their ability to grow potatoes and hay. They claim damages in nuisance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seek as well injunctive relief.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defendants say that they cannot be held responsible for the actions of beavers that have come onto their property through the forces of nature. If there is "interference", it is, they say, interference by the beavers, not by them. They maintain that there is no obligation at law, either in nuisance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requiring them to remedy natural blockages.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Between 1993 and 1998 the parties enjoyed an accommodation that permitted the plaintiffs access to the defendants' property for the purpose of controlling the beaver dams. During this time, no flooding that could be attributed to the dams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Regrettably, minor problems arose that festered to a point where the plaintiffs were denied access to the dams. The plaintiffs say that when access was denied, the defendants agreed to assume responsibility for the dams but have been negligent in the discharge of that duty. They allege that in the years since 1998 there has been flooding attributed to the beaver dams for which they claim relief.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There is no issue that the plaintiffs have suffered flooding to a portion of their bottom land comprising approximately five acres. There is an issue that this has adversely affected their ability to harvest hay and potato crops but the primary issue is whether the defendants have any responsibility at law for that flooding.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primary issue requires a consideration of the law in respect to a natural water course.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HISTORICAL POSITION AT 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least to 1980, a landowner had no duty at common law to do anything with regard to a natural water course. This became know as the "natural watercourse exception" and is set out in Neath Rural District Council v. Williams, [1951] 1 K.B. 115, where at 120 the court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 landowner is not at common law under any liability to do anything with regard to a watercourse if it is a natural watercourse which flows through his land...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Edwards v. Rural Municipality of Scott, </w:t>
      </w:r>
      <w:hyperlink r:id="rId889" w:history="1">
        <w:r>
          <w:rPr>
            <w:rFonts w:ascii="arial" w:eastAsia="arial" w:hAnsi="arial" w:cs="arial"/>
            <w:i/>
            <w:color w:val="0077CC"/>
            <w:sz w:val="20"/>
            <w:u w:val="single"/>
            <w:shd w:val="clear" w:color="auto" w:fill="FFFFFF"/>
            <w:lang w:val="en-US" w:eastAsia="en-US" w:bidi="ar-SA"/>
          </w:rPr>
          <w:t>[1934] 1 W.W.R. 33</w:t>
        </w:r>
      </w:hyperlink>
      <w:r>
        <w:rPr>
          <w:rFonts w:ascii="arial" w:eastAsia="arial" w:hAnsi="arial" w:cs="arial"/>
          <w:color w:val="000000"/>
          <w:sz w:val="20"/>
          <w:lang w:val="en-US" w:eastAsia="en-US" w:bidi="ar-SA"/>
        </w:rPr>
        <w:t xml:space="preserve">, aff'd. </w:t>
      </w:r>
      <w:hyperlink r:id="rId890" w:history="1">
        <w:r>
          <w:rPr>
            <w:rFonts w:ascii="arial" w:eastAsia="arial" w:hAnsi="arial" w:cs="arial"/>
            <w:i/>
            <w:color w:val="0077CC"/>
            <w:sz w:val="20"/>
            <w:u w:val="single"/>
            <w:shd w:val="clear" w:color="auto" w:fill="FFFFFF"/>
            <w:lang w:val="en-US" w:eastAsia="en-US" w:bidi="ar-SA"/>
          </w:rPr>
          <w:t>[1934] S.C.R. 332</w:t>
        </w:r>
      </w:hyperlink>
      <w:r>
        <w:rPr>
          <w:rFonts w:ascii="arial" w:eastAsia="arial" w:hAnsi="arial" w:cs="arial"/>
          <w:color w:val="000000"/>
          <w:sz w:val="20"/>
          <w:lang w:val="en-US" w:eastAsia="en-US" w:bidi="ar-SA"/>
        </w:rPr>
        <w:t>, Martin J.A. for the Saskatchewan Court of Appeal defined "watercourse", at p. 38,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 watercourse is defined as a stream, usually flowing in a definite channel, having a bed and sides or banks and discharging itself into some other stream or body of water. It must be something more than surface water, spread over a tract of land, caused by unusual freshets or other extraordinary causes. A depression or natural draining which merely carries water in a rainy season is not a watercourse; nor is a ravine which at certain seasons facilitates the drainage of the country, a watercourse. A watercourse must have the characteristics of a flowing stream, it must have source, outlet and channels; the water need not, however, flow continually...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defendant cited Caplin v. Gill, </w:t>
      </w:r>
      <w:hyperlink r:id="rId891" w:history="1">
        <w:r>
          <w:rPr>
            <w:rFonts w:ascii="arial" w:eastAsia="arial" w:hAnsi="arial" w:cs="arial"/>
            <w:i/>
            <w:color w:val="0077CC"/>
            <w:sz w:val="20"/>
            <w:u w:val="single"/>
            <w:shd w:val="clear" w:color="auto" w:fill="FFFFFF"/>
            <w:lang w:val="en-US" w:eastAsia="en-US" w:bidi="ar-SA"/>
          </w:rPr>
          <w:t>(1977) 5 B.C.L.R. 115</w:t>
        </w:r>
      </w:hyperlink>
      <w:r>
        <w:rPr>
          <w:rFonts w:ascii="arial" w:eastAsia="arial" w:hAnsi="arial" w:cs="arial"/>
          <w:color w:val="000000"/>
          <w:sz w:val="20"/>
          <w:lang w:val="en-US" w:eastAsia="en-US" w:bidi="ar-SA"/>
        </w:rPr>
        <w:t xml:space="preserve"> (S.C.) for the proposition that in British Columbia a lower landowner is also under no obligation to accept surface water from an upper occupier of land, and that an owner has the right to prevent such water from flowing onto his land. However that statement should be read in conjunction with the comments of Berger J. at p. 117 where he determined that "...if the water...had been running in a natural channel, the defendants would have had no right to divert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Kraus v. Fech, </w:t>
      </w:r>
      <w:hyperlink r:id="rId892" w:history="1">
        <w:r>
          <w:rPr>
            <w:rFonts w:ascii="arial" w:eastAsia="arial" w:hAnsi="arial" w:cs="arial"/>
            <w:i/>
            <w:color w:val="0077CC"/>
            <w:sz w:val="20"/>
            <w:u w:val="single"/>
            <w:shd w:val="clear" w:color="auto" w:fill="FFFFFF"/>
            <w:lang w:val="en-US" w:eastAsia="en-US" w:bidi="ar-SA"/>
          </w:rPr>
          <w:t>[2002] B.C.J. No. 1002</w:t>
        </w:r>
      </w:hyperlink>
      <w:r>
        <w:rPr>
          <w:rFonts w:ascii="arial" w:eastAsia="arial" w:hAnsi="arial" w:cs="arial"/>
          <w:color w:val="000000"/>
          <w:sz w:val="20"/>
          <w:lang w:val="en-US" w:eastAsia="en-US" w:bidi="ar-SA"/>
        </w:rPr>
        <w:t>, Humphries J considered the Caplin case and Graham v. Lister (1908), 14 B.C.L.R. 211 (C.A.). Madame Justice Humphries commented at para. 29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At common law, until surface water reaches a watercourse, the lower of two proprietors owes no servitude to the upper to receive the water naturally draining off the latter's land. He is at liberty to protect his own land, and is not liable for damage which the other suffers from the exercise of such right.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cited many authorities in support of their position, but most can be distinguished either on the basis that they do not address the natural watercourse exception or because they involve circumstances in which defendants have actively altered their property. The "changes" in the case at bar were made by industrious beavers, not by the defendants, nor by anyone acting on their behalf.</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HAS THE COMMON LAW EXCEPTION BEEN ERODED IN CANADA?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"natural watercourse exception" may no longer prevail in England given the decision in Leakey v. National Trust, [1980] 1 Q.B. 485 (C.A.). Megaw L.J. (re)defined the duty owed commenting at p. 524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duty is a duty to do that which is reasonable in all the circumstances, and no more than what, if anything, is reasonable, to prevent or minimize the known risk of damage or injury to one's neighbour or to his property. The considerations with which the law is familiar are all to be taken into account in deciding whether there has been a breach of duty, and, if so, what that breach is, and whether it is causative of the damage in respect of which the claim is made. Thus, there will fall to be considered the extent of the risk; what, so far as reasonably can be foreseen, are the chances that anything untoward will happen or that any damage will be caused? What is to be foreseen as to the possible extent of the damage if the risk becomes a reality? Is it practicable to prevent, or to minimize, the happening of any damage? If it is practicable, how simple or how difficult are the measures which could be taken, how much and how lengthy work do they involve and what is the probable cost of such works? Was there sufficient time for preventive action to have been taken, by persons acting reasonably in relation to the known risk, between the time when it became known to, or should have been realized by, the defendant, and the time when the damage occurred? Factors such as these, so far as they apply in a particular case, fall to be weighed in deciding whether the defendant's duty of care requires, or required him to do anything, and, if so, what.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Leakey was applied by the majority in Hayes v. Davis </w:t>
      </w:r>
      <w:hyperlink r:id="rId893" w:history="1">
        <w:r>
          <w:rPr>
            <w:rFonts w:ascii="arial" w:eastAsia="arial" w:hAnsi="arial" w:cs="arial"/>
            <w:i/>
            <w:color w:val="0077CC"/>
            <w:sz w:val="20"/>
            <w:u w:val="single"/>
            <w:shd w:val="clear" w:color="auto" w:fill="FFFFFF"/>
            <w:lang w:val="en-US" w:eastAsia="en-US" w:bidi="ar-SA"/>
          </w:rPr>
          <w:t>(1991), 54 B.C.L.R. (2d) 350</w:t>
        </w:r>
      </w:hyperlink>
      <w:r>
        <w:rPr>
          <w:rFonts w:ascii="arial" w:eastAsia="arial" w:hAnsi="arial" w:cs="arial"/>
          <w:color w:val="000000"/>
          <w:sz w:val="20"/>
          <w:lang w:val="en-US" w:eastAsia="en-US" w:bidi="ar-SA"/>
        </w:rPr>
        <w:t xml:space="preserve"> (C.A.), leave to appeal to the Supreme Court of Canada refused </w:t>
      </w:r>
      <w:hyperlink r:id="rId894" w:history="1">
        <w:r>
          <w:rPr>
            <w:rFonts w:ascii="arial" w:eastAsia="arial" w:hAnsi="arial" w:cs="arial"/>
            <w:i/>
            <w:color w:val="0077CC"/>
            <w:sz w:val="20"/>
            <w:u w:val="single"/>
            <w:shd w:val="clear" w:color="auto" w:fill="FFFFFF"/>
            <w:lang w:val="en-US" w:eastAsia="en-US" w:bidi="ar-SA"/>
          </w:rPr>
          <w:t>[1991] S.C.C.A. No. 208</w:t>
        </w:r>
      </w:hyperlink>
      <w:r>
        <w:rPr>
          <w:rFonts w:ascii="arial" w:eastAsia="arial" w:hAnsi="arial" w:cs="arial"/>
          <w:color w:val="000000"/>
          <w:sz w:val="20"/>
          <w:lang w:val="en-US" w:eastAsia="en-US" w:bidi="ar-SA"/>
        </w:rPr>
        <w:t>. The case did not involve a natural water course but rather trees uprooted and blown down onto a neighbour's property during a windstorm. Legg J.A. summarized Leakey at pp. 357-358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Leakey the defendant owned and occupied land consisting of a conical shaped hill composed of soil that made it perilously liable to cracking and slipping as a result of weathering. The plaintiffs owned two houses at the base of the hill which rose in a steep bank from a narrow strip of land behind the houses so that the bank formed part of the defendant's property. After a prolonged summer drought followed by unusually wet autumn weather, the plaintiffs pointed out to the defendant that a large crack had opened up in the bank above the plaintiff's houses and that there was a grave danger of a collapse of the bank on to the houses.</w:t>
      </w:r>
    </w:p>
    <w:p>
      <w:pPr>
        <w:spacing w:before="120" w:line="260" w:lineRule="atLeast"/>
        <w:ind w:left="720"/>
        <w:rPr>
          <w:lang w:val="en-US" w:eastAsia="en-US" w:bidi="ar-SA"/>
        </w:rPr>
      </w:pPr>
      <w:r>
        <w:rPr>
          <w:rFonts w:ascii="arial" w:eastAsia="arial" w:hAnsi="arial" w:cs="arial"/>
          <w:color w:val="000000"/>
          <w:sz w:val="20"/>
          <w:lang w:val="en-US" w:eastAsia="en-US" w:bidi="ar-SA"/>
        </w:rPr>
        <w:t>Some weeks later there was a large fall from the bank on to the land of the plaintiff extending up against one of the houses and putting the house at risk of further falls. The plaintiffs asked the defendant to clear away the fallen rock and debris but the defendant refused. The plaintiffs brought action for the cost of cleaning away the debris. The trial judge held the defendant liable in nuisance [1978] Q.B. 849, [1978] 3 All E.R. 234. The Court of Appeal dismissed the defendant's appeal on the basis that the defendant owed a duty, if it knew or ought to have known of the risk of encroachment, to do what was reasonable in all the circumstances to prevent the risk of the known or foreseeable damage or injury to the other person on its property and was liable in nuisance if it did not.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Insofar as a natural water course is concerned, there is a dearth of authority in Canada. In Nykyforak v. Hillsburg (Rural Municipality (2001)), </w:t>
      </w:r>
      <w:hyperlink r:id="rId895" w:history="1">
        <w:r>
          <w:rPr>
            <w:rFonts w:ascii="arial" w:eastAsia="arial" w:hAnsi="arial" w:cs="arial"/>
            <w:i/>
            <w:color w:val="0077CC"/>
            <w:sz w:val="20"/>
            <w:u w:val="single"/>
            <w:shd w:val="clear" w:color="auto" w:fill="FFFFFF"/>
            <w:lang w:val="en-US" w:eastAsia="en-US" w:bidi="ar-SA"/>
          </w:rPr>
          <w:t>158 Man. R. (2d) 298</w:t>
        </w:r>
      </w:hyperlink>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2001 MBQB 227</w:t>
        </w:r>
      </w:hyperlink>
      <w:r>
        <w:rPr>
          <w:rFonts w:ascii="arial" w:eastAsia="arial" w:hAnsi="arial" w:cs="arial"/>
          <w:color w:val="000000"/>
          <w:sz w:val="20"/>
          <w:lang w:val="en-US" w:eastAsia="en-US" w:bidi="ar-SA"/>
        </w:rPr>
        <w:t>, the plaintiff argued that Leakey applied thus eliminating the exception. However, the trial judge concluded that it was unnecessary to decide that issue as the defendants had not brought themselves within the application of Leakey.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Canadian Tort Law, 7th ed, (Markham, Ont.: Butterworths, 2001), Mr. Justice Linden, commenting upon the application of Leakey in Canada, states at p. 539:</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Indeed, it may now be the law in England, at least, that there is a duty imposed upon occupiers to safeguard their neighbours against hazards arising on the occupier's land, whether by human agency or natural causes.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 footnote 172 to that statement, the author goes on to make the following comment: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It may be that an exception still exists with regard to water. It still appears to be a generally-accepted principle that there is an immunity from damage caused by water, naturally on the land, whose flow is not interfered with. See Neath Rural District Council v. Williams, [1951] 1 K.B. 115; Loring v. Brightwood Golf &amp; Country Club Ltd. </w:t>
      </w:r>
      <w:hyperlink r:id="rId896" w:history="1">
        <w:r>
          <w:rPr>
            <w:rFonts w:ascii="arial" w:eastAsia="arial" w:hAnsi="arial" w:cs="arial"/>
            <w:i/>
            <w:color w:val="0077CC"/>
            <w:sz w:val="20"/>
            <w:u w:val="single"/>
            <w:shd w:val="clear" w:color="auto" w:fill="FFFFFF"/>
            <w:lang w:val="en-US" w:eastAsia="en-US" w:bidi="ar-SA"/>
          </w:rPr>
          <w:t>(1974), 44 D.L.R. (3d) 161</w:t>
        </w:r>
      </w:hyperlink>
      <w:r>
        <w:rPr>
          <w:rFonts w:ascii="arial" w:eastAsia="arial" w:hAnsi="arial" w:cs="arial"/>
          <w:color w:val="000000"/>
          <w:sz w:val="20"/>
          <w:lang w:val="en-US" w:eastAsia="en-US" w:bidi="ar-SA"/>
        </w:rPr>
        <w:t xml:space="preserve"> (N.S.C.A.) 270233 Ont. Ltd. v. Weall and Cullen Nurseries Ltd. </w:t>
      </w:r>
      <w:hyperlink r:id="rId897" w:history="1">
        <w:r>
          <w:rPr>
            <w:rFonts w:ascii="arial" w:eastAsia="arial" w:hAnsi="arial" w:cs="arial"/>
            <w:i/>
            <w:color w:val="0077CC"/>
            <w:sz w:val="20"/>
            <w:u w:val="single"/>
            <w:shd w:val="clear" w:color="auto" w:fill="FFFFFF"/>
            <w:lang w:val="en-US" w:eastAsia="en-US" w:bidi="ar-SA"/>
          </w:rPr>
          <w:t>(1993), 17 C.C.L.T. (2d) 176</w:t>
        </w:r>
      </w:hyperlink>
      <w:r>
        <w:rPr>
          <w:rFonts w:ascii="arial" w:eastAsia="arial" w:hAnsi="arial" w:cs="arial"/>
          <w:color w:val="000000"/>
          <w:sz w:val="20"/>
          <w:lang w:val="en-US" w:eastAsia="en-US" w:bidi="ar-SA"/>
        </w:rPr>
        <w:t xml:space="preserve"> (Ont. Gen. Div.) (per Spence J.)</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Professor Fleming in his text, The Law of Torts, 9th ed. (Sydney: LBC Information Services, 1998), offered the following comment at pp. 480-481 about the natural watercourse exception:</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It is still unclear whether the preceding reform will also affect liability for water, which in the past tended in many respects to go its own way. The older cases certainly recognized an immunity for damage by water that was naturally on the land and whose flow had not been interfered with, such for example as the natural and gradual silting up of a river or the collection of rainwater in a gravel pit. But doubts have been raised concerning their authority in the future.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Professor Fleming said he was moved to express "doubts" about the older authorities on the strength of the Leakey decision. This uncertainty is evident in other English cases decided since Leakey.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Home Brewery Co. Limited v. William Davis &amp; Co. (Leicester), [1987] Q.B. 339 Mr. Piers Ashworth Q.C., sitting as a deputy High Court Judge held, at 346:</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On the other hand, an occupier is under no obligation to prevent water that has come naturally on to his land and has not been artificially retained there or artificially diverted from passing naturally to his neighbour's land: see Smith v. Kenrick (1849) 7 C.B. 515. Indeed, in that case it was held that the occupier was not liable even if he had himself removed the barrier between his and his neighbour's land, thereby permitting the water to flow naturally from one land to the other. However, it is perhaps doubtful whether the principle laid down in that case is still good law in its widest application, or can stand with the decision of the Court of Appeal in Leakey v. National Trust for Places of Historic Interest or Natural Beauty [1980] Q.B. 485: see in particular, p. 520 per Megaw L.J.</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Others offer a more definitive view of the effects of Leakey such as the comments of A.M. Dugdale, ed. Found in, Clerk &amp; Lindsell on Torts, 18th ed. (London): Sweet &amp; Maxwell, 2000) at paras. 19-82. He suggests that at least in England, Leakey has overruled the natural watercourse exception found in Neath RDC v. Williams. He states: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 riparian proprietor is under a duty of care, as defined in Leakey v. National Trust, to keep the bed of the stream clear, by cutting weeds which have grown in the bed or by removing silt or stones which have accumulated.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 more conservative view of the effects of Leakey in Canada can be found in Nicholls v. Hennion </w:t>
      </w:r>
      <w:hyperlink r:id="rId898" w:history="1">
        <w:r>
          <w:rPr>
            <w:rFonts w:ascii="arial" w:eastAsia="arial" w:hAnsi="arial" w:cs="arial"/>
            <w:i/>
            <w:color w:val="0077CC"/>
            <w:sz w:val="20"/>
            <w:u w:val="single"/>
            <w:shd w:val="clear" w:color="auto" w:fill="FFFFFF"/>
            <w:lang w:val="en-US" w:eastAsia="en-US" w:bidi="ar-SA"/>
          </w:rPr>
          <w:t>(1989), 49 C.C.L.T. 105</w:t>
        </w:r>
      </w:hyperlink>
      <w:r>
        <w:rPr>
          <w:rFonts w:ascii="arial" w:eastAsia="arial" w:hAnsi="arial" w:cs="arial"/>
          <w:color w:val="000000"/>
          <w:sz w:val="20"/>
          <w:lang w:val="en-US" w:eastAsia="en-US" w:bidi="ar-SA"/>
        </w:rPr>
        <w:t xml:space="preserve"> (Ont. H.C.J.). In that case Maloney J. held that it is not entirely clear that Leakey is good law in Canada. That case considered the existence of a duty on a government landowner to investigate Crown lands for beaver dams and to ensure that those dams bear no threat to the public. The washout of a highway had been caused by the breakage of beaver dams. The court went on to find that there was not enough evidence before the court on the issue of expense and effectiveness of inspection for beaver dams on land adjoining highways to determine whether the scope of duty of the Crown landowner was established, if Leakey were found to apply.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Perhaps the Canadian authority most directly on point is 270233 Ontario Ltd. v. Weall and Cullen Nurseries Ltd. </w:t>
      </w:r>
      <w:hyperlink r:id="rId897" w:history="1">
        <w:r>
          <w:rPr>
            <w:rFonts w:ascii="arial" w:eastAsia="arial" w:hAnsi="arial" w:cs="arial"/>
            <w:i/>
            <w:color w:val="0077CC"/>
            <w:sz w:val="20"/>
            <w:u w:val="single"/>
            <w:shd w:val="clear" w:color="auto" w:fill="FFFFFF"/>
            <w:lang w:val="en-US" w:eastAsia="en-US" w:bidi="ar-SA"/>
          </w:rPr>
          <w:t>(1993), 17 C.C.L.T. (2d) 176</w:t>
        </w:r>
      </w:hyperlink>
      <w:r>
        <w:rPr>
          <w:rFonts w:ascii="arial" w:eastAsia="arial" w:hAnsi="arial" w:cs="arial"/>
          <w:color w:val="000000"/>
          <w:sz w:val="20"/>
          <w:lang w:val="en-US" w:eastAsia="en-US" w:bidi="ar-SA"/>
        </w:rPr>
        <w:t xml:space="preserve"> (Ont. Gen. Div.), aff'd </w:t>
      </w:r>
      <w:hyperlink r:id="rId899" w:history="1">
        <w:r>
          <w:rPr>
            <w:rFonts w:ascii="arial" w:eastAsia="arial" w:hAnsi="arial" w:cs="arial"/>
            <w:i/>
            <w:color w:val="0077CC"/>
            <w:sz w:val="20"/>
            <w:u w:val="single"/>
            <w:shd w:val="clear" w:color="auto" w:fill="FFFFFF"/>
            <w:lang w:val="en-US" w:eastAsia="en-US" w:bidi="ar-SA"/>
          </w:rPr>
          <w:t>(1997), 41 C.C.L.T. (2d) 239</w:t>
        </w:r>
      </w:hyperlink>
      <w:r>
        <w:rPr>
          <w:rFonts w:ascii="arial" w:eastAsia="arial" w:hAnsi="arial" w:cs="arial"/>
          <w:color w:val="000000"/>
          <w:sz w:val="20"/>
          <w:lang w:val="en-US" w:eastAsia="en-US" w:bidi="ar-SA"/>
        </w:rPr>
        <w:t xml:space="preserve"> (Ont. C.A.). In this case, the plaintiff had experienced run-off water, mud and silt from the defendant's farm onto the plaintiff's golf course necessitating substantial clean-up costs. Neither party had disputed that the natural use of land represents an exception to, or enjoys immunity from, the ordinary principles of nuisance. As a result, the court found that the plaintiff could not recover in nuisance because the defendant's use of the land fell under the natural user exception established in Rylands v. Fletcher (1868), L.R. 3 H.OL. 330. But turning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court went on, at para. 64 to ask whether "it is coherent to conclude that a party has no liability (in nuisance) for natural waterflow over a neighbour's property but may have a duty of care in respect of that waterflow?" The court suggested that the defendant could be found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subject to a modified duty of care. Spence J. held, at para. 72:</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To hold that an owner of land can be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damage caused by natural waterflow from the property of the owner affected by the owner's natural use of the property would potentially eliminate, for all practical purposes, the natural user exception to the law of nuisance with respect to natural waterflow. On the other hand, to preclude entirely the possibility of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might seem unduly harsh. Certainly it would seem incompatible with any view of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 law of general application concerning the civil responsibilities of persons in our society to one another. Some assistance in developing an intermediate position may be found in the Nicholls case above concerning the degree of the precautions to be taken, and in the suggestions in the cases on nuisance that in some cases it is necessary to recognize a "give and take" or "live and let live" principle. In the light of the status of the natural user exception and the other considerations, it seems reasonable that the defendant in this case should be held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at all, only if it has failed to meet a standard of care which is modified or adjusted in some measure to take account of the natural user exemption. Thus, I would suggest that the defendant should not be liable for the alleged damage to the plaintiff's property unless and until it was in position to foresee damage of that type. I consider that the defendant was not in that position until after it was brought to the attention of one of his employees by Mr. Diggins. I would also suggest that the defendant's responsibility at that stage was to take, in a reasonably timely way, those steps that are consistent with the proper care and maintenance of its own property and do not involve a fundamental or substantial change in use. With respect to the prospective costs of such measures to be taken, I think it is necessary to take into account the circumstances of the plaintiff's property and the measures that may be available to be taken on that property and their comparative cost. It is appropriate to expect the adjacent owner to undertake some part of the cost of the measures, at least where it can be said that circumstances on its property contributed to the damage. This is consistent with the principle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an injured party. With respect to the continuing incremental damage from the run-off which it is said still occurs from the defendant's property, some additional considerations should come into play. That damage should be clearly attributable in large measure to the defendant's conduct and should be materially greater than the damage that would be reasonably expected if the defendant's land were vacant or were used in a way that was known not to produce the injurious consequences complained of.</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FACTS IN THE CASE AT BAR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Ernst Geier testified that he sold the land to the defendants, having owned it from 1990 to 1993. He said that when he purchased the property the lower land was flooded and it was evident that beavers were causing the problem. He described the main dam as "huge", 20 to 30 meters in length and clearly visible from the main house.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Geier opened up this dam with the help of Paul Kalinsky. Mr. Kalinsky and his wife Maxine then owned the plaintiffs' property. Mr. Geier stated that, with the help of Mr. Kalinsky, they inserted a 4x4x2 foot steel culvert to drain the bottom land as he hoped to grow hay there.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Initially, Mr. Geier said that he just kept pulling the dam about every ten days until he got advice that a culvert might alleviate this onerous task. According to Mr. Geier (and others), beaver are extremely industrious animals that begin work immediately upon hearing the sound of flowing water.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Geier said that his efforts "definitely" got the lake to a normal level. The area around the lake dried up and he believes it also dried up on Kalinsky's land. According to Mr. Geier there was no problem with flooding in the years 1990 to 1992 for during that time, often with the help of the Kalinskys, he kept the dams open and the "problem" under control.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Geier did not live on this land. He said that his wife was "totally opposed" to living there because "there was no hydro" but he was frequently at the property and active in controlling flooding caused by beaver. However, eventually, given his wife's position he decided to sell and was introduced to the Runges.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Sometime before selling his property and probably in the summer of 1993, Mr. Geier said that he learned a trapper had been on his property, trapping beaver. On checking he discovered that the plaintiffs had obtained approval from the Conservation office in Williams Lake to trap beaver and it was they who sent the trapper onto his property. Apart from being annoyed that he was not consulted, Mr. Geier did not pursue the issue and soon thereafter sold to the Runges.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Geier stated that, although he walked the property with the Runges once or twice, he could not recall any discussion about flooding or beaver activity. He said that the dams were clearly visible to anyone who examined the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Heather Runge said that Mr. Geier had told them of the beaver dams prior to their purchase but that it was just "general" talk. She recalled that he mentioned he kept the dams open so that the fields did not flood. According to Mrs. Runge, although they had visited the Lynds prior to purchase, it was merely to obtain another view of the property they intended to purchase and there was no discussion about flooding or beaver dam control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defendants resided in Vernon at the time of the purchase and for the rest of 1993 and all of 1994 they visited the property irregularly and mostly in good weather. It was during 1994 that they learned Mr. Lynds was coming onto their property to control the beaver. They did not object and actually gave the plaintiff's permission to do this work each year to 1998.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Although no disagreements arose until 1998, I am satisfied that over the course of several years, commencing in about 1996, the relationship between the parties was deteriorating. The defendants were spending more time on the property by then. They were taking a much more active interest in their land than they had in the early years and they did not like what they perceived as cavalier treatment they were receiving from the plaintiffs.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Robert Lynds had obtained permits from the Conservation office in Williams Lake to trap beaver for several of the years between 1994 and 1997 without any consultation with the defendants. He conceded that on occasion he mislead the officer into believing that the permits related to his land, when in fact they related to the defendant's land. He characterized this as "a little bit sleazy" but justified it by commenting that he had permission to come onto the defendants' land.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defendants came to resent Mr. Lynds coming onto their property with his tractor at any time he felt he needed to attend to the dams and some words were exchanged. A chance meeting in Quesnel between Erika Lynds and the defendants resulted in Gordon Runge prohibiting Robert Lynds from accessing the dams with his tractor. Upon hearing of this restriction, Robert Lynds attended the Runge farm house where an unpleasant meeting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Although Mr. Lynds denies waving his trapping permit in front of Mr. Runge, I accept that he did so. Words were exchanged and Mr. Runge then flatly denied the plaintiffs further permission to enter upon the land. Thereafter, the defendants employed different trappers and workers to control the beaver and the dams which the plaintiffs claim was entirely inadequate to control flooding.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at least two occasions after being banned, Robert Lynds admitted he came onto the defendant's property. He complained that the defendant's son Jason threatened on one occasion to shoot him. Threats of lawsuits were bandied about and unpleasant comments were spoken and written by both sides.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Consequent upon what the plaintiffs allege was the failure or refusal of the defendants to adequately control the beaver dams, their bottom land flooded in the spring and summer of 1998, causing loss of potato and hay crops. There was also flooding in 1999 causing loss of hay crop in particular.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Considerable evidence was given about the actual work done by persons hired by the defendants and in both cross examination and submissions it was suggested that this work was grossly inadequate to solve the problem.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plaintiffs claim $76,423 for their lost crops and for remedial work they say would be necessary to control flooding. They also seek an injunction to restrain the defendants from further flooding of the plaintiffs' land and "an order that the Defendants forthwith clear the obstructions in the water course and to keep same clear at their expense".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my respectful view, what the plaintiffs are seeking to do is to co-opt the defendants into participating in a land reclamation project in which the defendants have not the slightest interest.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Lynds bought their property in the hopes of growing commercial crops and indeed were able to do so on higher land. The bottom land had been the source of some problem for Mr. Geier and Mr. Kalinsky who then owned it before the litigants at bar. They cooperatively attempted to control the dams in hopes of creating hay meadows but without much success.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plaintiffs simply hoped that in time they could reclaim these bottom acres and make them productive. They might have been able to do so had they secured the cooperation of the defendants in some scheme that was to their mutual satisfaction and advantage. There are many examples of cooperative neighbours who secure agreements and easements designed to achieve a common goal.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Alas, at bar, there was no common goal. The Runges wanted to retain the land in its natural state; the Lynds wanted to drain it. The Leakey case does not assist the plaintiffs. Assuming that case can be applied to Canada, one cannot equate the Lynds' 5 acres of bottom land with the houses under threat in Leakey.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To accede to the plaintiffs' claims would, with all due respect, create great havoc in a country like Canada where beaver abound. A developer, eyeing some swampy land bordering either private or Crown land, could enforce an expensive and burdensome duty upon such an owner with no benefit whatever to that owner.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beaver dams at bar are not the result of a gradual worsening of a "beaver problem". Rather, the dams, absent the years of human intervention, were a yearly and persistent occurrence of relatively uniform severity. This contrasts with the slide in Leakey which was not a "regular occurrence". Rather, it was an exceptional event, albeit of natural causes.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When the plaintiffs purchased their property in 1993, they set about to reclaim the bottom lands and for a few years had the co-operation of their neighbour. Gradually, the plaintiffs came to rely upon some notion of duty owed them by the defendants and they made increasing demands which ultimately caused the defendants to stop their cooperative efforts.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plaintiffs' project to reclaim the land was done without securing the necessary ownership of the adjoining land or agreement with the owner. Rather, the plaintiffs chose to rely upon some notion of "duty" resting upon an uncooperative neighbour. In my respectful view, there is no present obligation upon a landowner in Canada to alter a watercourse from its present and longstanding state in order that an adjacent landowner may make use of lands that are subject to historical seasonal flooding.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plaintiffs' claims in nuisance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dismissed. Costs follow the event.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McKINNON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8538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00"/>
          <w:headerReference w:type="default" r:id="rId901"/>
          <w:footerReference w:type="even" r:id="rId902"/>
          <w:footerReference w:type="default" r:id="rId903"/>
          <w:headerReference w:type="first" r:id="rId904"/>
          <w:footerReference w:type="first" r:id="rId90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06" w:history="1">
        <w:r>
          <w:rPr>
            <w:rFonts w:ascii="arial" w:eastAsia="arial" w:hAnsi="arial" w:cs="arial"/>
            <w:b/>
            <w:bCs/>
            <w:i/>
            <w:color w:val="0077CC"/>
            <w:kern w:val="32"/>
            <w:sz w:val="28"/>
            <w:szCs w:val="32"/>
            <w:u w:val="single"/>
            <w:shd w:val="clear" w:color="auto" w:fill="FFFFFF"/>
            <w:lang w:val="en-US" w:eastAsia="en-US" w:bidi="ar-SA"/>
          </w:rPr>
          <w:t>Rainer v. New Westminster (City), [2016] B.C.J. No. 2614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G.P. Weatherill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22,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9,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S128823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2614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2301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274 A.C.W.S. (3d) 176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59 M.P.L.R. (5th) 309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CarswellBC 3514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Mark Joseph Rainer, Plaintiff, and Corporation of the City of New Westminster and Canadian National Railway Company,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3"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7" w:name="Keywords_42"/>
      <w:bookmarkEnd w:id="277"/>
      <w:r>
        <w:rPr>
          <w:rFonts w:ascii="arial" w:eastAsia="arial" w:hAnsi="arial" w:cs="arial"/>
          <w:b/>
          <w:color w:val="000000"/>
          <w:sz w:val="20"/>
          <w:lang w:val="en-US" w:eastAsia="en-US" w:bidi="ar-SA"/>
        </w:rPr>
        <w:t xml:space="preserve">Municipal law — Liabilities of municipality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Types — Property maintenance and operation — Nuisance — Summary trial application by defendant City to dismiss plaintiff's claim allowed — Plaintiff fell from bicycle and broke hip after riding across CNR railway tracks within City — Plaintiff sued CNR and City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public nuisance — Claims against City were not sustainable — City met duty to warn of hazard — There was no evidence of any defect, or that City was aware of any defect — Agreement between City and CNR did not require City to inspect and maintain tracks — Absence of any element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precluded success on nuisance claim.</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8" w:name="Case Summary_39"/>
            <w:bookmarkEnd w:id="27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Summary trial application by the defendant, the City of New Westminster, for dismissal of the claim by the plaintiff, Rainer, as against it. In February 2010, the plaintiff fell from his bicycle while riding across CNR railway tracks within the City. He suffered a broken hip. The plaintiff was an experienced bicycle racer. He sued the City and CNR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public nuisance. The City submitted the plaintiff's claims against it were unsustainable. The City argued that no liability could be imputed on the basis of nuisance, as it did not own the railway tracks. The City denied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basis it provided proper warning of any hazards associated with the tracks. The City accordingly sought dismissal of the plaintiff's action. The plaintiff claimed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basis of breach of the duty to warn, and that the design of the tracks represented an unreasonable interference with access, thereby constituting a nuisance.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9" w:name="Holdings of Court_35"/>
            <w:bookmarkEnd w:id="279"/>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photographic evidence of the tracks did not provide an explanation for the cause of the plaintiff's fall. The plaintiff did not adduce sufficient evidence to establish the City failed to meet its standard of care. The City met its duty to warn of the presence of the tracks crossing the street at an angle. The warning sign provided adequate notice and was viewed by the plaintiff. Even if there was a defect with the tracks, there was no evidence the City knew or ought to have known of the defect, such that any additional warning was required. The agreement between CNR and the City did not impose a duty on the City to inspect and maintain the tracks. The absence of any element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precluded success on the nuisance claim. The plaintiff's claim was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0" w:name="Legislation Cited_29"/>
      <w:bookmarkEnd w:id="28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4"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9-7, Rule 9-7(2)(a), Rule 9-7(15)(a)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1" w:name="Counsel_41"/>
      <w:bookmarkEnd w:id="28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5" style="position:absolute;z-index:251804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J.D. McGreevy.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Corporation of the City of New Westminster: J.M. Poole.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Canadian National Railway Company: E.H. Irving.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2" w:name="Judgment_42"/>
      <w:bookmarkEnd w:id="282"/>
      <w:r>
        <w:pict>
          <v:line id="_x0000_s1236" style="position:absolute;z-index:2518548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3" w:name="G.P. WEATHERILL J."/>
            <w:bookmarkEnd w:id="283"/>
            <w:r>
              <w:rPr>
                <w:rFonts w:ascii="arial" w:eastAsia="arial" w:hAnsi="arial" w:cs="arial"/>
                <w:b/>
                <w:color w:val="000000"/>
                <w:sz w:val="30"/>
                <w:lang w:val="en-US" w:eastAsia="en-US" w:bidi="ar-SA"/>
              </w:rPr>
              <w:t>G.P. WEATHERILL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Corporation of the City of New Westminster ("City") brings a summary trial application to dismiss the plaintiff's claim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is suing the City and another defendant, Canadian National Railway Company ("CNR") for damages in public nuisance and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out of a February 16, 2010 incident where he fell while riding his bicycle across the CNR railway tracks that cross Front Street in the City ("Tracks").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City says the plaintiff's claims simply cannot stand. It argues that it cannot be liable in nuisance as a matter of law, because it does not own the Tracks. The City also denies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its part because it gave proper warning of any hazards on the Tracks. Accordingly, the City says that its application to dismiss the plaintiff's action should be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maintains his claims against the City have merit. He argues that the City was negligent because the Tracks were hazardous and the City failed in its duty to properly warn about that hazard. He also says the design and condition of the Tracks was an unreasonable interference with a public right of access and constituted a nuisance. As a result, he says the application should be dismissed and that his claims should be allowed to proceed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has been riding bicycles competitively since 2006. He has competed in over 200 bicycle races and is experienced in riding bicycles over railway track crossings at various angles.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1916, the City permitted the construction of the Tracks with conditions including that the Tracks were to be flush with the road surface. The construction of the Tracks was to be overseen by the City's representatives.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evidence is an unsigned draft agreement between the City and the Canadian Northern Pacific Railway (assumed to be the predecessor of the CNR) dated August 16, 1916, that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railway company shall have the right to cross Front Street ... on the following terms and conditions which are agreed to by the railway company:</w:t>
      </w:r>
    </w:p>
    <w:p>
      <w:pPr>
        <w:numPr>
          <w:numId w:val="1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rails to be level with the pavement or surface of roadway and no super-elevation of outside rails to the permitted;</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 works to be carried out under the supervision of the City Engineer of this city and the street to be left in good condition by the railway company to the satisfaction of the said Engineer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City installed a series of yellow and black warning signs for traffic approaching the Tracks from either direction. The sign for eastbound traffic indicated that the Tracks ahead crossed Front Street at an angle ("Warning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the morning of February 16, 2010, the plaintiff was riding his bicycle eastbound on Front Street on his way to Coquitlam. As he crossed the Tracks, his front wheel got caught in the eastern-most (the second) set of rails of the Tracks causing him to fall off his bicycle and break his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Following his discharge from hospital, the plaintiff returned to the scene and took photographs showing the condition of the Tracks ("Plaintiff's Photographs"). One photograph shows missing concrete near the south side of the western-most track. Another apparently shows a piece of rubber flange that is missing.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his examination for discovery the plaintiff confirmed that:</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he approached the Tracks he saw the Warning Sign. He knew the Tracks were present and that they crossed Front Street at an angle; and due to the angle of the Tracks he would have to veer left in order to minimize the effect of the Tracks on his tires;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first saw the Tracks when he was approximately 45 feet away from them;</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never ridden over the Tracks before;</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stopped pedaling before crossing the Tracks but did not brake;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approximately 15 feet away from the Tracks he veered towards the centre of the road so he could approach the Tracks at an angle perpendicular to his direction of travel;</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crossed the first set of rails of the Tracks without incident;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his front wheel crossed the second set of rails of the Tracks, his front wheel fell into some sort of hole causing the handle bars to twist in his hands and for him to fall;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crossed railway crossings that were at odd angles to his direction of travel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evidence about the City's involvement with the Tracks is contained in an affidavit of Mr. Emanules, the City's Engineering Department Manager of Design and Construction. Mr. Emanules deposes that the Tracks are owned and operated by the CNR. He said that in the 30 years that he has been employed by the City it has always been understood, between the City and the CNR, that the CNR is responsible for inspection and maintenance of the Tracks and an area extending 18 inches into the roadway on either side of the Tracks.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Further, Mr. Emanules deposed that the City does not get involved in anything to do with the maintenance of the Tracks and that if problems are reported to the City or detected by the City they are passed along to the CNR.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CNR admits ownership, care and control of the Tracks. That admission is contained in a Notice to Admit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railway tracks where the bicycle accident ... took place are contained within a right of way area crossing Front Street that is owned by the Canadian National Railway Company such that ownership, care and control of those railway tracks and an area 18 inches on either side of those railway tracks where they cross Front Street in the city of New Westminster lies solely with the defendant Canadian National Railway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Emanules also deposed that well before February 16, 2010, the City posted the Warning Sign on Front Street providing notice of the Tracks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Emanules said he is unaware of any complaints about the Warning Sign being deficient.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is no evidence that the City was aware of any issues with the Tracks, including having information about the Tracks being hazardous or of any prior accident or incident involving the Tracks.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City's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City essentially argues that neither of the plaintiff's claims, in nuisance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have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City argues that it cannot be liable to the plaintiff in nuisance because it does not own the Tracks. As a matter of law, the City cannot be held liable in nuisance for claims relating to property it does not own: </w:t>
      </w:r>
      <w:r>
        <w:rPr>
          <w:rFonts w:ascii="arial" w:eastAsia="arial" w:hAnsi="arial" w:cs="arial"/>
          <w:i/>
          <w:color w:val="000000"/>
          <w:sz w:val="20"/>
          <w:lang w:val="en-US" w:eastAsia="en-US" w:bidi="ar-SA"/>
        </w:rPr>
        <w:t>Ryan v. Victoria (City of)</w:t>
      </w:r>
      <w:r>
        <w:rPr>
          <w:rFonts w:ascii="arial" w:eastAsia="arial" w:hAnsi="arial" w:cs="arial"/>
          <w:color w:val="000000"/>
          <w:sz w:val="20"/>
          <w:lang w:val="en-US" w:eastAsia="en-US" w:bidi="ar-SA"/>
        </w:rPr>
        <w:t xml:space="preserve">, </w:t>
      </w:r>
      <w:hyperlink r:id="rId907" w:history="1">
        <w:r>
          <w:rPr>
            <w:rFonts w:ascii="arial" w:eastAsia="arial" w:hAnsi="arial" w:cs="arial"/>
            <w:i/>
            <w:color w:val="0077CC"/>
            <w:sz w:val="20"/>
            <w:u w:val="single"/>
            <w:shd w:val="clear" w:color="auto" w:fill="FFFFFF"/>
            <w:lang w:val="en-US" w:eastAsia="en-US" w:bidi="ar-SA"/>
          </w:rPr>
          <w:t>[1994] B.C.J. No. 1202</w:t>
        </w:r>
      </w:hyperlink>
      <w:r>
        <w:rPr>
          <w:rFonts w:ascii="arial" w:eastAsia="arial" w:hAnsi="arial" w:cs="arial"/>
          <w:color w:val="000000"/>
          <w:sz w:val="20"/>
          <w:lang w:val="en-US" w:eastAsia="en-US" w:bidi="ar-SA"/>
        </w:rPr>
        <w:t xml:space="preserve"> (S.C.) at para. 181, rev'd on other grounds </w:t>
      </w:r>
      <w:hyperlink r:id="rId908" w:history="1">
        <w:r>
          <w:rPr>
            <w:rFonts w:ascii="arial" w:eastAsia="arial" w:hAnsi="arial" w:cs="arial"/>
            <w:i/>
            <w:color w:val="0077CC"/>
            <w:sz w:val="20"/>
            <w:u w:val="single"/>
            <w:shd w:val="clear" w:color="auto" w:fill="FFFFFF"/>
            <w:lang w:val="en-US" w:eastAsia="en-US" w:bidi="ar-SA"/>
          </w:rPr>
          <w:t>[1996] B.C.J. No. 2083</w:t>
        </w:r>
      </w:hyperlink>
      <w:r>
        <w:rPr>
          <w:rFonts w:ascii="arial" w:eastAsia="arial" w:hAnsi="arial" w:cs="arial"/>
          <w:color w:val="000000"/>
          <w:sz w:val="20"/>
          <w:lang w:val="en-US" w:eastAsia="en-US" w:bidi="ar-SA"/>
        </w:rPr>
        <w:t xml:space="preserve"> (C.A.), aff'd on other grounds </w:t>
      </w:r>
      <w:hyperlink r:id="rId138"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The Tracks are owned by the CNR and the CNR alone is responsible for inspection and maintenance of the Tracks. Any issue relating to the maintenance of the Tracks or any defect in them is a matter between the plaintiff and the CNR, and does not concern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Regarding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the City says the plaintiff has not shown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City's part. While the City agrees it owed a duty to warn the plaintiff about the presence of the Tracks, that duty was met by posting the Warning Sign. Further, it says there is no evidence that the City knew or ought to have known about any specific issues with the Tracks. With no such knowledge, the City's duty was not heightened beyond posting the Warning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basically argues that his claims against the City are meritorious and should be allowed to proceed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 says that the City was negligent because the Tracks were hazardous and the City failed in its duty to warn travelers about that hazard. He says the hazardous nature of the Tracks can be inferred from the Plaintiff's Photographs. Although the plaintiff cannot point to the precise cause of the accident, as the accident happened too fast for him to notice, he argues that it must have been because the Tracks were defective and/or hazardous. He says the City has an obligation to warn cyclists of hazards on the Tracks and it failed to adequately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support of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the plaintiff relies on </w:t>
      </w:r>
      <w:r>
        <w:rPr>
          <w:rFonts w:ascii="arial" w:eastAsia="arial" w:hAnsi="arial" w:cs="arial"/>
          <w:i/>
          <w:color w:val="000000"/>
          <w:sz w:val="20"/>
          <w:lang w:val="en-US" w:eastAsia="en-US" w:bidi="ar-SA"/>
        </w:rPr>
        <w:t>Danco v. Thunder Bay (City of)</w:t>
      </w:r>
      <w:r>
        <w:rPr>
          <w:rFonts w:ascii="arial" w:eastAsia="arial" w:hAnsi="arial" w:cs="arial"/>
          <w:color w:val="000000"/>
          <w:sz w:val="20"/>
          <w:lang w:val="en-US" w:eastAsia="en-US" w:bidi="ar-SA"/>
        </w:rPr>
        <w:t xml:space="preserve">, </w:t>
      </w:r>
      <w:hyperlink r:id="rId909" w:history="1">
        <w:r>
          <w:rPr>
            <w:rFonts w:ascii="arial" w:eastAsia="arial" w:hAnsi="arial" w:cs="arial"/>
            <w:i/>
            <w:color w:val="0077CC"/>
            <w:sz w:val="20"/>
            <w:u w:val="single"/>
            <w:shd w:val="clear" w:color="auto" w:fill="FFFFFF"/>
            <w:lang w:val="en-US" w:eastAsia="en-US" w:bidi="ar-SA"/>
          </w:rPr>
          <w:t>[2000] O.J. No. 1208</w:t>
        </w:r>
      </w:hyperlink>
      <w:r>
        <w:rPr>
          <w:rFonts w:ascii="arial" w:eastAsia="arial" w:hAnsi="arial" w:cs="arial"/>
          <w:color w:val="000000"/>
          <w:sz w:val="20"/>
          <w:lang w:val="en-US" w:eastAsia="en-US" w:bidi="ar-SA"/>
        </w:rPr>
        <w:t xml:space="preserve"> (S.C.J.), aff'd </w:t>
      </w:r>
      <w:hyperlink r:id="rId910" w:history="1">
        <w:r>
          <w:rPr>
            <w:rFonts w:ascii="arial" w:eastAsia="arial" w:hAnsi="arial" w:cs="arial"/>
            <w:i/>
            <w:color w:val="0077CC"/>
            <w:sz w:val="20"/>
            <w:u w:val="single"/>
            <w:shd w:val="clear" w:color="auto" w:fill="FFFFFF"/>
            <w:lang w:val="en-US" w:eastAsia="en-US" w:bidi="ar-SA"/>
          </w:rPr>
          <w:t>[2001] O.J. No. 3442</w:t>
        </w:r>
      </w:hyperlink>
      <w:r>
        <w:rPr>
          <w:rFonts w:ascii="arial" w:eastAsia="arial" w:hAnsi="arial" w:cs="arial"/>
          <w:color w:val="000000"/>
          <w:sz w:val="20"/>
          <w:lang w:val="en-US" w:eastAsia="en-US" w:bidi="ar-SA"/>
        </w:rPr>
        <w:t xml:space="preserve"> (C.A.), where a bicyclist fell while riding over railway tracks that were determined to be hazardous. Even though the city had kept the roadway leading to the tracks in a proper state of repair, it was found to have had a duty to warn cyclists of hazardous conditions on the tracks because it knew or ought to have known of a similar accident one year earlier and knew that the tracks posed a danger to cyclists. In failing to provide such a warning, the city failed in its duty and was found jointly liable with the CNR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Although the plaintiff concedes that the Tracks themselves are the CNR's responsibility, it maintains Front Street is the City's responsibility pursuant to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makes a second argument as well that the design and condition of the Tracks was an unreasonable interference with a public right of access and constituted a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City's application brings R. 9-7, the summary trial provisions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into 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Rule 9-7(2)(a) provides:</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may apply to the court for judgment under this rule, either on an issue or generally, in any of the following:</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in which a response to civil claim has been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Rule 9-7(15)(a) provides:</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hearing of a summary trial application, the court may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or(ii) the court is of the opinion that it would be unjust to decide the issues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am satisfied that I am able to find the facts necessary to decide the City's application and that it would not be unjust for me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 will first deal with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The standard of care for municipalities respecting railways was stated in </w:t>
      </w:r>
      <w:r>
        <w:rPr>
          <w:rFonts w:ascii="arial" w:eastAsia="arial" w:hAnsi="arial" w:cs="arial"/>
          <w:i/>
          <w:color w:val="000000"/>
          <w:sz w:val="20"/>
          <w:lang w:val="en-US" w:eastAsia="en-US" w:bidi="ar-SA"/>
        </w:rPr>
        <w:t>Ryan</w:t>
      </w:r>
      <w:r>
        <w:rPr>
          <w:rFonts w:ascii="arial" w:eastAsia="arial" w:hAnsi="arial" w:cs="arial"/>
          <w:color w:val="000000"/>
          <w:sz w:val="20"/>
          <w:lang w:val="en-US" w:eastAsia="en-US" w:bidi="ar-SA"/>
        </w:rPr>
        <w:t xml:space="preserve"> at paras. 169-170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 imposes a duty of care on the defendant City to the users of its streets. That duty was defined in </w:t>
      </w:r>
      <w:r>
        <w:rPr>
          <w:rFonts w:ascii="arial" w:eastAsia="arial" w:hAnsi="arial" w:cs="arial"/>
          <w:i/>
          <w:color w:val="000000"/>
          <w:sz w:val="20"/>
          <w:lang w:val="en-US" w:eastAsia="en-US" w:bidi="ar-SA"/>
        </w:rPr>
        <w:t xml:space="preserve">Fafard, </w:t>
      </w:r>
      <w:hyperlink r:id="rId911" w:history="1">
        <w:r>
          <w:rPr>
            <w:rFonts w:ascii="arial" w:eastAsia="arial" w:hAnsi="arial" w:cs="arial"/>
            <w:i/>
            <w:color w:val="0077CC"/>
            <w:sz w:val="20"/>
            <w:u w:val="single"/>
            <w:shd w:val="clear" w:color="auto" w:fill="FFFFFF"/>
            <w:lang w:val="en-US" w:eastAsia="en-US" w:bidi="ar-SA"/>
          </w:rPr>
          <w:t>55 S.C.R. 615</w:t>
        </w:r>
      </w:hyperlink>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at 718 where Fitzpatrick C.J. speaking for the court stated: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 municipal Corporation is not an insurer of travellers using its streets; its duty is to use reasonable care to keep its streets in a reasonably safe condition for ordinary travel by persons exercising ordinary care for their own safety.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duty of care of the defendant City includes the duty to properly warn of hazards it knows are on the streets, that should reasonably be brought to the attention of users of the street who may put may be put at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City cannot be assumed. The plaintiff must prove with evidence that the City failed to meet that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Without giving any details, the plaintiff simply states that "due to the dangerous and poor condition of the railway tracks I could not safely navigate my way across the railway tracks." He goes on to say that the Tracks were worn out, missing flanges and constituted a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further argues that the Plaintiff's Photographs "speak for themselves" and disclose the tracks were hazardous.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disagree. The Plaintiff's Photographs do not in fact speak for themselves. I see nothing in them that would explain why the plaintiff fell while crossing the eastern-most set of rails of the Tracks.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conclude that the plaintiff has not led sufficient evidence to establish that the plaintiff failed to meet its standard of care. The City had a duty to warn the plaintiff of the presence of the Tracks and that the Tracks crossed Front Street at an angle. That duty was met. Not only did the Warning Sign adequately provide notice of the Tracks, the plaintiff in fact saw the Warning Sign, knew the Tracks were there and knew they crossed at an angle.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Even if there was a defect with the Tracks, there is no evidence that the City knew or ought to have known of the defect such that any additional warning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provided hearsay evidence that approximately two weeks after his accident he became aware of another bicycle accident at the Tracks. However, I did not hear from that bicyclist firsthand and the evidence presented by the plaintiff on his or her behalf is inadmissible as hearsay.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Likewise, there is no evidence that the tracks were dangerous where the plaintiff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 find that </w:t>
      </w:r>
      <w:r>
        <w:rPr>
          <w:rFonts w:ascii="arial" w:eastAsia="arial" w:hAnsi="arial" w:cs="arial"/>
          <w:i/>
          <w:color w:val="000000"/>
          <w:sz w:val="20"/>
          <w:lang w:val="en-US" w:eastAsia="en-US" w:bidi="ar-SA"/>
        </w:rPr>
        <w:t>Ryan</w:t>
      </w:r>
      <w:r>
        <w:rPr>
          <w:rFonts w:ascii="arial" w:eastAsia="arial" w:hAnsi="arial" w:cs="arial"/>
          <w:color w:val="000000"/>
          <w:sz w:val="20"/>
          <w:lang w:val="en-US" w:eastAsia="en-US" w:bidi="ar-SA"/>
        </w:rPr>
        <w:t xml:space="preserve"> is distinguishable on its facts. In </w:t>
      </w:r>
      <w:r>
        <w:rPr>
          <w:rFonts w:ascii="arial" w:eastAsia="arial" w:hAnsi="arial" w:cs="arial"/>
          <w:i/>
          <w:color w:val="000000"/>
          <w:sz w:val="20"/>
          <w:lang w:val="en-US" w:eastAsia="en-US" w:bidi="ar-SA"/>
        </w:rPr>
        <w:t>Ryan</w:t>
      </w:r>
      <w:r>
        <w:rPr>
          <w:rFonts w:ascii="arial" w:eastAsia="arial" w:hAnsi="arial" w:cs="arial"/>
          <w:color w:val="000000"/>
          <w:sz w:val="20"/>
          <w:lang w:val="en-US" w:eastAsia="en-US" w:bidi="ar-SA"/>
        </w:rPr>
        <w:t>, it was the configuration of the tracks that constituted a danger to the users of the road who might be caught in the track's flanges. In this case, conversely, the alleged danger is "the dangerous and poor condition of the railway tracks", not how they are configured.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trial judge in </w:t>
      </w:r>
      <w:r>
        <w:rPr>
          <w:rFonts w:ascii="arial" w:eastAsia="arial" w:hAnsi="arial" w:cs="arial"/>
          <w:i/>
          <w:color w:val="000000"/>
          <w:sz w:val="20"/>
          <w:lang w:val="en-US" w:eastAsia="en-US" w:bidi="ar-SA"/>
        </w:rPr>
        <w:t>Ryan</w:t>
      </w:r>
      <w:r>
        <w:rPr>
          <w:rFonts w:ascii="arial" w:eastAsia="arial" w:hAnsi="arial" w:cs="arial"/>
          <w:color w:val="000000"/>
          <w:sz w:val="20"/>
          <w:lang w:val="en-US" w:eastAsia="en-US" w:bidi="ar-SA"/>
        </w:rPr>
        <w:t xml:space="preserve"> also found that the City of Victoria was well aware of the unusual danger the tracks posed as a result of numerous prior accidents involving them. This is unlike the present case as the City had no such knowledge of any prior accidents at the Tracks.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Danco</w:t>
      </w:r>
      <w:r>
        <w:rPr>
          <w:rFonts w:ascii="arial" w:eastAsia="arial" w:hAnsi="arial" w:cs="arial"/>
          <w:color w:val="000000"/>
          <w:sz w:val="20"/>
          <w:lang w:val="en-US" w:eastAsia="en-US" w:bidi="ar-SA"/>
        </w:rPr>
        <w:t xml:space="preserve"> is also distinguishable on its facts. In </w:t>
      </w:r>
      <w:r>
        <w:rPr>
          <w:rFonts w:ascii="arial" w:eastAsia="arial" w:hAnsi="arial" w:cs="arial"/>
          <w:i/>
          <w:color w:val="000000"/>
          <w:sz w:val="20"/>
          <w:lang w:val="en-US" w:eastAsia="en-US" w:bidi="ar-SA"/>
        </w:rPr>
        <w:t>Danco</w:t>
      </w:r>
      <w:r>
        <w:rPr>
          <w:rFonts w:ascii="arial" w:eastAsia="arial" w:hAnsi="arial" w:cs="arial"/>
          <w:color w:val="000000"/>
          <w:sz w:val="20"/>
          <w:lang w:val="en-US" w:eastAsia="en-US" w:bidi="ar-SA"/>
        </w:rPr>
        <w:t>, the municipality was found to have been aware of a previous accident on the tracks. As noted, there is no such evidence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Further, </w:t>
      </w:r>
      <w:r>
        <w:rPr>
          <w:rFonts w:ascii="arial" w:eastAsia="arial" w:hAnsi="arial" w:cs="arial"/>
          <w:i/>
          <w:color w:val="000000"/>
          <w:sz w:val="20"/>
          <w:lang w:val="en-US" w:eastAsia="en-US" w:bidi="ar-SA"/>
        </w:rPr>
        <w:t>Danco</w:t>
      </w:r>
      <w:r>
        <w:rPr>
          <w:rFonts w:ascii="arial" w:eastAsia="arial" w:hAnsi="arial" w:cs="arial"/>
          <w:color w:val="000000"/>
          <w:sz w:val="20"/>
          <w:lang w:val="en-US" w:eastAsia="en-US" w:bidi="ar-SA"/>
        </w:rPr>
        <w:t xml:space="preserve"> is distinguishable on how liability of the municipality was grounded. The decision in </w:t>
      </w:r>
      <w:r>
        <w:rPr>
          <w:rFonts w:ascii="arial" w:eastAsia="arial" w:hAnsi="arial" w:cs="arial"/>
          <w:i/>
          <w:color w:val="000000"/>
          <w:sz w:val="20"/>
          <w:lang w:val="en-US" w:eastAsia="en-US" w:bidi="ar-SA"/>
        </w:rPr>
        <w:t>Danco</w:t>
      </w:r>
      <w:r>
        <w:rPr>
          <w:rFonts w:ascii="arial" w:eastAsia="arial" w:hAnsi="arial" w:cs="arial"/>
          <w:color w:val="000000"/>
          <w:sz w:val="20"/>
          <w:lang w:val="en-US" w:eastAsia="en-US" w:bidi="ar-SA"/>
        </w:rPr>
        <w:t xml:space="preserve"> relied on s. 284(1) of Ontario's </w:t>
      </w:r>
      <w:r>
        <w:rPr>
          <w:rFonts w:ascii="arial" w:eastAsia="arial" w:hAnsi="arial" w:cs="arial"/>
          <w:i/>
          <w:color w:val="000000"/>
          <w:sz w:val="20"/>
          <w:lang w:val="en-US" w:eastAsia="en-US" w:bidi="ar-SA"/>
        </w:rPr>
        <w:t>Municipal Act</w:t>
      </w:r>
      <w:r>
        <w:rPr>
          <w:rFonts w:ascii="arial" w:eastAsia="arial" w:hAnsi="arial" w:cs="arial"/>
          <w:color w:val="000000"/>
          <w:sz w:val="20"/>
          <w:lang w:val="en-US" w:eastAsia="en-US" w:bidi="ar-SA"/>
        </w:rPr>
        <w:t xml:space="preserve">, which requires municipalities to maintain its roadways in good condition, and Ontario's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which applied to the municipality. In the present case, however, it seems as though the plaintiff sought to establish liability on the basis of the common law regarding nuisance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rather than provincial statutes, which do not apply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Dealing lastly with the Agreement, the plaintiff argues that it obligates the City to oversee the Tracks and that it has a duty to inspect and maintain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disagree. The Agreement relates to the railway company having the right to construct the Tracks and provides that the works must be supervised by the City during the course of that construction. It does not delegate responsibility for the maintenance of the railway tracks to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 will now deal briefly with the plaintiff's nuisance claim. To be liable in public nuisance, the City's conduct must contain an element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Bayfield v. British Columbia (Ministry of Transportation)</w:t>
      </w:r>
      <w:r>
        <w:rPr>
          <w:rFonts w:ascii="arial" w:eastAsia="arial" w:hAnsi="arial" w:cs="arial"/>
          <w:color w:val="000000"/>
          <w:sz w:val="20"/>
          <w:lang w:val="en-US" w:eastAsia="en-US" w:bidi="ar-SA"/>
        </w:rPr>
        <w:t xml:space="preserve">, </w:t>
      </w:r>
      <w:hyperlink r:id="rId912" w:history="1">
        <w:r>
          <w:rPr>
            <w:rFonts w:ascii="arial" w:eastAsia="arial" w:hAnsi="arial" w:cs="arial"/>
            <w:i/>
            <w:color w:val="0077CC"/>
            <w:sz w:val="20"/>
            <w:u w:val="single"/>
            <w:shd w:val="clear" w:color="auto" w:fill="FFFFFF"/>
            <w:lang w:val="en-US" w:eastAsia="en-US" w:bidi="ar-SA"/>
          </w:rPr>
          <w:t>2016 BCSC 1965</w:t>
        </w:r>
      </w:hyperlink>
      <w:r>
        <w:rPr>
          <w:rFonts w:ascii="arial" w:eastAsia="arial" w:hAnsi="arial" w:cs="arial"/>
          <w:color w:val="000000"/>
          <w:sz w:val="20"/>
          <w:lang w:val="en-US" w:eastAsia="en-US" w:bidi="ar-SA"/>
        </w:rPr>
        <w:t xml:space="preserve"> at para. 77. As I have found that the City was not negligent, the nuisance claim must also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the result, the plaintiff's claim against the City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G.P. WEATHERILL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7" style="position:absolute;z-index:251892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13"/>
          <w:headerReference w:type="default" r:id="rId914"/>
          <w:footerReference w:type="even" r:id="rId915"/>
          <w:footerReference w:type="default" r:id="rId916"/>
          <w:headerReference w:type="first" r:id="rId917"/>
          <w:footerReference w:type="first" r:id="rId91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19" w:history="1">
        <w:r>
          <w:rPr>
            <w:rFonts w:ascii="arial" w:eastAsia="arial" w:hAnsi="arial" w:cs="arial"/>
            <w:b/>
            <w:bCs/>
            <w:i/>
            <w:color w:val="0077CC"/>
            <w:kern w:val="32"/>
            <w:sz w:val="28"/>
            <w:szCs w:val="32"/>
            <w:u w:val="single"/>
            <w:shd w:val="clear" w:color="auto" w:fill="FFFFFF"/>
            <w:lang w:val="en-US" w:eastAsia="en-US" w:bidi="ar-SA"/>
          </w:rPr>
          <w:t>R. v. Gosse, [2016] B.C.J. No. 917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J.A. Power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11-15, 18-19 and February 9-11,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April 14,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161715-2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917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812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130 W.C.B. (2d) 188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97 M.V.R. (6th) 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CarswellBC 1244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Regina, and Eric Gosse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8"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4" w:name="Keywords_43"/>
      <w:bookmarkEnd w:id="284"/>
      <w:r>
        <w:rPr>
          <w:rFonts w:ascii="arial" w:eastAsia="arial" w:hAnsi="arial" w:cs="arial"/>
          <w:b/>
          <w:color w:val="000000"/>
          <w:sz w:val="20"/>
          <w:lang w:val="en-US" w:eastAsia="en-US" w:bidi="ar-SA"/>
        </w:rPr>
        <w:t xml:space="preserve">Criminal law — Criminal Code offences — Offences against person and reputation — Motor vehicles — Criminal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Causing bodily harm — Dangerous operation of motor vehicle — Causing bodily harm — Trial of Gosse who was charged with criminal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in operation of motor vehicle causing bodily harm — Gosse convicted of dangerous driving causing bodily harm — Gosse was driving sport utility vehicle at speed of 50 kilometres per hour on narrow roadway in large open parking lot and mixed-use area with posted speed limit of 30 kilometres per hour — Motorcycle ahead of him slowed for speedbump — Gosse failed to slow and struck motorcycle — Gosse's driving showed marked departure from standard of care of reasonable person.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5" w:name="Case Summary_40"/>
            <w:bookmarkEnd w:id="28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Trial of Gosse who was charged with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operation of a motor vehicle causing bodily harm, assault with a weapon and aggravated assault. Gosse was driving a sport utility vehicle at a speed of at least 50 kilometres per hour on a narrow roadway in a large open parking lot and mixed-use area with a posted speed limit of 30 kilometres per hour. A motorcycle ahead of him slowed for a speedbump and drove slowly around it. Gosse failed to slow and struck the motorcycle as it was moving back into the lane of traffic. The motorcyclist suffered serious injuries. The Crown's case relied primarily on video and collision reconstruction evidence.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6" w:name="Holdings of Court_36"/>
            <w:bookmarkEnd w:id="286"/>
            <w:r>
              <w:rPr>
                <w:rFonts w:ascii="arial" w:eastAsia="arial" w:hAnsi="arial" w:cs="arial"/>
                <w:color w:val="000000"/>
                <w:sz w:val="20"/>
                <w:lang w:val="en-US" w:eastAsia="en-US" w:bidi="ar-SA"/>
              </w:rPr>
              <w:t xml:space="preserve">HELD: Gosse acquitted of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operation of a motor vehicle causing bodily harm, assault with a weapon and aggravated assault; convicted of dangerous driving causing bodily harm.</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Gosse's driving showed a marked departure from the standard of care of a reasonable person. This was a busy and popular mixed-use parking lot that was waking up with the kind of activities that could occur throughout the day, including pedestrian and vehicle traffic. The motorcycle would have been within Gosse's field of vision well before the crash. Given that the roadway had a reduced speed advisory sign and a speedbump, and that it was reasonable to expect pedestrian and vehicle traffic, a high standard of care was required. Gosse's driving did not show a wanton or reckless disregard or a marked and substantial departure. There was not enough evidence to conclude that Gosse intentionally applied force using his vehicle. He could have been aggressively attempting to pass the motorcycle.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7" w:name="Legislation Cited_30"/>
      <w:bookmarkEnd w:id="28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9"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Criminal Code, s. 221, s. 249, s. 249(1), s. 249(3), s. 267(a), s. 268(2), s. 662(5)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8" w:name="Counsel_42"/>
      <w:bookmarkEnd w:id="28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0" style="position:absolute;z-index:251805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Crown: C. Jennings, L. Wheeler.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Accused: P. Firestone , D.Williams, M. Melynk, Articled Student.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9" w:name="Judgment_43"/>
      <w:bookmarkEnd w:id="289"/>
      <w:r>
        <w:pict>
          <v:line id="_x0000_s1241" style="position:absolute;z-index:25185587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May 27, 2016; the changes have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0" w:name="J.A. POWER J. (orally)"/>
            <w:bookmarkEnd w:id="290"/>
            <w:r>
              <w:rPr>
                <w:rFonts w:ascii="arial" w:eastAsia="arial" w:hAnsi="arial" w:cs="arial"/>
                <w:b/>
                <w:color w:val="000000"/>
                <w:sz w:val="30"/>
                <w:lang w:val="en-US" w:eastAsia="en-US" w:bidi="ar-SA"/>
              </w:rPr>
              <w:t>J.A. POWER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accused, Eric Gosse, is charged on a three count indictment as follows:</w:t>
      </w:r>
      <w:r>
        <w:rPr>
          <w:rFonts w:ascii="arial" w:eastAsia="arial" w:hAnsi="arial" w:cs="arial"/>
          <w:sz w:val="20"/>
          <w:lang w:val="en-US" w:eastAsia="en-US" w:bidi="ar-SA"/>
        </w:rPr>
        <w:cr/>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Count 1,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operation of a motor vehicle causing bodily harm contrary to s. 221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Count 2, assault using a weapon, a Toyota Highlander, upon Ron Broda contrary to s. 267(a)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Count 3, aggravated assault contrary to s. 268(2)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tragic events that give rise to the charges occurred in the morning of the 24th of July of 2013 at Ogden Point in Victoria, British Columbia. Ogden Point is a large open parking lot and mixed-use area of approximately 30 acres that consists of a number of buildings and port facilities abutting the waterfront where cruise ships dock. Buses and vehicles park in a series of parking areas which are joined by roadways. The collision in question took place on one of those roadways which, at the time, was marked with a 30 kilometre per hour posted speed sign. That sign has since been changed to 20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accused, Mr. Gosse, was driving a Toyota Highlander sport utility vehicle and Mr. Broda was driving a Honda Goldwing motorcycle when the motorcycle was struck by the Highlander.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Broda suffered serious and life-altering injuries, including amputation of his left leg below the knee, multiple fractures, and an acute kidney injury as a result of the crash. Mr. Broda did not testify at trial and I was told in the opening of the Crown's case that he had no recollection of the incident as a result of the significant injuries he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Gosse exercised his right to remain silent and did not testify on his own defence. The defence did not call any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Since there were no civilians who actually saw the crash, the court is tasked with considering the civilian evidence of events leading up to and after the collision, interpreting expert evidence on crash reconstruction, and observing video evidence to determine the issues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primary issue with respect to Counts 2 and 3 is whether the Crown has succeeded in establishing beyond a reasonable doubt the necessary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or mental element for the assault offences. Both offences require that the Crown prove that Mr. Gosse intentionally applied force to Mr. Broda using his motor vehicle. The Crown argues that if the court is satisfied that Mr. Gosse intentionally struck Mr. Broda with his motor vehicle, there cannot be much dispute that the Highlander SUV was used as a weapon. Therefore, the primary issue with respect to the assault offences is whether I can be satisfied that Mr. Gosse intended to strike Mr. Broda with his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considering the evidence with respect to Count 1,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operation of the motor vehicle, the Highlander, the primary issue before me is whether I can conclude beyond a reasonable doubt that Mr. Gosse's driving showed wanton or reckless disregard for the lives or safety of others. If I am not satisfied on the fault element for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 must also consider the fault element for dangerous driving causing bodily harm under s. 249(3)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since, pursuant to s. 662(5)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dangerous driving is an included offence of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are also ancillary issues in the analysis of the evidence which include what use, if any, can be made of the crash data recorder or CDR data from the Highlander; what can be inferred by the video evidence available to the court including what was described in evidence as an enlarged video; and what the court can conclude as a result of the pre-crash driving re-enactment videos relating to the operation of the Highlander showing potentially what would have been visible to Mr. Gosse as the driver of the Highlander.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Having considered all of the evidence at trial, I conclude that there is simply not sufficient evidence upon which the court could conclude that Mr. Gosse intentionally applied force using his motor vehicle. I am of the view that the evidence which consists primarily of the accident reconstruction evidence and the video are simply not sufficient to infer that intent. Accordingly, I will be finding Mr. Gosse not guilty of Count 2 and Count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more difficult issue before me is whether the available evidence is sufficient to meet the fault element for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dangerous driving causing bodily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For the reasons that follow, I have determined that Mr. Gosse's driving showed a marked departure from the standard of care of a reasonable person in his circumstances; therefore, I will be finding him guilty of dangerous driving causing bodily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structuring this decision, I intend to briefly outline the evidence I heard on the trial, make some findings respecting that evidence, and then turn to my analysis of the legal issues before me. I will make reference to additional aspects of the evidence as necessitated by that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are four broad areas of evidence that I heard on the trial which I will address in turn:</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Seven civilian witnesses testified about what they saw and heard at Ogden Point in the early morning hours of July 24, 2013. Since none of the civilians actually saw the moments before the crash, the evidence relates to events before the crash and events after the crash.</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Emergency personnel consisting of one police officer, two paramedics, and one fireman who testified about attending at Ogden Point in the aftermath of the collision and dealing with Mr. Broda who was gravely injured, and with Mr. Gosse.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Video surveillance evidence relating to the route of the Highlander and the motorcycle at various locations in Greater Victoria prior to arriving at Ogden Point; surveillance video at Ogden Point including what was ultimately referred to as an enhanced or enlarged video which shows the incident occurring; and finally, video evidence created by police showing a partial re-enactment of the driving of the Highlander leading up to the crash using a GoPro camera.</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Crash reconstruction experts, Constable Lundin and Constable Stephen, who testified about collision reconstruction and about the Crash Data Retrieval Data from the Highlander which was introduced through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addition, admissions of fact (Exhibits 1 and 33) were made and exhibits were introduced during the course of the evidence, including photographs and maps of Ogden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is no real challenge made to the credibility of any of the witnesses and the defence arguments relate to the probative force and reliability of the evidence which the defence says is insufficient to support any of the charges on the criminal standard of proof beyond a reasonable doubt.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CIVILIAN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turn now to a brief summary of the civilian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Thomas Peverelle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Thomas Peverelle was a carpenter employed with the Greater Victoria Harbour Authority and he was working in the Ogden Point area on July 24, 2013, the day of the crash. He arrived at work at 6:30 a.m. At approximately 7:30, he was putting his tools in the back of his truck when he heard the sound of a loud revving engine followed by a loud crash. He turned to look towards the area of the sounds and saw a sport utility vehicle, which I am satisfied was Mr. Gosse's Highlander, go by at a high rate of speed. He acknowledged in cross-examination that he could not determine speed by the sound of the revving engine. He noted, as the vehicle went by, that the front right corner of the Highlander was smashed.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Peverelle ran towards the accident scene and noted Mr. Broda lying on the far side of the bike. When he realized how severe the accident was, he ran back to get help and to call 911.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During this time, he noted that the Highlander was stopped in the middle of the roadway about 30 to 40 feet away from him. He observed the driver of the SUV walking back and forth between the SUV and concrete curbs that were lining the roadway and eventually saw him sitting on the concrete curb.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Jessica Gunderson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Jessica Gunderson was a horticulturist with the Greater Victoria Harbour Authority who was working that day. She did not see or hear the collision. She did, however, deal with a male, Mr. Gosse, who was sitting on the concrete barrier and staring down at the ground. She noted that the driver-side airbag on the SUV had deployed. She asked him if he was doing all right and he stated, "Well, I'm doing a lot better than the other guy." He did not look or change position when he spoke. In cross-examination, she acknowledged that he was responsive to her questions and that she did not smell any alcohol or note any behaviour that suggested the male, Mr. Gosse, was angry. Ultimately, she turned Mr. Gosse over to a fireman who was one of the emergency personnel in attendance.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Doug Marshall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Doug Marshall was a B.C. Transit bus driver driving a commuter bus on the day of the crash. He arrived at Ogden Point sometime between 7:00 and 7:30 and was sitting in his bus with his laptop open when he saw a motorcycle go by at a speed that he estimated as "not very fast". He then heard tires squealing and, in less than half a minute or a "manner of seconds", heard what sounded like a collision. He also described seeing a grey SUV go by at a speed that he described as "faster than the motorcycle", but he could not estimate the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Marshall closed his laptop, secured his bus, and went towards the accident scene. He noted that the motorcycle was damaged and that the motorcycle driver was on the ground. He also noted the SUV driver was further up the road leaning up against the concrete barricade.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Marshall stayed with the motorcycle driver until emergency personnel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Matthew Thomas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Matthew Thomas was an electrician who was entering the area at around 7:30 a.m. from the northern side of the parking lot in his van. He noted what he thought was an abandoned SUV in the middle of the road which he found confusing. He was approached by another person who asked him to get his van out of the way since there had been an accident. He noted a man sitting on the concrete with his "hands on his head and looking stressed". He noted Jessica Gunderson speaking to that male who was Mr. Gosse.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Jason Martin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Jason Martin was working with Jessica Gunderson that morning and was in a separate vehicle. When he arrived at the area, Ms. Gunderson advised him that there had been an accident. He stayed with the driver of the SUV for a period of time and asked him if he wanted a drink of water, to which, Mr. Gosse responded by shaking his head. He described the male, Mr. Gosse, as sitting with his elbows on his knees and his hands on his cheeks. He did not notice any particular emotional response from Mr. Gosse, nor did he notice any odour of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Clarke Pollock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Clarke Pollock testified he was working at Ogden Point at the time and he rode his motorcycle to work on the day of the incident. He described entering the south entrance of Ogden Point closest to the breakwater and parking his motorcycle. He described an SUV coming into the parking lot, slowing down, and the driver glared at him. The SUV then went past him to the end of that parking lot and turned around in a U-turn. He described hearing the sound of the car accelerating, hearing the sound of tires squealing around the corner, and then hearing a crash. He did not see the crash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Pollock's evidence was somewhat confusing since video evidence was put to him in the course of cross-examination and later introduced at trial that shows that the SUV did not turn around at the end of the parking lot as Mr. Pollock initially testified, but rather did a U-turn midway in the parking lot near to the area that Mr. Pollock was parked. The SUV then accelerated and proceeded to make a left-hand turn. Mr. Pollock's evidence in cross-examination was that the SUV did not pick up speed until it was making the left-hand turn onto another roadway in Ogden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James Cruikshank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Cruikshank was walking in the area of Ogden Point on the morning of the crash as is his practice since he lives in the area. He was near the water area when he heard the sound of a revving engine which was louder than normal and coming from his right. He looked over to his right and saw an SUV do a tight U-turn and go past him quickly. He was not able to estimate the vehicle's speed. He then heard a crash and went over to the area to investigate. He located a trail of debris and then described seeing the motorcycle up against a 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 described waving to the emergency personnel, who were responding to the scene, since they were initially having difficulty locating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EMERGENCY PERSONNEL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Constable Koropatniski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Constable Koropatniski was one of the members of the Victoria Police Traffic Division who first attended at the scene. He arrived at approximately 7:33 a.m. When he arrived, he saw the motorcycle off to the right of the roadway and a paramedic and fire crew attending to the motorcyclist who was Mr. Broda.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Constable Koropatniski immediately began taking photographs of the scene which he described in his evidence. He described seeing the SUV down the roadway and noted the substantial damage to the front right corner of the vehicle. He also observed Mr. Gosse sitting on the concrete barrier with a blank stare.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Constable Koropatniski was in training at the time as a traffic analyst and he began assisting Constable Lundin who was a traffic analyst. In that regard, he took photos of the scene and the vehicles at the towing 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 returned on subsequent dates to take additional photographs which were described in the evidence. In order to ensure the accuracy of the photographs relative to the day of the accident, he adjusted the time he took them by taking into account the seasonal variation of the sunrise. Therefore, I am of the view that the court has the benefit of very accurate photographs that replicate conditions on the day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Elizabeth Hunt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Elizabeth Hunt was a paramedic who attended the scene as part of the second ambulance crew to arrive. The first crew was attending to the more critically injured driver and, as part of the second crew to arrive, it was evident that her crew was to attend to the SUV driver. He was seated on the cement guardrail facing the SUV.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Hunt did a medical exam and spoke to the driver, Mr. Gosse. It was apparent to her that the airbag to the SUV had deployed as a result of the collision. She did not note any physical injuries to Mr. Gosse. She described him as having a flat affect and not showing much emotion. She did not notice any symptoms consistent with alcohol impairment or impairment by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She made a decision to take Mr. Gosse to the hospital, notwithstanding his lack of physical injury, since she wanted him to have a safe place to wait for his wife to pick him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Len Chester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Len Chester was another paramedic working with Elizabeth Hunt. He similarly noted Mr. Gosse sitting on the cement barrier and looking down. He, too, did not notice any signs consistent with alcohol or drug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Jamie Lund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Jamie Lund was a fire fighter first responder who responded to the 911 call. On the way to the scene, he learned that they were responding to a possible amputation. After noting that the motorcycle driver was being attended to, he turned his attention to the SUV driver some distance down the road. He recalled the driver of the SUV sitting hunched over with his face in his hands. He noted the driver appeared upset and he was crying and looking down. Mr. Lund observed tears. He asked the SUV driver how he was and Mr. Gosse responded, "I'm fine, better than that guy," while he gestured in the direction of the motorcycle driver. Mr. Lund assumed that those words referred to the motorcycle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VIDEO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turn now to the video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Three witnesses testified about obtaining or creating videos that were entered as exhibits at trial. Constable Szucs, a Victoria Police officer, obtained the surveillance video from July 24, 2013, Exhibit 17, from Ogden Point. He also obtained surveillance videos relating to July 24, 2013, from a number of locations in the Victoria area showing the two motorists on their way to Ogden Point. David McKay created an enlarged video of the surveillance video from Ogden Point that showed the collision. Finally, Constable Elliott recorded a partial re-enactment of the event using a GoPro camera and driving the route in a manner similar to her understanding of Mr. Gosse's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Constable Szucs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Constable Szucs, was a Victoria Police officer who was the third on the scene. He became involved in the follow-up investigation of the collision scene and, in that capacity, he obtained maps of the parking lot and layout of Ogden Point along with copies of videos showing the Highlander and motorcycle entering Ogden Point and videos depicting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Ogden Point is part of the Greater Victoria Harbour Authority and the maps of the Ogden Point area titled, "Greater Victoria Harbour Authority" were entered through Constable Szucs and put to a number of witnesses. Those maps indicate the camera angles of the surveillance videos, although Constable Szucs took issue with some of the angles depicted on the map and made adjustments to those angles on one of the maps (Exhibit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As part of his investigation, Constable Szucs became aware of other surveillance video in addition to the Ogden Point video which showed the vehicles travelling on their way towards Ogden Point from other locations in Victoria. The Crown led those videos to complete the narrative; however, it is my view that there is little that can be gleaned from these additional videos.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first set of video clips shows Mr. Gosse and his SUV at the Sidney McDonald's. That location is approximately a 20 to 25-minute drive from Ogden Point (depending on traffic conditions). The Sidney McDonald's video shows Mr. Gosse's Highlander vehicle going through the restaurant drive-through. Based on one of the video clips, I can conclude that the brake lights on Mr. Gosse's SUV were working since the brake lights are visible and operational as Mr. Gosse slows at the drive-through window.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Crown then introduced a video that was collected by Constable Szucs from near the Uptown Shopping Centre. This video clip is consistent with the most direct route from Sidney to Ogden Point. The video clip depicting Blanshard Street near Uptown Shopping Centre was played a number of times during Constable Szucs' testimony and he had trouble identifying either the motorcycle or the Highlander in that video. It is my view that I cannot identify either vehicle in that video or conclude anything from the Uptown video and I disregard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Constable Szucs identified the Highlander and the motorcycle travelling one after another from surveillance video in Downtown Victoria outside of Maycock Optical and outside the Atrium Building on Blanshard Street. These locations are across the street from each other on Blanshard Street. He did not identify anything unusual about the driving or the spacing between the vehicles and it is my view that I cannot conclude anything about that video other than that the motorcycle followed the SUV and that each vehicle was travelling appropriately.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Similarly, in two other surveillance videos of an area on Belleville Street in Victoria, Constable Szucs identified the Highlander followed by the motorcycle and both vehicles were travelling at the speed of the other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submissions, the Crown argued that this video evidence, prior to Ogden Point, was led to complete the narrative, but then they also argued that the driver of the Highlander must have known that the motorcycle was behind him as the vehicles entered Ogden Point. As I have noted, there is no evidence that any incident between the Highlander and the motorcycle occurred on that route from Sidney to Ogden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am of the view that, without more evidence, I cannot conclude anything from the videos of events that occurred outside Ogden Point other than the fact that the brake lights of the Highlander were operational.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videos at Ogden Point were played during Constable Szucs' evidence. Several of the videos show the areas in Ogden Point preceding the crash and demonstrate that there were pedestrians, transit buses, and employees making their way throughout the Ogden Point area at approximately the time of the collision. The video entitled, "Rest Parking 12-18-2014_130604" shows the parking lot that Mr. Gosse drove into and executed a U-turn in. That video shows Clarke Pollock on his motorcycle in the parking lot and the SUV drive about halfway into the parking lot, execute a tight U-turn, and then accelerate out of the parking lot and towards the way he entered. The video entitled, "DriveS_12-18-2014_094129" is a video that shows the road the collision occurred on. In that video, one can see the SUV followed by the motorcycle entering Ogden Point. Both vehicles exit the frame momentarily and then the motorcycle is seen travelling on the road heading towards the north entrance of Ogden Point. The motorcycle rounds the S-curve, travels towards a speedbump and crosswalk, and can be seen going around the speedbump. At about the time the motorcycle approaches the speedbump, the SUV can be seen travelling down the same road. It is clear from the video that the SUV is travelling considerably faster than the motorcycle. The SUV overtakes the motorcycle just as it crosses the speedbump and the collision can be seen. In this video, it can be seen that the motorcycle slows down and brakes before it approaches the crosswalk and speedbump. The motorcycle can be seen proceeding around the speedbump and appears to be returning to the lane of travel when the collision occurs. The SUV can be seen accelerating and does not brake or slow down as it approaches and ascends the speedbump and overtakes the motorcycle.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the course of the defence case and during submissions, there were arguments made about the accuracy of the Ogden Point video. Overall, I am satisfied that the video is accurate since it demonstrates what the civilians described (in fact, some of the civilians can be seen in the videos), and it accords with the reconstruction evidence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David McKay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David McKay is forensic video analyst and he was qualified as an expert in the area of forensic video and digital data analysis. Mr. McKay obtained video from Mr. Hargreaves who was civil counsel for one of the two individuals involved in the collision. The video he received was the original Ogden Point surveillance video showing the crash. He provided technical assistance in enlarging the video footage of the collision from Ogden Point. In cross-examination, he conceded that Mr. Hargreaves represented the motorcycle driver, Mr. Broda, in a civil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am satisfied, based on Mr. McKay's evidence, that he did not make any changes to the video other than enlarging the quadrant of the screen that shows the crash and that Exhibit 19 is an accurate enlargement of the collision at Ogden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Constable Joan Elliott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Constable Elliott was the lead investigator to the Ogden Point collision and she was involved in the follow-up investigation. In that capacity, she attended Ogden Point on July 31, 2015, for the purpose of filming a "loose re-enactment" of the route and scene from the perspective of the driver of the SUV, Mr. Gosse. The weather on that day was clear, bright, and sunny as it was on July 24, 2013, the day of the accident. The date and time was chosen in order to best replicate the conditions on the day of the collision. A motorcycle similar to the one that Mr. Broda drove was brought to the scene and placed in three separate locations in order to re-enact what the driver of the Highlander may have been able to see.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Constable Elliott had reviewed the video of the collision itself and, according to her, "It appears that the motorcycle was just coming around ... it was just coming around a speedbump, like instead of driving straight over the speedbump, the motorcycle went around, maybe just to save himself the bump or something."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vehicle driven by Constable Elliott during the re-enactment was similar to the 2005 Highlander driven by Mr. Gosse and Constable Elliott wore the GoPro on her forehead to adjust for any height differential between herself and Mr. Gosse. The motorcycle was placed in three different positions in order to provide a perspective on what Mr. Gosse would have been able to see. It is my view that it is clear from the viewing of the Ogden Point video, "DriveS_12-18-2014_094129" and from the enlarged video, that Mr. Broda's motorcycle was going around the speedbump and entering back into the roadway when the collision occurred; therefore, the re-enactment video that is relevant and I have considered is "GoPro115" that re-enacts that motorcycle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During her re-enactment, Constable Elliott testified that she drove approximately 30 kilometres per hour up to the point she executed the U-turn and then she accelerated to between 45 to 55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COLLISION RECONSTRUCTION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Two witnesses were called to testify about the collision reconstruction and were qualified as experts, Constable Lundin, who was present at Ogden Point shortly after the collision and commenced his collision analysis on July 24th of 2013, and Constable Stephen, who testified more generally about collision reconstruction and the use and interpretation of the Crash Data Retrieval Data obtained from the Highlander (Exhibits 23 and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Constable Lundin: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Constable Lundin testified that, within a half an hour of the collision, he began his walkthrough of the scene and that involved searching the roadway for relevant roadway marks in an attempt to locate the area of impact. He also took various photos of the accident scene which were introduced as evidence and used to explain his opinion of how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Constable Lundin testified that because Ogden Point was private property, the police do not enforce speed limits there. Therefore, the 30-kilometre-hour sign was a "speed advisory sign" as opposed to a municipal speed limit. As I have noted, that sign has been changed to 20 kilometres per hour since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With respect to the speed of the SUV driven by Mr. Gosse at the time of the collision, Constable Lundin testified that he used a slide-to-stop calculation that involved the distance travelled by the vehicle that was struck, in this case, the motorcycle. Constable Lundin testified that the Highlander may have bottomed out on the speedbump and may have loaded onto two wheels shortly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Constable Lundin testified that he believed the Highlander struck the motorcycle on the left centre of the bike behind the saddlebag and, when that happened, there was a bit of an angle to the Highlander. Based on his slide-to-stop calculation and based on a coefficient of friction that he downloaded from the Internet, Constable Lundin estimated the Highlander's pre-crash speed at a minimum of 50 to 57 kilometres per hour. He testified that the calculation was a minimum speed because the motorcycle's trajectory after it was hit was stopped by a chain-link fence. Had the motorcycle travelled a longer distance, the slide-to-stop calculation would have resulted in a higher rate of speed for the SUV.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Constable Lundin testified that he was not originally aware of the Ogden Point video when he completed his report. He testified, however, that he believes the video confirmed his report, although he watched the video 50 to 100 times in order to confirm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Constable Lundin collected data from the Crash Data Recorder in the SUV. He initially had some difficulty in downloading that information from the Highlander and he testified that that was because, in his experience, the vehicle did not have power. He eventually was able to retrieve the data after attending the Toyota dealership and asking some questions. Constable Lundin was limited in his evidence to the plain English parts of the report. Constable Lundin testified that the Crash Data Retrieval Data indicated that the seatbelt reference and occupancy status part of the report showed that there were no other passengers in the vehicle. He also testified that the report said there was no indication of diagnostic codes, meaning that there were no problems with the way the system was operating. Constable Lundin also explained part of the Crash Data Retrieval Data report which contained information about the final five seconds prior to the crash. He explained that the report indicated that, in the final five seconds before the crash, the vehicle was travelling at speeds of: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Minus 4.1 seconds, 31.1 miles per hours or 50 kilometres per hour;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Minus 3.1 seconds, 33.6 miles per hour or 54 kilometres per hour;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Minus 2.1 seconds, 36 miles per hour or 58 kilometres per hour;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Minus 1.1 seconds, 38.5 miles per hour or 62 kilometres per hour;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Minus .01 seconds, 41 miles per hours or 66 kilometres per hour;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Zero, 41 miles per hour or 66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Constable Lundin also testified that, according to the report, in the final five seconds prior to the collision, the brakes were not engaged. He also testified that, according to the report, between 4.1 seconds and 1.1 seconds before the collision, the accelerator was engaged at "medium" and, at .1 seconds and at impact, the accelerator of the vehicle was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report shows that Mr. Gosse's vehicle was accelerating in the five seconds prior to the collision and the engine was revving. The report at page 255 indicates that the SUV was travelling in the vicinity of approximately 50 to 66 kilometres per hour in the five seconds prior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Constable Lundin could not speak to the calibration of the recorder, nor could he explain many of the items in the report. In particular, Constable Lundin was also asked about the RPM information contained in the report, however, he testified that he could not fully explain its significance and he said he does not rely on that data.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During the course of his testimony, Constable Lundin did not take the court through the video evidence and explain what he saw. He prepared his report and reached his conclusions before he became aware of the video of the collision. He testified that he watched the video 50 to 100 times and that the video confirmed his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Constable Stephen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Constable Stephen was also qualified as an expert with respect to collision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He was asked to calculate the speed of the motorcycle based on the surveillance videos. He testified that he did this by looking at the video and several still photographs. He testified that he calculated the speed of the motorcycle at 26 to 34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Constable Stephen gave evidence about his training and knowledge with respect to Crash Data Recorders and the Crash Data Retrieval Reports and he provided the updated Crash Data Retrieval Report based on new software.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Having considered all of the evidence at the trial, I am of the view that I can come to the following conclusions of fact:</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Highlander is observed at the Sidney McDonald's drive-through on July 24, 2013. It is clear from that video that its brake lights were operational at that date and time.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Highlander and the motorcycle are observed by video on Blanshard Street at Maycock Optical and the Atrium Building. Both vehicles appear to be driving appropriately with the motorcycle behind the Highlander.</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Highlander and the motorcycle are observed on video on Belleville Street near the Legislature and the former wax museum building. Again, both vehicles appears to be driving normally.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Both the Highlander and the motorcycle can be seen on the Ogden Point video entering Ogden Point via the south entrance. The Highlander enters Ogden Point first followed by the motorcycle.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cannot infer, based on the limited evidence before me, that the driver of the Highlander, Mr. Gosse, would have known that the motorcycle was behind him at that point.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Highlander continued straight into the parking area entitled, "Rest Parking Lot Area," and then proceeded to do a U-turn. This is where he was observed by Mr. Pollock.</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can infer, based on all the evidence, including the Harbour Authority maps and the surveillance video, that rather than following the Highlander into the parking lot, Mr. Broda made an immediate right-hand turn onto the roadway that travels towards the north entrance of Ogden Point.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completing the U-turn in the rest parking lot area, Mr. Gosse accelerated his SUV. Although revving does not always signify acceleration and speed, in this case, I am satisfied that the revving that was heard by the civilian witnesses signified acceleration and speed by the Highlander.</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can infer, based on all of the evidence, including the Harbour Authority maps and the description of civilians at the scene, that the Highlander then made a left-hand turn onto the roadway where the motorcycle had turned. I cannot conclude that turn was an illegal left-hand turn, notwithstanding Constable Lundin's evidence, since there was no obvious sign prohibiting that turn.</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roadway where the accident occurred can be described as follows. It has two-way traffic connecting the north and south entrances of Ogden Point. The right travelling lane proceeding north is narrow and has a pedestrian walkway on the right side which is separated from the roadway by metal poles and chains. Those poles and chains end prior to the point where the collision occurred and a solid fog line continues. The road curves to the right and travels straight before a marked crosswalk and raised speedbump.</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area where the collision occurred is a mixed-use parking lot area which would be used by vehicles and pedestrians. It is a popular walking area and could be expected to have pedestrian and vehicle traffic including buses at that time of the morning.</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it was signed at 30 kilometres an hour, that is only a speed advisory sign since it is private property and speed is not enforced by municipal police. That speed advisory has been changed to 20 kilometres per hour after the accident.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motorcycle was travelling the distance at a rate of 26 to 34 kilometres per hour based on Constable Stephen's evidence. The Highlander was travelling at a minimum speed of 50 to 57 kilometres per hour at the time of the collision based on the slide-to-stop calculation of Constable Lundin, which estimate is low because the motorcycle hit a fence. I agree with the defence submission that, for the purpose of my analysis, I should consider the bottom of that range, that is to say, 50 kilometres per hour, as a minimum speed and I have done so.</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best video evidence available is entitled by the file name, "Enhanced Video". This video contains both the original surveillance clip of the collision and a version of the clip which was enlarged by Mr. McKay. I am satisfied, based on the evidence of Mr. McKay, that the enlargement was an accurate one. Based on my viewing of both videos, the motorcycle proceeded around the speedbump and was turning back into the lane of travel when it was overtaken by the Highlander and the collision occurred.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the video evidence and from the slide-to-stop calculation, the Highlander was obviously travelling significantly faster than the motorcycle. The speed of the Highlander was excessive based on the video and all of the conditions that could reasonably have been expected in the area.</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motorcycle would have been within the Highlander's area of view for several seconds before the collision based on the GoPro video of Constable Elliott.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unable to conclude that the Highlander angled towards the motorcycle prior to the collision based on either the reconstruction evidence of Constable Lundin or based on the video. It appears to me, based on the video, that the Highlander remained in its lane and did not brake or otherwise slow down or deviate from its course in order to avoid the collision with the motorcycle.</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of the use of any alcohol, drug, or other intoxicant by Mr. Gosse. His reaction to the accident cannot be considered inappropriate in that he expressed some concern for the other driver and was observed to cry.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CRASH DATE RECORDER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first issue that I must decide is what use, if any, can be made of the Crash Data Retrieval Data evidence in my overall analysis. The Crown concedes that there is no evidence before me relating to the calibration of the device.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Crown argues that in order to assess the data contained in this report, it is necessary for the court to look for corroboration in the other evidence presented. The Crown argues that this evidence is contained in Constable Lundin's report and the video evidence. The court is invited to do a simple mathematical calculation itself by concluding that the video shows that the SUV crossed the field of view in just over half the time it takes the motorcycle to cross the field of view. The court is urged to use Constable Stephen's calculation as to speed of the motorcycle as 26 to 34 kilometres per hour which would mean, without acceleration, that the SUV was travelling in the vicinity of approximately 52 to 68 kilometres per hour. The Crown argues that this is entirely consistent with the report showing data acceleration from 50 to 66 kilometres per hour in the five seconds prior to the collision and with Constable Lundin's artificially low slide-to-stop estimate of between 50 to 57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However, I am not satisfied that the Crash Data Retrieval Evidence can be considered in my overall analysis. I come to that conclusion for three main reasons.</w:t>
      </w:r>
      <w:r>
        <w:rPr>
          <w:rFonts w:ascii="arial" w:eastAsia="arial" w:hAnsi="arial" w:cs="arial"/>
          <w:sz w:val="20"/>
          <w:lang w:val="en-US" w:eastAsia="en-US" w:bidi="ar-SA"/>
        </w:rPr>
        <w:cr/>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Neither Constable Lundin nor Constable Stephen were properly qualified on the interpretation of the Crash Data Retrieval Data evidence. In </w:t>
      </w:r>
      <w:r>
        <w:rPr>
          <w:rFonts w:ascii="arial" w:eastAsia="arial" w:hAnsi="arial" w:cs="arial"/>
          <w:i/>
          <w:color w:val="000000"/>
          <w:sz w:val="20"/>
          <w:lang w:val="en-US" w:eastAsia="en-US" w:bidi="ar-SA"/>
        </w:rPr>
        <w:t>R. v. Mohan</w:t>
      </w:r>
      <w:r>
        <w:rPr>
          <w:rFonts w:ascii="arial" w:eastAsia="arial" w:hAnsi="arial" w:cs="arial"/>
          <w:color w:val="000000"/>
          <w:sz w:val="20"/>
          <w:lang w:val="en-US" w:eastAsia="en-US" w:bidi="ar-SA"/>
        </w:rPr>
        <w:t xml:space="preserve">, </w:t>
      </w:r>
      <w:hyperlink r:id="rId920" w:history="1">
        <w:r>
          <w:rPr>
            <w:rFonts w:ascii="arial" w:eastAsia="arial" w:hAnsi="arial" w:cs="arial"/>
            <w:i/>
            <w:color w:val="0077CC"/>
            <w:sz w:val="20"/>
            <w:u w:val="single"/>
            <w:shd w:val="clear" w:color="auto" w:fill="FFFFFF"/>
            <w:lang w:val="en-US" w:eastAsia="en-US" w:bidi="ar-SA"/>
          </w:rPr>
          <w:t>[1994] 2 S.C.R. 9</w:t>
        </w:r>
      </w:hyperlink>
      <w:r>
        <w:rPr>
          <w:rFonts w:ascii="arial" w:eastAsia="arial" w:hAnsi="arial" w:cs="arial"/>
          <w:color w:val="000000"/>
          <w:sz w:val="20"/>
          <w:lang w:val="en-US" w:eastAsia="en-US" w:bidi="ar-SA"/>
        </w:rPr>
        <w:t>, the court set out the four well-known criteria for the reception of the expert evidence. The fourth criterion is a properly qualified expert. I am of the view that has not occurred here.</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my view that this case is different from that before Mr. Justice Schultes in </w:t>
      </w:r>
      <w:r>
        <w:rPr>
          <w:rFonts w:ascii="arial" w:eastAsia="arial" w:hAnsi="arial" w:cs="arial"/>
          <w:i/>
          <w:color w:val="000000"/>
          <w:sz w:val="20"/>
          <w:lang w:val="en-US" w:eastAsia="en-US" w:bidi="ar-SA"/>
        </w:rPr>
        <w:t>R. v. Parent</w:t>
      </w:r>
      <w:r>
        <w:rPr>
          <w:rFonts w:ascii="arial" w:eastAsia="arial" w:hAnsi="arial" w:cs="arial"/>
          <w:color w:val="000000"/>
          <w:sz w:val="20"/>
          <w:lang w:val="en-US" w:eastAsia="en-US" w:bidi="ar-SA"/>
        </w:rPr>
        <w:t xml:space="preserve">, </w:t>
      </w:r>
      <w:hyperlink r:id="rId921" w:history="1">
        <w:r>
          <w:rPr>
            <w:rFonts w:ascii="arial" w:eastAsia="arial" w:hAnsi="arial" w:cs="arial"/>
            <w:i/>
            <w:color w:val="0077CC"/>
            <w:sz w:val="20"/>
            <w:u w:val="single"/>
            <w:shd w:val="clear" w:color="auto" w:fill="FFFFFF"/>
            <w:lang w:val="en-US" w:eastAsia="en-US" w:bidi="ar-SA"/>
          </w:rPr>
          <w:t>2012 BCSC 533</w:t>
        </w:r>
      </w:hyperlink>
      <w:r>
        <w:rPr>
          <w:rFonts w:ascii="arial" w:eastAsia="arial" w:hAnsi="arial" w:cs="arial"/>
          <w:color w:val="000000"/>
          <w:sz w:val="20"/>
          <w:lang w:val="en-US" w:eastAsia="en-US" w:bidi="ar-SA"/>
        </w:rPr>
        <w:t>, at paras. 29 to 41, where he had the benefit of an accident reconstruction engineer who adjusted the speed recordings from the EDR in that case to provide an accurate measurement of speed because the vehicle had oversize tires. In the case before me, Constable Lundin was frank about the limitations of his ability to interpret the report and, in cross-examination, he conceded that he had no knowledge of the references to accelerator rate. He could also not fully explain the data about RPMs and testified that he did not rely on this data.</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view that Crash Data Retrieval Data is not like other forms of technological evidence that a person can interpret and critique without the aid of a qualified expert. There are aspects of the data that require an expert to help the court understand how much weight to give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Constable Stephen was not asked to interpret the Crash Data Retrieval printout and the evidence, in my view, goes no further than the two printouts themselves (Exhibit 23 and 32), and Constable Lundin's interpretation of them, such as it was. In my view, this case is similar to that before the court in </w:t>
      </w:r>
      <w:r>
        <w:rPr>
          <w:rFonts w:ascii="arial" w:eastAsia="arial" w:hAnsi="arial" w:cs="arial"/>
          <w:i/>
          <w:color w:val="000000"/>
          <w:sz w:val="20"/>
          <w:lang w:val="en-US" w:eastAsia="en-US" w:bidi="ar-SA"/>
        </w:rPr>
        <w:t>R. v. Gratton</w:t>
      </w:r>
      <w:r>
        <w:rPr>
          <w:rFonts w:ascii="arial" w:eastAsia="arial" w:hAnsi="arial" w:cs="arial"/>
          <w:color w:val="000000"/>
          <w:sz w:val="20"/>
          <w:lang w:val="en-US" w:eastAsia="en-US" w:bidi="ar-SA"/>
        </w:rPr>
        <w:t xml:space="preserve">, </w:t>
      </w:r>
      <w:hyperlink r:id="rId922" w:history="1">
        <w:r>
          <w:rPr>
            <w:rFonts w:ascii="arial" w:eastAsia="arial" w:hAnsi="arial" w:cs="arial"/>
            <w:i/>
            <w:color w:val="0077CC"/>
            <w:sz w:val="20"/>
            <w:u w:val="single"/>
            <w:shd w:val="clear" w:color="auto" w:fill="FFFFFF"/>
            <w:lang w:val="en-US" w:eastAsia="en-US" w:bidi="ar-SA"/>
          </w:rPr>
          <w:t>2003 ABQB 728</w:t>
        </w:r>
      </w:hyperlink>
      <w:r>
        <w:rPr>
          <w:rFonts w:ascii="arial" w:eastAsia="arial" w:hAnsi="arial" w:cs="arial"/>
          <w:color w:val="000000"/>
          <w:sz w:val="20"/>
          <w:lang w:val="en-US" w:eastAsia="en-US" w:bidi="ar-SA"/>
        </w:rPr>
        <w:t>, where the court stated commencing at para. 122: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[122] Taken to its basics, the evidence of Steven Pederson seems to be little more than that he knew how to seemingly download information onto his computer from a port said to be connected to another device, and to obtain a print out. Fundamentally, he knew very little about how the system worked, including even his own computer. More important, he did not know how to test the reliability of the information thus provided. </w:t>
      </w:r>
      <w:r>
        <w:rPr>
          <w:rFonts w:ascii="arial" w:eastAsia="arial" w:hAnsi="arial" w:cs="arial"/>
          <w:i/>
          <w:color w:val="000000"/>
          <w:sz w:val="20"/>
          <w:lang w:val="en-US" w:eastAsia="en-US" w:bidi="ar-SA"/>
        </w:rPr>
        <w:t>Daubert</w:t>
      </w:r>
      <w:r>
        <w:rPr>
          <w:rFonts w:ascii="arial" w:eastAsia="arial" w:hAnsi="arial" w:cs="arial"/>
          <w:color w:val="000000"/>
          <w:sz w:val="20"/>
          <w:lang w:val="en-US" w:eastAsia="en-US" w:bidi="ar-SA"/>
        </w:rPr>
        <w:t xml:space="preserve">, cited in </w:t>
      </w:r>
      <w:r>
        <w:rPr>
          <w:rFonts w:ascii="arial" w:eastAsia="arial" w:hAnsi="arial" w:cs="arial"/>
          <w:i/>
          <w:color w:val="000000"/>
          <w:sz w:val="20"/>
          <w:lang w:val="en-US" w:eastAsia="en-US" w:bidi="ar-SA"/>
        </w:rPr>
        <w:t>J.(J.-L.)</w:t>
      </w:r>
      <w:r>
        <w:rPr>
          <w:rFonts w:ascii="arial" w:eastAsia="arial" w:hAnsi="arial" w:cs="arial"/>
          <w:color w:val="000000"/>
          <w:sz w:val="20"/>
          <w:lang w:val="en-US" w:eastAsia="en-US" w:bidi="ar-SA"/>
        </w:rPr>
        <w:t xml:space="preserve">, </w:t>
      </w:r>
      <w:hyperlink r:id="rId923" w:history="1">
        <w:r>
          <w:rPr>
            <w:rFonts w:ascii="arial" w:eastAsia="arial" w:hAnsi="arial" w:cs="arial"/>
            <w:i/>
            <w:color w:val="0077CC"/>
            <w:sz w:val="20"/>
            <w:u w:val="single"/>
            <w:shd w:val="clear" w:color="auto" w:fill="FFFFFF"/>
            <w:lang w:val="en-US" w:eastAsia="en-US" w:bidi="ar-SA"/>
          </w:rPr>
          <w:t>[2000] 2 S.C.R. 600</w:t>
        </w:r>
      </w:hyperlink>
      <w:r>
        <w:rPr>
          <w:rFonts w:ascii="arial" w:eastAsia="arial" w:hAnsi="arial" w:cs="arial"/>
          <w:color w:val="000000"/>
          <w:sz w:val="20"/>
          <w:lang w:val="en-US" w:eastAsia="en-US" w:bidi="ar-SA"/>
        </w:rPr>
        <w:t xml:space="preserve"> set out factors that could be helpful in evaluating the soundness of novel science thus: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Mohan kept the door open to novel science, rejecting the "general acceptance" test formulated in the United States in </w:t>
      </w:r>
      <w:r>
        <w:rPr>
          <w:rFonts w:ascii="arial" w:eastAsia="arial" w:hAnsi="arial" w:cs="arial"/>
          <w:i/>
          <w:color w:val="000000"/>
          <w:sz w:val="20"/>
          <w:lang w:val="en-US" w:eastAsia="en-US" w:bidi="ar-SA"/>
        </w:rPr>
        <w:t>Frye v. United States</w:t>
      </w:r>
      <w:r>
        <w:rPr>
          <w:rFonts w:ascii="arial" w:eastAsia="arial" w:hAnsi="arial" w:cs="arial"/>
          <w:color w:val="000000"/>
          <w:sz w:val="20"/>
          <w:lang w:val="en-US" w:eastAsia="en-US" w:bidi="ar-SA"/>
        </w:rPr>
        <w:t xml:space="preserve">, 293 F. 1013 (D.C. Cir. 1923), and moving in parallel with its replacement, the "reliable foundation" test more recently laid down by the US Supreme Court in </w:t>
      </w:r>
      <w:r>
        <w:rPr>
          <w:rFonts w:ascii="arial" w:eastAsia="arial" w:hAnsi="arial" w:cs="arial"/>
          <w:i/>
          <w:color w:val="000000"/>
          <w:sz w:val="20"/>
          <w:lang w:val="en-US" w:eastAsia="en-US" w:bidi="ar-SA"/>
        </w:rPr>
        <w:t>Daubert v. Merrell Dow Pharmaceuticals, Inc.</w:t>
      </w:r>
      <w:r>
        <w:rPr>
          <w:rFonts w:ascii="arial" w:eastAsia="arial" w:hAnsi="arial" w:cs="arial"/>
          <w:color w:val="000000"/>
          <w:sz w:val="20"/>
          <w:lang w:val="en-US" w:eastAsia="en-US" w:bidi="ar-SA"/>
        </w:rPr>
        <w:t xml:space="preserve">, 509 U.S. 579 (1993). While </w:t>
      </w:r>
      <w:r>
        <w:rPr>
          <w:rFonts w:ascii="arial" w:eastAsia="arial" w:hAnsi="arial" w:cs="arial"/>
          <w:i/>
          <w:color w:val="000000"/>
          <w:sz w:val="20"/>
          <w:lang w:val="en-US" w:eastAsia="en-US" w:bidi="ar-SA"/>
        </w:rPr>
        <w:t>Daubert</w:t>
      </w:r>
      <w:r>
        <w:rPr>
          <w:rFonts w:ascii="arial" w:eastAsia="arial" w:hAnsi="arial" w:cs="arial"/>
          <w:color w:val="000000"/>
          <w:sz w:val="20"/>
          <w:lang w:val="en-US" w:eastAsia="en-US" w:bidi="ar-SA"/>
        </w:rPr>
        <w:t xml:space="preserve"> must be read in light of the specific text of the Federal Rules of Evidence, which differs from our own procedures, the U.S. Supreme Court did list a number of factors that could be helpful in evaluating the soundness of novel science (at pp. 593-94):</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theory or technique can be and has been tested: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Scientific methodology today is based on generating hypotheses and testing them to see if they can be falsified; indeed, this methodology is what distinguishes science from other fields of human inquiry.</w:t>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theory or technique has been subjected to peer review and publication: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[S]ubmission to the scrutiny of the scientific community is a component of "good science," in part because it increases the likelihood that substantive flaws in methodology will be detected.</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known or potential rate of error or the existence of standards; and,</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theory or technique used has been generally accepted: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 "reliability assessment does not require, although it does permit, explicit identification of a relevant scientific community and an express determination of a particular degree of acceptance within that community."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Widespread acceptance can be an important factor in ruling particular evidence admissible, and "known technique which has been able to attract only minimal support within the community,"... may properly be viewed with skepticism.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[123] The evidence led from Steven Pederson, in my view, placed that evidence in a category not much different from that of a person who was able to pull a book off a high shelf and read out pages from it. That would not make the contents of the pages admissible, particularly if the pages contained opinion evidence in a science not known or understood by the reader: see, by analogy, [</w:t>
      </w:r>
      <w:r>
        <w:rPr>
          <w:rFonts w:ascii="arial" w:eastAsia="arial" w:hAnsi="arial" w:cs="arial"/>
          <w:i/>
          <w:color w:val="000000"/>
          <w:sz w:val="20"/>
          <w:lang w:val="en-US" w:eastAsia="en-US" w:bidi="ar-SA"/>
        </w:rPr>
        <w:t>Foley</w:t>
      </w:r>
      <w:r>
        <w:rPr>
          <w:rFonts w:ascii="arial" w:eastAsia="arial" w:hAnsi="arial" w:cs="arial"/>
          <w:color w:val="000000"/>
          <w:sz w:val="20"/>
          <w:lang w:val="en-US" w:eastAsia="en-US" w:bidi="ar-SA"/>
        </w:rPr>
        <w:t xml:space="preserve">, </w:t>
      </w:r>
      <w:hyperlink r:id="rId924" w:history="1">
        <w:r>
          <w:rPr>
            <w:rFonts w:ascii="arial" w:eastAsia="arial" w:hAnsi="arial" w:cs="arial"/>
            <w:i/>
            <w:color w:val="0077CC"/>
            <w:sz w:val="20"/>
            <w:u w:val="single"/>
            <w:shd w:val="clear" w:color="auto" w:fill="FFFFFF"/>
            <w:lang w:val="en-US" w:eastAsia="en-US" w:bidi="ar-SA"/>
          </w:rPr>
          <w:t>[2002] A.J. No. 1551</w:t>
        </w:r>
      </w:hyperlink>
      <w:r>
        <w:rPr>
          <w:rFonts w:ascii="arial" w:eastAsia="arial" w:hAnsi="arial" w:cs="arial"/>
          <w:color w:val="000000"/>
          <w:sz w:val="20"/>
          <w:lang w:val="en-US" w:eastAsia="en-US" w:bidi="ar-SA"/>
        </w:rPr>
        <w:t xml:space="preserve"> [40]]. The case before me was not a matter of reading a wrist watch where the common law tends to accept the accuracy of time pieces as a matter of judicial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conclusion on this point, I am of the view that Crash Data Retrieval evidence is specialized evidence that requires a properly qualified expert in order to be properly considered on a criminal trial. It is my view that this evidence is not like GPS evidence considered by the court in </w:t>
      </w:r>
      <w:r>
        <w:rPr>
          <w:rFonts w:ascii="arial" w:eastAsia="arial" w:hAnsi="arial" w:cs="arial"/>
          <w:i/>
          <w:color w:val="000000"/>
          <w:sz w:val="20"/>
          <w:lang w:val="en-US" w:eastAsia="en-US" w:bidi="ar-SA"/>
        </w:rPr>
        <w:t>Dorgan and Gavin v. R.</w:t>
      </w:r>
      <w:r>
        <w:rPr>
          <w:rFonts w:ascii="arial" w:eastAsia="arial" w:hAnsi="arial" w:cs="arial"/>
          <w:color w:val="000000"/>
          <w:sz w:val="20"/>
          <w:lang w:val="en-US" w:eastAsia="en-US" w:bidi="ar-SA"/>
        </w:rPr>
        <w:t xml:space="preserve">, </w:t>
      </w:r>
      <w:hyperlink r:id="rId925" w:history="1">
        <w:r>
          <w:rPr>
            <w:rFonts w:ascii="arial" w:eastAsia="arial" w:hAnsi="arial" w:cs="arial"/>
            <w:i/>
            <w:color w:val="0077CC"/>
            <w:sz w:val="20"/>
            <w:u w:val="single"/>
            <w:shd w:val="clear" w:color="auto" w:fill="FFFFFF"/>
            <w:lang w:val="en-US" w:eastAsia="en-US" w:bidi="ar-SA"/>
          </w:rPr>
          <w:t>2008 PESCTD 37</w:t>
        </w:r>
      </w:hyperlink>
      <w:r>
        <w:rPr>
          <w:rFonts w:ascii="arial" w:eastAsia="arial" w:hAnsi="arial" w:cs="arial"/>
          <w:color w:val="000000"/>
          <w:sz w:val="20"/>
          <w:lang w:val="en-US" w:eastAsia="en-US" w:bidi="ar-SA"/>
        </w:rPr>
        <w:t>, since GPS technology is widely used by ordinary citizens and therefore has come within the realm of ordinary experience and knowledge. The technical nature of Crash Data Retrieval Data requires a qualified expert in order to assist the trier of fact in understanding any issues of accuracy that may call the reliability of the data into question. This was not adequately provided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my view, it would be dangerous to consider the CDR evidence or to attempt to calculate the speed of the vehicles on the basis of the video evidence, which accuracy itself was not independently confirmed by someone at Ogden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note, however, that even if I were to consider the Crash Data Retrieval evidence, it would not assist me in my overall analysis since, at most, it could establish that the Highlander was attempting to pass the motorcycle at a higher rate of speed than that which I have accepted as being a minimum of 50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turn now to analysis of the legal issues before me in this case. In commencing this analysis, and particularly in a highly charged case such as this one where Mr. Broda has suffered such tragic consequences of the collision, it is helpful to remind myself of some fundamental principles of our criminal law. An accused person is presumed innocent until proven guilty beyond a reasonable doubt and the burden of proof remains on the prosecution throughout the case. There is no obligation on the defence to prove anything or to call any evidence. Although it is open to me to draw inferences based on the evidence available, those inferences must flow logically from the proven facts. I cannot convict on a guess or supposition and must base my decision only on the evidence presented in this courtroom.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assessment of circumstantial evidence does not require that inferences found to be inconsistent with guilt must arise from proven facts. The defence is not required to establish facts upon which such an inference can be drawn. The question of whether there exists a reasonable doubt concerning guilt is to be assessed on the totality of the evidence not simply on the proven facts. The court can take into account alternate rational possibilities inconsistent with guilt that are grounded in the evidence: </w:t>
      </w:r>
      <w:r>
        <w:rPr>
          <w:rFonts w:ascii="arial" w:eastAsia="arial" w:hAnsi="arial" w:cs="arial"/>
          <w:i/>
          <w:color w:val="000000"/>
          <w:sz w:val="20"/>
          <w:lang w:val="en-US" w:eastAsia="en-US" w:bidi="ar-SA"/>
        </w:rPr>
        <w:t>R. v. Defaveri</w:t>
      </w:r>
      <w:r>
        <w:rPr>
          <w:rFonts w:ascii="arial" w:eastAsia="arial" w:hAnsi="arial" w:cs="arial"/>
          <w:color w:val="000000"/>
          <w:sz w:val="20"/>
          <w:lang w:val="en-US" w:eastAsia="en-US" w:bidi="ar-SA"/>
        </w:rPr>
        <w:t xml:space="preserve">, </w:t>
      </w:r>
      <w:hyperlink r:id="rId926" w:history="1">
        <w:r>
          <w:rPr>
            <w:rFonts w:ascii="arial" w:eastAsia="arial" w:hAnsi="arial" w:cs="arial"/>
            <w:i/>
            <w:color w:val="0077CC"/>
            <w:sz w:val="20"/>
            <w:u w:val="single"/>
            <w:shd w:val="clear" w:color="auto" w:fill="FFFFFF"/>
            <w:lang w:val="en-US" w:eastAsia="en-US" w:bidi="ar-SA"/>
          </w:rPr>
          <w:t>2014 BCCA 370</w:t>
        </w:r>
      </w:hyperlink>
      <w:r>
        <w:rPr>
          <w:rFonts w:ascii="arial" w:eastAsia="arial" w:hAnsi="arial" w:cs="arial"/>
          <w:color w:val="000000"/>
          <w:sz w:val="20"/>
          <w:lang w:val="en-US" w:eastAsia="en-US" w:bidi="ar-SA"/>
        </w:rPr>
        <w:t>, a paras. 6 to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have reminded myself, as well, that credibility and reliability of witnesses are not necessarily synonymous. However, this is not a case which rests on the credibility of witnesses since I am satisfied that all of the witnesses including the experts were forthright and credible in the manner they delivered the evidence. The issue before me is whether the civilian evidence, expert evidence, video evidence, and driving evidence available is sufficient to support the offences charged or the included offence of dangerous driving causing bodily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Before considering the evidence in relation to the offences charged, it is helpful to consider what the evidence does not show. Although there is no obligation on the Crown to prove a motive, there has been no motive proven in this case. There is no evidence before me that Mr. Gosse and Mr. Broda knew each other prior to the collision nor is there any evidence that they had any interaction whatsoever with each other as drivers on the road or in any other manner prior to the collision. As I have already stated, the evidence is not sufficient for me to conclude that Mr. Gosse must have known that Mr. Broda was behind him when the vehicles entered the Ogden Point parking lot. While there may be a back story here that precedes the events at Ogden Point, there is no evidence of what that story is. The driving evidence which is available to me, which consists of the brief video clip on Blanshard Street at the Atrium Building, the still photographs at Maycock Optical, and the driving evidence on Belleville Street, indicates that both the Highlander and the motorcycle were driving appropriately with the proper spacing between them. There is no evidence at all to suggest, for example, that this collision occurs because of road rage and the Crown has not submitted that road rage played any role in this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There is no evidence that Mr. Gosse was distracted by a cellphone since the evidence suggests that he did not have one, nor that eating or any other activity in Mr. Gosse's vehicle contributed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defence has argued that not only is there no evidence of motive, but there is a proven absence of motive in this case. It is my view that the evidence does not rise to that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As noted by the defence, the post-offence conduct of Mr. Gosse was inconsistent with any pre-collision animus by Mr. Gosse towards Mr. Broda. Mr. Gosse did not attempt to flee. He expressed an acknowledgment that his condition was better than that of the motorcycle driver, Mr. Broda, and he cried. All of the evidence suggested his behaviour was consistent with shock or despondency. However, as noted by the Crown, his actions could also be consistent with regret over his deliberate actions. I am of the view that the available evidence does not rise to the level of proven absence of motive, although the defence does not have to prove that,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ASSAULT OFFENCES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order for the Crown to prove assault with a weapon and aggravated assault, I must be satisfied that Mr. Gosse intentionally applied force to Mr. Broda. For assault with a weapon, I must be satisfied that Mr. Gosse used his Toyota Highlander to commit the assault. Since it is always difficult for a court to know what is in a person's mind, I must draw my conclusions based on the totality of the evidence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Crown submits that the review of the video from Ogden Point makes it clear that Mr. Gosse drove his vehicle directly at Mr. Broda without braking and, at the last minute, he turned slightly further towards Mr. Broda.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As part of my deliberative process, I have viewed the Ogden Point video several times in accordance with the process described by Mr. McKay in his evidence. I attempted to play the videos directly from a USB drive provided to me by the Crown using the Windows Media Player program and was unsuccessful. In accordance with the instructions from Mr. McKay, I played the video with the QuickTime Player. The video played, however, it appeared to be slower than it ought to have been. In accordance with the evidence of Mr. McKay, I copied the file onto my hard drive and was able to play the video file using the QuickTime Player without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 am of the view that the manner that I viewed the videos in my chambers replicated the manner in which I viewed them in court. I am of the view that I am permitted to view them in this manner and have followed a process similar to that followed by Macaulay J. in </w:t>
      </w:r>
      <w:r>
        <w:rPr>
          <w:rFonts w:ascii="arial" w:eastAsia="arial" w:hAnsi="arial" w:cs="arial"/>
          <w:i/>
          <w:color w:val="000000"/>
          <w:sz w:val="20"/>
          <w:lang w:val="en-US" w:eastAsia="en-US" w:bidi="ar-SA"/>
        </w:rPr>
        <w:t>R. v. Huth</w:t>
      </w:r>
      <w:r>
        <w:rPr>
          <w:rFonts w:ascii="arial" w:eastAsia="arial" w:hAnsi="arial" w:cs="arial"/>
          <w:color w:val="000000"/>
          <w:sz w:val="20"/>
          <w:lang w:val="en-US" w:eastAsia="en-US" w:bidi="ar-SA"/>
        </w:rPr>
        <w:t xml:space="preserve">, </w:t>
      </w:r>
      <w:hyperlink r:id="rId927" w:history="1">
        <w:r>
          <w:rPr>
            <w:rFonts w:ascii="arial" w:eastAsia="arial" w:hAnsi="arial" w:cs="arial"/>
            <w:i/>
            <w:color w:val="0077CC"/>
            <w:sz w:val="20"/>
            <w:u w:val="single"/>
            <w:shd w:val="clear" w:color="auto" w:fill="FFFFFF"/>
            <w:lang w:val="en-US" w:eastAsia="en-US" w:bidi="ar-SA"/>
          </w:rPr>
          <w:t>2013 BCSC 2086</w:t>
        </w:r>
      </w:hyperlink>
      <w:r>
        <w:rPr>
          <w:rFonts w:ascii="arial" w:eastAsia="arial" w:hAnsi="arial" w:cs="arial"/>
          <w:color w:val="000000"/>
          <w:sz w:val="20"/>
          <w:lang w:val="en-US" w:eastAsia="en-US" w:bidi="ar-SA"/>
        </w:rPr>
        <w:t>, at paras. 27 to 28. There was nothing about the manner that I viewed them that was different than what I viewed in court. I conclude that I have not identified anything that counsel has not addressed in their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My review included both the enhanced video of Mr. McKay along with the original video submitted through Constable Szucs. I share the view of the defence that, on both the original and on the enlarged video, Mr. Broda's motorcycle can be seen moving to the right of the road around the speedbump and it appears to be struck as it is moving back into the lane of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It is my view that the video evidence combined with the other evidence available falls far short of establishing the necessary intent for the assault offences. I am of the view that the video evidence is not clear that the Highlander vehicle turned towards Mr. Broda at the last minute as argued by the Crown. In reviewing the video evidence, it appears to me that, at the time of the collision, the Highlander remains in its lane and the motorcycle goes around the speedbump and appears to be re-entering the lane. In those circumstances, the collision could have occurred as a result of loss of control of the Highlander as a result of excessive speed over the speedbump during an attempt to overtake the motorcycle as opposed to an intentional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Even if, hypothetically, there was some evidence before me of some type of road rage incident on the approach to Ogden Point and as I have noted, there is no evidence of that, the collision itself could still have occurred as a result of an aggressive attempt to pass the motorcycle as a result of dangerous driving as opposed to an intention to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summary, the evidence falls well short of the evidence necessary to establish the necessary intention to assault. I am being asked by the Crown to find the necessary intention on the basis of video evidence which Constable Lundin viewed 50 to 100 times in order to complete his opinion. I cannot draw the necessary conclusions of fact on the basis of that video evidence in order to find the element of intention. As a result, I find Mr. Gosse not guilty of Count 2 and Count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 turn now to some of the legal principles I must apply in my analysis of Count 1, the offence of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operation of a motor vehicle causing bodily harm and the included offence of dangerous driving causing bodily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As noted in argument, for more than 75 years, the courts have been wrestling with how to define the difference between civil and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operation of a motor vehicle and the physical and mental elements of the offence of dangerous driving: see </w:t>
      </w:r>
      <w:r>
        <w:rPr>
          <w:rFonts w:ascii="arial" w:eastAsia="arial" w:hAnsi="arial" w:cs="arial"/>
          <w:i/>
          <w:color w:val="000000"/>
          <w:sz w:val="20"/>
          <w:lang w:val="en-US" w:eastAsia="en-US" w:bidi="ar-SA"/>
        </w:rPr>
        <w:t>R. v. Roy</w:t>
      </w:r>
      <w:r>
        <w:rPr>
          <w:rFonts w:ascii="arial" w:eastAsia="arial" w:hAnsi="arial" w:cs="arial"/>
          <w:color w:val="000000"/>
          <w:sz w:val="20"/>
          <w:lang w:val="en-US" w:eastAsia="en-US" w:bidi="ar-SA"/>
        </w:rPr>
        <w:t xml:space="preserve">, </w:t>
      </w:r>
      <w:hyperlink r:id="rId928" w:history="1">
        <w:r>
          <w:rPr>
            <w:rFonts w:ascii="arial" w:eastAsia="arial" w:hAnsi="arial" w:cs="arial"/>
            <w:i/>
            <w:color w:val="0077CC"/>
            <w:sz w:val="20"/>
            <w:u w:val="single"/>
            <w:shd w:val="clear" w:color="auto" w:fill="FFFFFF"/>
            <w:lang w:val="en-US" w:eastAsia="en-US" w:bidi="ar-SA"/>
          </w:rPr>
          <w:t>2012 SCC 26</w:t>
        </w:r>
      </w:hyperlink>
      <w:r>
        <w:rPr>
          <w:rFonts w:ascii="arial" w:eastAsia="arial" w:hAnsi="arial" w:cs="arial"/>
          <w:color w:val="000000"/>
          <w:sz w:val="20"/>
          <w:lang w:val="en-US" w:eastAsia="en-US" w:bidi="ar-SA"/>
        </w:rPr>
        <w:t>, at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Parent</w:t>
      </w:r>
      <w:r>
        <w:rPr>
          <w:rFonts w:ascii="arial" w:eastAsia="arial" w:hAnsi="arial" w:cs="arial"/>
          <w:color w:val="000000"/>
          <w:sz w:val="20"/>
          <w:lang w:val="en-US" w:eastAsia="en-US" w:bidi="ar-SA"/>
        </w:rPr>
        <w:t xml:space="preserve">, </w:t>
      </w:r>
      <w:hyperlink r:id="rId921" w:history="1">
        <w:r>
          <w:rPr>
            <w:rFonts w:ascii="arial" w:eastAsia="arial" w:hAnsi="arial" w:cs="arial"/>
            <w:i/>
            <w:color w:val="0077CC"/>
            <w:sz w:val="20"/>
            <w:u w:val="single"/>
            <w:shd w:val="clear" w:color="auto" w:fill="FFFFFF"/>
            <w:lang w:val="en-US" w:eastAsia="en-US" w:bidi="ar-SA"/>
          </w:rPr>
          <w:t>2012 BCSC 533</w:t>
        </w:r>
      </w:hyperlink>
      <w:r>
        <w:rPr>
          <w:rFonts w:ascii="arial" w:eastAsia="arial" w:hAnsi="arial" w:cs="arial"/>
          <w:color w:val="000000"/>
          <w:sz w:val="20"/>
          <w:lang w:val="en-US" w:eastAsia="en-US" w:bidi="ar-SA"/>
        </w:rPr>
        <w:t>, Schultes J. includes a helpful summary of the law in this area commencing at paras 130 to 133: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[130] With respect to dangerous driving, </w:t>
      </w:r>
      <w:r>
        <w:rPr>
          <w:rFonts w:ascii="arial" w:eastAsia="arial" w:hAnsi="arial" w:cs="arial"/>
          <w:i/>
          <w:color w:val="000000"/>
          <w:sz w:val="20"/>
          <w:lang w:val="en-US" w:eastAsia="en-US" w:bidi="ar-SA"/>
        </w:rPr>
        <w:t>R. v. Beatty</w:t>
      </w:r>
      <w:r>
        <w:rPr>
          <w:rFonts w:ascii="arial" w:eastAsia="arial" w:hAnsi="arial" w:cs="arial"/>
          <w:color w:val="000000"/>
          <w:sz w:val="20"/>
          <w:lang w:val="en-US" w:eastAsia="en-US" w:bidi="ar-SA"/>
        </w:rPr>
        <w:t xml:space="preserve">, </w:t>
      </w:r>
      <w:hyperlink r:id="rId929" w:history="1">
        <w:r>
          <w:rPr>
            <w:rFonts w:ascii="arial" w:eastAsia="arial" w:hAnsi="arial" w:cs="arial"/>
            <w:i/>
            <w:color w:val="0077CC"/>
            <w:sz w:val="20"/>
            <w:u w:val="single"/>
            <w:shd w:val="clear" w:color="auto" w:fill="FFFFFF"/>
            <w:lang w:val="en-US" w:eastAsia="en-US" w:bidi="ar-SA"/>
          </w:rPr>
          <w:t>[2008] 1 S.C.R. 49</w:t>
        </w:r>
      </w:hyperlink>
      <w:r>
        <w:rPr>
          <w:rFonts w:ascii="arial" w:eastAsia="arial" w:hAnsi="arial" w:cs="arial"/>
          <w:color w:val="000000"/>
          <w:sz w:val="20"/>
          <w:lang w:val="en-US" w:eastAsia="en-US" w:bidi="ar-SA"/>
        </w:rPr>
        <w:t xml:space="preserve">, the Supreme Court of Canada discussed the physical and mental elements of the offence of dangerous driving. At para. 43, Justice Charron discussed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trier of fact must be satisfied beyond a reasonable doubt that, viewed objectively, the accused was, in the words of the section, driving in a manner that was "dangerous to the public, having regard to all the circumstances, including the nature, condition and use of the place at which the motor vehicle is being operated and the amount of traffic that at the time is or might reasonably be expected to be at that place".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Charron J. followed with an explanation of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trier of fact must also be satisfied beyond a reasonable doubt that the accused's objectively dangerous conduct was accompanied by the required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In making the objective assessment, the trier of fact should be satisfied on the basis of all the evidence, including evidence about the accused's actual state of mind, if any, that the conduct amounted to a marked departure from the standard of care that a reasonable person would observe in the accused's circumstances. Moreover, if an explanation is offered by the accused, then in order to convict, the trier of fact must be satisfied that a reasonable person in similar circumstances ought to have been aware of the risk and of the danger involved in the conduct manifested by the accused.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[131] With respect to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of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in the words of the statute, conduct showing "a wanton and reckless disregard for the lives or safety of the others": see </w:t>
      </w:r>
      <w:r>
        <w:rPr>
          <w:rFonts w:ascii="arial" w:eastAsia="arial" w:hAnsi="arial" w:cs="arial"/>
          <w:i/>
          <w:color w:val="000000"/>
          <w:sz w:val="20"/>
          <w:lang w:val="en-US" w:eastAsia="en-US" w:bidi="ar-SA"/>
        </w:rPr>
        <w:t>R. v. Tayfel</w:t>
      </w:r>
      <w:r>
        <w:rPr>
          <w:rFonts w:ascii="arial" w:eastAsia="arial" w:hAnsi="arial" w:cs="arial"/>
          <w:color w:val="000000"/>
          <w:sz w:val="20"/>
          <w:lang w:val="en-US" w:eastAsia="en-US" w:bidi="ar-SA"/>
        </w:rPr>
        <w:t xml:space="preserve">, </w:t>
      </w:r>
      <w:hyperlink r:id="rId930" w:history="1">
        <w:r>
          <w:rPr>
            <w:rFonts w:ascii="arial" w:eastAsia="arial" w:hAnsi="arial" w:cs="arial"/>
            <w:i/>
            <w:color w:val="0077CC"/>
            <w:sz w:val="20"/>
            <w:u w:val="single"/>
            <w:shd w:val="clear" w:color="auto" w:fill="FFFFFF"/>
            <w:lang w:val="en-US" w:eastAsia="en-US" w:bidi="ar-SA"/>
          </w:rPr>
          <w:t>2009 MBCA 124</w:t>
        </w:r>
      </w:hyperlink>
      <w:r>
        <w:rPr>
          <w:rFonts w:ascii="arial" w:eastAsia="arial" w:hAnsi="arial" w:cs="arial"/>
          <w:color w:val="000000"/>
          <w:sz w:val="20"/>
          <w:lang w:val="en-US" w:eastAsia="en-US" w:bidi="ar-SA"/>
        </w:rPr>
        <w:t xml:space="preserve"> at para. 50.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[132] In </w:t>
      </w:r>
      <w:r>
        <w:rPr>
          <w:rFonts w:ascii="arial" w:eastAsia="arial" w:hAnsi="arial" w:cs="arial"/>
          <w:i/>
          <w:color w:val="000000"/>
          <w:sz w:val="20"/>
          <w:lang w:val="en-US" w:eastAsia="en-US" w:bidi="ar-SA"/>
        </w:rPr>
        <w:t>R. v. Hughes</w:t>
      </w:r>
      <w:r>
        <w:rPr>
          <w:rFonts w:ascii="arial" w:eastAsia="arial" w:hAnsi="arial" w:cs="arial"/>
          <w:color w:val="000000"/>
          <w:sz w:val="20"/>
          <w:lang w:val="en-US" w:eastAsia="en-US" w:bidi="ar-SA"/>
        </w:rPr>
        <w:t xml:space="preserve">, </w:t>
      </w:r>
      <w:hyperlink r:id="rId931" w:history="1">
        <w:r>
          <w:rPr>
            <w:rFonts w:ascii="arial" w:eastAsia="arial" w:hAnsi="arial" w:cs="arial"/>
            <w:i/>
            <w:color w:val="0077CC"/>
            <w:sz w:val="20"/>
            <w:u w:val="single"/>
            <w:shd w:val="clear" w:color="auto" w:fill="FFFFFF"/>
            <w:lang w:val="en-US" w:eastAsia="en-US" w:bidi="ar-SA"/>
          </w:rPr>
          <w:t>2011 BCCA 220</w:t>
        </w:r>
      </w:hyperlink>
      <w:r>
        <w:rPr>
          <w:rFonts w:ascii="arial" w:eastAsia="arial" w:hAnsi="arial" w:cs="arial"/>
          <w:color w:val="000000"/>
          <w:sz w:val="20"/>
          <w:lang w:val="en-US" w:eastAsia="en-US" w:bidi="ar-SA"/>
        </w:rPr>
        <w:t xml:space="preserve"> at para. 32, our Court of Appeal quoted a helpful distillation by the trial judge in that case of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of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it has been expressed by the Supreme Court of Canada in </w:t>
      </w:r>
      <w:r>
        <w:rPr>
          <w:rFonts w:ascii="arial" w:eastAsia="arial" w:hAnsi="arial" w:cs="arial"/>
          <w:i/>
          <w:color w:val="000000"/>
          <w:sz w:val="20"/>
          <w:lang w:val="en-US" w:eastAsia="en-US" w:bidi="ar-SA"/>
        </w:rPr>
        <w:t>R. v. J.F.</w:t>
      </w:r>
      <w:r>
        <w:rPr>
          <w:rFonts w:ascii="arial" w:eastAsia="arial" w:hAnsi="arial" w:cs="arial"/>
          <w:color w:val="000000"/>
          <w:sz w:val="20"/>
          <w:lang w:val="en-US" w:eastAsia="en-US" w:bidi="ar-SA"/>
        </w:rPr>
        <w:t xml:space="preserve">, </w:t>
      </w:r>
      <w:hyperlink r:id="rId932" w:history="1">
        <w:r>
          <w:rPr>
            <w:rFonts w:ascii="arial" w:eastAsia="arial" w:hAnsi="arial" w:cs="arial"/>
            <w:i/>
            <w:color w:val="0077CC"/>
            <w:sz w:val="20"/>
            <w:u w:val="single"/>
            <w:shd w:val="clear" w:color="auto" w:fill="FFFFFF"/>
            <w:lang w:val="en-US" w:eastAsia="en-US" w:bidi="ar-SA"/>
          </w:rPr>
          <w:t>2008 SCC 60</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which is common to all charges of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in my respectful opinion, to be stated this way: On a count alleging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Crown is bound to show that the accused's [act...] represented a marked and substantial departure (as opposed to a marked departure) from the conduct of a reasonably prudent [driver...] in circumstances where the accused either recognized and ran an obvious and serious risk to the life or bodily integrity of [whomever] or, alternatively, gave no thought to that risk.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[133] Both of these offences, dangerous driving and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based. They both allow for exculpatory defences for those circumstances "where... a reasonable person in the position of the accused would not have been aware of the risk or, alternatively, would not have been able to avoid creating the danger": </w:t>
      </w:r>
      <w:r>
        <w:rPr>
          <w:rFonts w:ascii="arial" w:eastAsia="arial" w:hAnsi="arial" w:cs="arial"/>
          <w:i/>
          <w:color w:val="000000"/>
          <w:sz w:val="20"/>
          <w:lang w:val="en-US" w:eastAsia="en-US" w:bidi="ar-SA"/>
        </w:rPr>
        <w:t>Beatty</w:t>
      </w:r>
      <w:r>
        <w:rPr>
          <w:rFonts w:ascii="arial" w:eastAsia="arial" w:hAnsi="arial" w:cs="arial"/>
          <w:color w:val="000000"/>
          <w:sz w:val="20"/>
          <w:lang w:val="en-US" w:eastAsia="en-US" w:bidi="ar-SA"/>
        </w:rPr>
        <w:t>, at para.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Beatty</w:t>
      </w:r>
      <w:r>
        <w:rPr>
          <w:rFonts w:ascii="arial" w:eastAsia="arial" w:hAnsi="arial" w:cs="arial"/>
          <w:color w:val="000000"/>
          <w:sz w:val="20"/>
          <w:lang w:val="en-US" w:eastAsia="en-US" w:bidi="ar-SA"/>
        </w:rPr>
        <w:t>, which was a dangerous-driving-causing-death case, Madam Justice Charron said this commencing at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 Court in </w:t>
      </w:r>
      <w:r>
        <w:rPr>
          <w:rFonts w:ascii="arial" w:eastAsia="arial" w:hAnsi="arial" w:cs="arial"/>
          <w:i/>
          <w:color w:val="000000"/>
          <w:sz w:val="20"/>
          <w:lang w:val="en-US" w:eastAsia="en-US" w:bidi="ar-SA"/>
        </w:rPr>
        <w:t>Hundal</w:t>
      </w:r>
      <w:r>
        <w:rPr>
          <w:rFonts w:ascii="arial" w:eastAsia="arial" w:hAnsi="arial" w:cs="arial"/>
          <w:color w:val="000000"/>
          <w:sz w:val="20"/>
          <w:lang w:val="en-US" w:eastAsia="en-US" w:bidi="ar-SA"/>
        </w:rPr>
        <w:t xml:space="preserve">, however, made it clear that the requisite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may only be found when there is a "marked departure" from the standard of care expected of a reasonable person in the circumstances of the accused. This modification to the usual civil test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mandated by the criminal setting. It is only when there is a "marked departure" that the conduct demonstrates sufficient blameworthiness to support a finding of penal liability. One aspect of driving, "the automatic and reflexive nature of driving", particularly highlights the need for the "marked departure" requirement in a criminal setting.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She said further, commencing at para. 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For that reason, the objective test, as modified to suit the criminal setting, requires proof of a marked departure from the standard of care that a reasonable person would observe in all the circumstances. As stated earlier, it is only when there is a marked departure from the norm that objectively dangerous conduct demonstrates sufficient blameworthiness to support a finding of penal liability. With the marked departure, the act of dangerous driving is accompanied with the presence of sufficient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and the offence is made out. The Court, however, added a second important qualification to the objective test -- the allowance for exculpatory defences.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elements for both the offence of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dangerous driving are derived from the words in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For an offence under s. 221,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operation of a motor vehicle, the offender must show "wanton or reckless disregard for the lives or safety of others". In </w:t>
      </w:r>
      <w:r>
        <w:rPr>
          <w:rFonts w:ascii="arial" w:eastAsia="arial" w:hAnsi="arial" w:cs="arial"/>
          <w:i/>
          <w:color w:val="000000"/>
          <w:sz w:val="20"/>
          <w:lang w:val="en-US" w:eastAsia="en-US" w:bidi="ar-SA"/>
        </w:rPr>
        <w:t>R. v. Waite</w:t>
      </w:r>
      <w:r>
        <w:rPr>
          <w:rFonts w:ascii="arial" w:eastAsia="arial" w:hAnsi="arial" w:cs="arial"/>
          <w:color w:val="000000"/>
          <w:sz w:val="20"/>
          <w:lang w:val="en-US" w:eastAsia="en-US" w:bidi="ar-SA"/>
        </w:rPr>
        <w:t xml:space="preserve"> </w:t>
      </w:r>
      <w:hyperlink r:id="rId933" w:history="1">
        <w:r>
          <w:rPr>
            <w:rFonts w:ascii="arial" w:eastAsia="arial" w:hAnsi="arial" w:cs="arial"/>
            <w:i/>
            <w:color w:val="0077CC"/>
            <w:sz w:val="20"/>
            <w:u w:val="single"/>
            <w:shd w:val="clear" w:color="auto" w:fill="FFFFFF"/>
            <w:lang w:val="en-US" w:eastAsia="en-US" w:bidi="ar-SA"/>
          </w:rPr>
          <w:t>(1986) 28 C.C.C. (3d) 326</w:t>
        </w:r>
      </w:hyperlink>
      <w:r>
        <w:rPr>
          <w:rFonts w:ascii="arial" w:eastAsia="arial" w:hAnsi="arial" w:cs="arial"/>
          <w:color w:val="000000"/>
          <w:sz w:val="20"/>
          <w:lang w:val="en-US" w:eastAsia="en-US" w:bidi="ar-SA"/>
        </w:rPr>
        <w:t>, wanton or reckless disregard was defined as heedless or without regard for the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For the offence of dangerous driving under s. 249, the court must make a meaningful inquiry into the manner of driving. The focus of the analysis cannot be on the consequences of the driving. That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is derived from the section itself which reads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a manner that is dangerous to the public, having regard to all the circumstances, including the nature, condition and use of the place at which the motor vehicle is being operated and the amount of traffic that at the time is or might reasonably be expected to be at that place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At para. 48 of </w:t>
      </w:r>
      <w:r>
        <w:rPr>
          <w:rFonts w:ascii="arial" w:eastAsia="arial" w:hAnsi="arial" w:cs="arial"/>
          <w:i/>
          <w:color w:val="000000"/>
          <w:sz w:val="20"/>
          <w:lang w:val="en-US" w:eastAsia="en-US" w:bidi="ar-SA"/>
        </w:rPr>
        <w:t>Beatty</w:t>
      </w:r>
      <w:r>
        <w:rPr>
          <w:rFonts w:ascii="arial" w:eastAsia="arial" w:hAnsi="arial" w:cs="arial"/>
          <w:color w:val="000000"/>
          <w:sz w:val="20"/>
          <w:lang w:val="en-US" w:eastAsia="en-US" w:bidi="ar-SA"/>
        </w:rPr>
        <w:t>, Madam Justice Charron stated the mischief Parliament sought to address in enacting s. 249 encompassed a wide range of behaviour.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 Therefore, while proof of subjective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will clearly suffice, it is not essential. In the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-based offences such as this one, doing the proscribed act with the absence of the appropriate mental state of care may instead suffice to constitute the requisite fault. The presence of objective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is determined by assessing the dangerous conduct as against the standard expected of a reasonably prudent driver. If the dangerous conduct constitutes a "marked departure" from that norm, the offence will be made out. As stated earlier, what constitutes a "marked departure" from the standard expected of a reasonably prudent driver is a matter of degree. The lack of care must be serious enough to merit punishment. There is no doubt that conduct occurring in a few seconds can constitute a marked departure from the standard of a reasonable person. Nonetheless, as Doherty J.A. aptly remarked in </w:t>
      </w:r>
      <w:r>
        <w:rPr>
          <w:rFonts w:ascii="arial" w:eastAsia="arial" w:hAnsi="arial" w:cs="arial"/>
          <w:i/>
          <w:color w:val="000000"/>
          <w:sz w:val="20"/>
          <w:lang w:val="en-US" w:eastAsia="en-US" w:bidi="ar-SA"/>
        </w:rPr>
        <w:t>Willock</w:t>
      </w:r>
      <w:r>
        <w:rPr>
          <w:rFonts w:ascii="arial" w:eastAsia="arial" w:hAnsi="arial" w:cs="arial"/>
          <w:color w:val="000000"/>
          <w:sz w:val="20"/>
          <w:lang w:val="en-US" w:eastAsia="en-US" w:bidi="ar-SA"/>
        </w:rPr>
        <w:t xml:space="preserve">, </w:t>
      </w:r>
      <w:hyperlink r:id="rId934" w:history="1">
        <w:r>
          <w:rPr>
            <w:rFonts w:ascii="arial" w:eastAsia="arial" w:hAnsi="arial" w:cs="arial"/>
            <w:i/>
            <w:color w:val="0077CC"/>
            <w:sz w:val="20"/>
            <w:u w:val="single"/>
            <w:shd w:val="clear" w:color="auto" w:fill="FFFFFF"/>
            <w:lang w:val="en-US" w:eastAsia="en-US" w:bidi="ar-SA"/>
          </w:rPr>
          <w:t>[2006] O.J. No. 2451</w:t>
        </w:r>
      </w:hyperlink>
      <w:r>
        <w:rPr>
          <w:rFonts w:ascii="arial" w:eastAsia="arial" w:hAnsi="arial" w:cs="arial"/>
          <w:color w:val="000000"/>
          <w:sz w:val="20"/>
          <w:lang w:val="en-US" w:eastAsia="en-US" w:bidi="ar-SA"/>
        </w:rPr>
        <w:t xml:space="preserve"> "conduct that occurs in such a brief timeframe in the course of driving, which is otherwise proper in all respects, is more suggestive of the civil rather than the criminal end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continuum" (para. 31). Although </w:t>
      </w:r>
      <w:r>
        <w:rPr>
          <w:rFonts w:ascii="arial" w:eastAsia="arial" w:hAnsi="arial" w:cs="arial"/>
          <w:i/>
          <w:color w:val="000000"/>
          <w:sz w:val="20"/>
          <w:lang w:val="en-US" w:eastAsia="en-US" w:bidi="ar-SA"/>
        </w:rPr>
        <w:t>Willock</w:t>
      </w:r>
      <w:r>
        <w:rPr>
          <w:rFonts w:ascii="arial" w:eastAsia="arial" w:hAnsi="arial" w:cs="arial"/>
          <w:color w:val="000000"/>
          <w:sz w:val="20"/>
          <w:lang w:val="en-US" w:eastAsia="en-US" w:bidi="ar-SA"/>
        </w:rPr>
        <w:t xml:space="preserve"> concerned the offence of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 offence which is higher on the continuum of negligent driving, this observation is equally apt with respect to the offence of dangerous operation of a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DANGEROUS DRIVING CAUSING BODILY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will focus the remainder of this judgment on the offence of dangerous driving causing bodily harm which, as I have indicated at the outset, I am satisfied is made out on the available evidence. The defence suggested that I should approach the analysis this way, that is, start with the offence of dangerous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 state at the outset that I am not persuaded, as argued by the defence, that the collision is consistent with the momentary-inattention line of cases. Although the dangerous driving occurs over a matter of seconds from the time that the Highlander does the U-turn, accelerates, and makes the left-hand turn into the roadway until the time of the collision, it does, in my view, meet the requirements for both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of the offence of dangerous driving causing bodily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In the course of argument, the defence drew my attention to a large number of dangerous driving cases and included a case summary chart which I found helpful. I do not intend to discuss all of these cases since each case is unique on its own facts, but that chart included: </w:t>
      </w:r>
      <w:r>
        <w:rPr>
          <w:rFonts w:ascii="arial" w:eastAsia="arial" w:hAnsi="arial" w:cs="arial"/>
          <w:i/>
          <w:color w:val="000000"/>
          <w:sz w:val="20"/>
          <w:lang w:val="en-US" w:eastAsia="en-US" w:bidi="ar-SA"/>
        </w:rPr>
        <w:t>R. v. Hundal,</w:t>
      </w:r>
      <w:r>
        <w:rPr>
          <w:rFonts w:ascii="arial" w:eastAsia="arial" w:hAnsi="arial" w:cs="arial"/>
          <w:color w:val="000000"/>
          <w:sz w:val="20"/>
          <w:lang w:val="en-US" w:eastAsia="en-US" w:bidi="ar-SA"/>
        </w:rPr>
        <w:t xml:space="preserve"> </w:t>
      </w:r>
      <w:hyperlink r:id="rId935" w:history="1">
        <w:r>
          <w:rPr>
            <w:rFonts w:ascii="arial" w:eastAsia="arial" w:hAnsi="arial" w:cs="arial"/>
            <w:i/>
            <w:color w:val="0077CC"/>
            <w:sz w:val="20"/>
            <w:u w:val="single"/>
            <w:shd w:val="clear" w:color="auto" w:fill="FFFFFF"/>
            <w:lang w:val="en-US" w:eastAsia="en-US" w:bidi="ar-SA"/>
          </w:rPr>
          <w:t>[1993] 1 S.C.R. 867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Rajic,</w:t>
      </w:r>
      <w:r>
        <w:rPr>
          <w:rFonts w:ascii="arial" w:eastAsia="arial" w:hAnsi="arial" w:cs="arial"/>
          <w:color w:val="000000"/>
          <w:sz w:val="20"/>
          <w:lang w:val="en-US" w:eastAsia="en-US" w:bidi="ar-SA"/>
        </w:rPr>
        <w:t xml:space="preserve"> </w:t>
      </w:r>
      <w:hyperlink r:id="rId936" w:history="1">
        <w:r>
          <w:rPr>
            <w:rFonts w:ascii="arial" w:eastAsia="arial" w:hAnsi="arial" w:cs="arial"/>
            <w:i/>
            <w:color w:val="0077CC"/>
            <w:sz w:val="20"/>
            <w:u w:val="single"/>
            <w:shd w:val="clear" w:color="auto" w:fill="FFFFFF"/>
            <w:lang w:val="en-US" w:eastAsia="en-US" w:bidi="ar-SA"/>
          </w:rPr>
          <w:t>[1993] O.J. No. 819</w:t>
        </w:r>
      </w:hyperlink>
      <w:r>
        <w:rPr>
          <w:rFonts w:ascii="arial" w:eastAsia="arial" w:hAnsi="arial" w:cs="arial"/>
          <w:color w:val="000000"/>
          <w:sz w:val="20"/>
          <w:lang w:val="en-US" w:eastAsia="en-US" w:bidi="ar-SA"/>
        </w:rPr>
        <w:t xml:space="preserve"> (Ont. C.A.); </w:t>
      </w:r>
      <w:r>
        <w:rPr>
          <w:rFonts w:ascii="arial" w:eastAsia="arial" w:hAnsi="arial" w:cs="arial"/>
          <w:i/>
          <w:color w:val="000000"/>
          <w:sz w:val="20"/>
          <w:lang w:val="en-US" w:eastAsia="en-US" w:bidi="ar-SA"/>
        </w:rPr>
        <w:t>R. v. Beatty</w:t>
      </w:r>
      <w:r>
        <w:rPr>
          <w:rFonts w:ascii="arial" w:eastAsia="arial" w:hAnsi="arial" w:cs="arial"/>
          <w:color w:val="000000"/>
          <w:sz w:val="20"/>
          <w:lang w:val="en-US" w:eastAsia="en-US" w:bidi="ar-SA"/>
        </w:rPr>
        <w:t xml:space="preserve">, </w:t>
      </w:r>
      <w:hyperlink r:id="rId929" w:history="1">
        <w:r>
          <w:rPr>
            <w:rFonts w:ascii="arial" w:eastAsia="arial" w:hAnsi="arial" w:cs="arial"/>
            <w:i/>
            <w:color w:val="0077CC"/>
            <w:sz w:val="20"/>
            <w:u w:val="single"/>
            <w:shd w:val="clear" w:color="auto" w:fill="FFFFFF"/>
            <w:lang w:val="en-US" w:eastAsia="en-US" w:bidi="ar-SA"/>
          </w:rPr>
          <w:t>2008 SCC 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Roy</w:t>
      </w:r>
      <w:r>
        <w:rPr>
          <w:rFonts w:ascii="arial" w:eastAsia="arial" w:hAnsi="arial" w:cs="arial"/>
          <w:color w:val="000000"/>
          <w:sz w:val="20"/>
          <w:lang w:val="en-US" w:eastAsia="en-US" w:bidi="ar-SA"/>
        </w:rPr>
        <w:t xml:space="preserve">, </w:t>
      </w:r>
      <w:hyperlink r:id="rId928" w:history="1">
        <w:r>
          <w:rPr>
            <w:rFonts w:ascii="arial" w:eastAsia="arial" w:hAnsi="arial" w:cs="arial"/>
            <w:i/>
            <w:color w:val="0077CC"/>
            <w:sz w:val="20"/>
            <w:u w:val="single"/>
            <w:shd w:val="clear" w:color="auto" w:fill="FFFFFF"/>
            <w:lang w:val="en-US" w:eastAsia="en-US" w:bidi="ar-SA"/>
          </w:rPr>
          <w:t>2012 SCC 26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DeCiantis,</w:t>
      </w:r>
      <w:r>
        <w:rPr>
          <w:rFonts w:ascii="arial" w:eastAsia="arial" w:hAnsi="arial" w:cs="arial"/>
          <w:color w:val="000000"/>
          <w:sz w:val="20"/>
          <w:lang w:val="en-US" w:eastAsia="en-US" w:bidi="ar-SA"/>
        </w:rPr>
        <w:t xml:space="preserve"> </w:t>
      </w:r>
      <w:hyperlink r:id="rId937" w:history="1">
        <w:r>
          <w:rPr>
            <w:rFonts w:ascii="arial" w:eastAsia="arial" w:hAnsi="arial" w:cs="arial"/>
            <w:i/>
            <w:color w:val="0077CC"/>
            <w:sz w:val="20"/>
            <w:u w:val="single"/>
            <w:shd w:val="clear" w:color="auto" w:fill="FFFFFF"/>
            <w:lang w:val="en-US" w:eastAsia="en-US" w:bidi="ar-SA"/>
          </w:rPr>
          <w:t>2011 BCCA 437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Adams</w:t>
      </w:r>
      <w:r>
        <w:rPr>
          <w:rFonts w:ascii="arial" w:eastAsia="arial" w:hAnsi="arial" w:cs="arial"/>
          <w:color w:val="000000"/>
          <w:sz w:val="20"/>
          <w:lang w:val="en-US" w:eastAsia="en-US" w:bidi="ar-SA"/>
        </w:rPr>
        <w:t xml:space="preserve">, </w:t>
      </w:r>
      <w:hyperlink r:id="rId938" w:history="1">
        <w:r>
          <w:rPr>
            <w:rFonts w:ascii="arial" w:eastAsia="arial" w:hAnsi="arial" w:cs="arial"/>
            <w:i/>
            <w:color w:val="0077CC"/>
            <w:sz w:val="20"/>
            <w:u w:val="single"/>
            <w:shd w:val="clear" w:color="auto" w:fill="FFFFFF"/>
            <w:lang w:val="en-US" w:eastAsia="en-US" w:bidi="ar-SA"/>
          </w:rPr>
          <w:t>2012 PECA 15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Singhal</w:t>
      </w:r>
      <w:r>
        <w:rPr>
          <w:rFonts w:ascii="arial" w:eastAsia="arial" w:hAnsi="arial" w:cs="arial"/>
          <w:color w:val="000000"/>
          <w:sz w:val="20"/>
          <w:lang w:val="en-US" w:eastAsia="en-US" w:bidi="ar-SA"/>
        </w:rPr>
        <w:t xml:space="preserve">, </w:t>
      </w:r>
      <w:hyperlink r:id="rId939" w:history="1">
        <w:r>
          <w:rPr>
            <w:rFonts w:ascii="arial" w:eastAsia="arial" w:hAnsi="arial" w:cs="arial"/>
            <w:i/>
            <w:color w:val="0077CC"/>
            <w:sz w:val="20"/>
            <w:u w:val="single"/>
            <w:shd w:val="clear" w:color="auto" w:fill="FFFFFF"/>
            <w:lang w:val="en-US" w:eastAsia="en-US" w:bidi="ar-SA"/>
          </w:rPr>
          <w:t>[1988] B.C.J. No. 651</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R. v. Plumpton,</w:t>
      </w:r>
      <w:r>
        <w:rPr>
          <w:rFonts w:ascii="arial" w:eastAsia="arial" w:hAnsi="arial" w:cs="arial"/>
          <w:color w:val="000000"/>
          <w:sz w:val="20"/>
          <w:lang w:val="en-US" w:eastAsia="en-US" w:bidi="ar-SA"/>
        </w:rPr>
        <w:t xml:space="preserve"> </w:t>
      </w:r>
      <w:hyperlink r:id="rId940" w:history="1">
        <w:r>
          <w:rPr>
            <w:rFonts w:ascii="arial" w:eastAsia="arial" w:hAnsi="arial" w:cs="arial"/>
            <w:i/>
            <w:color w:val="0077CC"/>
            <w:sz w:val="20"/>
            <w:u w:val="single"/>
            <w:shd w:val="clear" w:color="auto" w:fill="FFFFFF"/>
            <w:lang w:val="en-US" w:eastAsia="en-US" w:bidi="ar-SA"/>
          </w:rPr>
          <w:t>2014 ABQB 385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Erickson</w:t>
      </w:r>
      <w:r>
        <w:rPr>
          <w:rFonts w:ascii="arial" w:eastAsia="arial" w:hAnsi="arial" w:cs="arial"/>
          <w:color w:val="000000"/>
          <w:sz w:val="20"/>
          <w:lang w:val="en-US" w:eastAsia="en-US" w:bidi="ar-SA"/>
        </w:rPr>
        <w:t xml:space="preserve">, </w:t>
      </w:r>
      <w:hyperlink r:id="rId941" w:history="1">
        <w:r>
          <w:rPr>
            <w:rFonts w:ascii="arial" w:eastAsia="arial" w:hAnsi="arial" w:cs="arial"/>
            <w:i/>
            <w:color w:val="0077CC"/>
            <w:sz w:val="20"/>
            <w:u w:val="single"/>
            <w:shd w:val="clear" w:color="auto" w:fill="FFFFFF"/>
            <w:lang w:val="en-US" w:eastAsia="en-US" w:bidi="ar-SA"/>
          </w:rPr>
          <w:t>[1985] B.C.J. No. 1737</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R. v. Therrien</w:t>
      </w:r>
      <w:r>
        <w:rPr>
          <w:rFonts w:ascii="arial" w:eastAsia="arial" w:hAnsi="arial" w:cs="arial"/>
          <w:color w:val="000000"/>
          <w:sz w:val="20"/>
          <w:lang w:val="en-US" w:eastAsia="en-US" w:bidi="ar-SA"/>
        </w:rPr>
        <w:t xml:space="preserve">, </w:t>
      </w:r>
      <w:hyperlink r:id="rId942" w:history="1">
        <w:r>
          <w:rPr>
            <w:rFonts w:ascii="arial" w:eastAsia="arial" w:hAnsi="arial" w:cs="arial"/>
            <w:i/>
            <w:color w:val="0077CC"/>
            <w:sz w:val="20"/>
            <w:u w:val="single"/>
            <w:shd w:val="clear" w:color="auto" w:fill="FFFFFF"/>
            <w:lang w:val="en-US" w:eastAsia="en-US" w:bidi="ar-SA"/>
          </w:rPr>
          <w:t>2012 BCSC 1598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Neustaeter,</w:t>
      </w:r>
      <w:r>
        <w:rPr>
          <w:rFonts w:ascii="arial" w:eastAsia="arial" w:hAnsi="arial" w:cs="arial"/>
          <w:color w:val="000000"/>
          <w:sz w:val="20"/>
          <w:lang w:val="en-US" w:eastAsia="en-US" w:bidi="ar-SA"/>
        </w:rPr>
        <w:t xml:space="preserve"> </w:t>
      </w:r>
      <w:hyperlink r:id="rId943" w:history="1">
        <w:r>
          <w:rPr>
            <w:rFonts w:ascii="arial" w:eastAsia="arial" w:hAnsi="arial" w:cs="arial"/>
            <w:i/>
            <w:color w:val="0077CC"/>
            <w:sz w:val="20"/>
            <w:u w:val="single"/>
            <w:shd w:val="clear" w:color="auto" w:fill="FFFFFF"/>
            <w:lang w:val="en-US" w:eastAsia="en-US" w:bidi="ar-SA"/>
          </w:rPr>
          <w:t>2006 BCSC 1872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Galt,</w:t>
      </w:r>
      <w:r>
        <w:rPr>
          <w:rFonts w:ascii="arial" w:eastAsia="arial" w:hAnsi="arial" w:cs="arial"/>
          <w:color w:val="000000"/>
          <w:sz w:val="20"/>
          <w:lang w:val="en-US" w:eastAsia="en-US" w:bidi="ar-SA"/>
        </w:rPr>
        <w:t xml:space="preserve"> </w:t>
      </w:r>
      <w:hyperlink r:id="rId944" w:history="1">
        <w:r>
          <w:rPr>
            <w:rFonts w:ascii="arial" w:eastAsia="arial" w:hAnsi="arial" w:cs="arial"/>
            <w:i/>
            <w:color w:val="0077CC"/>
            <w:sz w:val="20"/>
            <w:u w:val="single"/>
            <w:shd w:val="clear" w:color="auto" w:fill="FFFFFF"/>
            <w:lang w:val="en-US" w:eastAsia="en-US" w:bidi="ar-SA"/>
          </w:rPr>
          <w:t>2004 BCPC 527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McAndrew</w:t>
      </w:r>
      <w:r>
        <w:rPr>
          <w:rFonts w:ascii="arial" w:eastAsia="arial" w:hAnsi="arial" w:cs="arial"/>
          <w:color w:val="000000"/>
          <w:sz w:val="20"/>
          <w:lang w:val="en-US" w:eastAsia="en-US" w:bidi="ar-SA"/>
        </w:rPr>
        <w:t xml:space="preserve">, </w:t>
      </w:r>
      <w:hyperlink r:id="rId945" w:history="1">
        <w:r>
          <w:rPr>
            <w:rFonts w:ascii="arial" w:eastAsia="arial" w:hAnsi="arial" w:cs="arial"/>
            <w:i/>
            <w:color w:val="0077CC"/>
            <w:sz w:val="20"/>
            <w:u w:val="single"/>
            <w:shd w:val="clear" w:color="auto" w:fill="FFFFFF"/>
            <w:lang w:val="en-US" w:eastAsia="en-US" w:bidi="ar-SA"/>
          </w:rPr>
          <w:t>2004 BCSC 68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 v. Smith</w:t>
      </w:r>
      <w:r>
        <w:rPr>
          <w:rFonts w:ascii="arial" w:eastAsia="arial" w:hAnsi="arial" w:cs="arial"/>
          <w:color w:val="000000"/>
          <w:sz w:val="20"/>
          <w:lang w:val="en-US" w:eastAsia="en-US" w:bidi="ar-SA"/>
        </w:rPr>
        <w:t xml:space="preserve"> </w:t>
      </w:r>
      <w:hyperlink r:id="rId946" w:history="1">
        <w:r>
          <w:rPr>
            <w:rFonts w:ascii="arial" w:eastAsia="arial" w:hAnsi="arial" w:cs="arial"/>
            <w:i/>
            <w:color w:val="0077CC"/>
            <w:sz w:val="20"/>
            <w:u w:val="single"/>
            <w:shd w:val="clear" w:color="auto" w:fill="FFFFFF"/>
            <w:lang w:val="en-US" w:eastAsia="en-US" w:bidi="ar-SA"/>
          </w:rPr>
          <w:t>1986 CarswellBC 1618</w:t>
        </w:r>
      </w:hyperlink>
      <w:r>
        <w:rPr>
          <w:rFonts w:ascii="arial" w:eastAsia="arial" w:hAnsi="arial" w:cs="arial"/>
          <w:color w:val="000000"/>
          <w:sz w:val="20"/>
          <w:lang w:val="en-US" w:eastAsia="en-US" w:bidi="ar-SA"/>
        </w:rPr>
        <w:t xml:space="preserve"> (B.C.P.C.).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It is my view that the evidence in this case goes beyond many of the examples such as driving beyond the centre line in </w:t>
      </w:r>
      <w:r>
        <w:rPr>
          <w:rFonts w:ascii="arial" w:eastAsia="arial" w:hAnsi="arial" w:cs="arial"/>
          <w:i/>
          <w:color w:val="000000"/>
          <w:sz w:val="20"/>
          <w:lang w:val="en-US" w:eastAsia="en-US" w:bidi="ar-SA"/>
        </w:rPr>
        <w:t>Beatty</w:t>
      </w:r>
      <w:r>
        <w:rPr>
          <w:rFonts w:ascii="arial" w:eastAsia="arial" w:hAnsi="arial" w:cs="arial"/>
          <w:color w:val="000000"/>
          <w:sz w:val="20"/>
          <w:lang w:val="en-US" w:eastAsia="en-US" w:bidi="ar-SA"/>
        </w:rPr>
        <w:t xml:space="preserve"> or, in </w:t>
      </w:r>
      <w:r>
        <w:rPr>
          <w:rFonts w:ascii="arial" w:eastAsia="arial" w:hAnsi="arial" w:cs="arial"/>
          <w:i/>
          <w:color w:val="000000"/>
          <w:sz w:val="20"/>
          <w:lang w:val="en-US" w:eastAsia="en-US" w:bidi="ar-SA"/>
        </w:rPr>
        <w:t>Singhal</w:t>
      </w:r>
      <w:r>
        <w:rPr>
          <w:rFonts w:ascii="arial" w:eastAsia="arial" w:hAnsi="arial" w:cs="arial"/>
          <w:color w:val="000000"/>
          <w:sz w:val="20"/>
          <w:lang w:val="en-US" w:eastAsia="en-US" w:bidi="ar-SA"/>
        </w:rPr>
        <w:t>, where there was no causal connection found between the conduct of the accused and the collision with the cyclist. The case before me is unusual, in that I have not only collision reconstruction evidence, but I also have the video upon which I can form my own conclusions. On a review of that evidence, it is my view that there is a causal connection between the conduct of the driver, Mr. Gosse, and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As I have outlined,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of the offence of dangerous driving is made out if the words of s. 249(1) are met. My inquiry should focus not only on the amount of traffic that was in the area, but the amount of traffic that might reasonably have been expected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that regard, the evidence is clear that Ogden Point is a mixed-use parking lot which is a busy and popular area in Victoria. Although the collision occurred in the early morning, it was a time of day when the area was waking up with the kind of activities that could occur throughout the day including pedestrian traffic and vehicle traffic including buses. Pedestrian traffic, vehicle traffic and buses are all apparent in the videos and should reasonably have been expected by any driver in the area at the time. The Highlander traversed a narrow parking lot roadway which included two S-curves, a crosswalk, and a speedbump which is where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 view of the videos indicates that the Highlander drove at a substantially greater speed than the motorcycle and any other vehicles that appear in the videos. The motorcycle slowed for the speedbump and then drove slowly around it. The Highlander accelerated as it made the left-hand turn into the parking lot and failed to slow down or brake either for the crosswalk, the speedbump, or the motorcyclist. Based on the GoPro video of Constable Elliott and my review of the photographs and maps of the scene, I conclude that the motorcycle would have been within the field of vision of the Highlander well before the crash. The Highlander was travelling at a minimum speed of 50 kilometres per hour at the time of the collision. Therefore, the collision occurred when the Highlander appeared to be attempting to pass or overtake the motorcycle in a manner that I would characterize as aggressive and dangerous.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 am of the view that, since the travelling lane was so narrow and included a speedbump, it was not appropriate for any kind of ordinary passing, let alone a pass of that nature. Passing would have only been appropriate in very limited circumstances and using caution which clearly was not exercised here. Given that the roadway area of Ogden Point had a reduced speed advisory sign, had visible a crosswalk and speedbump, and given that it was reasonable to expect both pedestrian traffic and vehicle traffic through the area at that time, the usage of the road required a high standard of care that would have been obvious to any reasonably prudent driver. I find that the driving was objectively dangerous in the totality of the circumstances and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is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Assessing Mr. Gosse's driving against the standard of a reasonably prudent driver in his circumstances, as I must, on the modified objective standard for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I am satisfied that Mr. Gosse's driving constituted a marked departure from the standard of care required of a reasonable driver in his circumstances. There are a number of dangerous aspects to Mr. Gosse's driving that, in my view, his driving goes beyond momentary inadvertence. In that regard, I consider:</w:t>
      </w:r>
      <w:r>
        <w:rPr>
          <w:rFonts w:ascii="arial" w:eastAsia="arial" w:hAnsi="arial" w:cs="arial"/>
          <w:sz w:val="20"/>
          <w:lang w:val="en-US" w:eastAsia="en-US" w:bidi="ar-SA"/>
        </w:rPr>
        <w:cr/>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parking lot itself;</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revving, acceleration, and continuing speed at a minimum speed of 50 kilometres per hour at the time of impact which was well beyond the posted speed;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The failing to slow or brake for a crosswalk and for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speedbump and for a motorcycle, all of which would have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been within his field of view for several seconds; and</w:t>
      </w:r>
      <w:r>
        <w:rPr>
          <w:rFonts w:ascii="arial" w:eastAsia="arial" w:hAnsi="arial" w:cs="arial"/>
          <w:sz w:val="20"/>
          <w:lang w:val="en-US" w:eastAsia="en-US" w:bidi="ar-SA"/>
        </w:rPr>
        <w:cr/>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this was an attempt by Mr. Gosse to overtake the motorcycle, this was not a location where such an action should have been taken at all or in that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 am of the view that this pattern of driving, considering these factors and the totality of the evidence, is sufficiently dangerous that it constitutes a marked departure from the standard of care of a reasonable person in Mr. Gosse's circumstances. I am of the view that this driving merits criminal punishment as opposed to merely civil consequences. In that regard, I have considered Justice Cromwell's caution in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xml:space="preserve"> at paras. 1 and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 am not satisfied, however, that the evidence before me rises to the higher level required for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 wanton and reckless disregard or as a marked and substantial departure as opposed to a marked departure required for dangerous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In the result, an acquittal will be entered on Count 1,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bodily harm, and a conviction will be entered on the included offence of dangerous driving causing bodily harm, s. 249(3)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J.A. POWER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May 27,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Please be advised that the attached Oral Reasons for Judgment of Madam Justice Power dated April 14, 2016 have been corrected on the front page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Counsel for the Crown: C. Jennings and L. Wheeler.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Counsel for the Accused: P. Firestone and D.Williams, and M. Melynk, Articled Student.</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2" style="position:absolute;z-index:2518937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47"/>
          <w:headerReference w:type="default" r:id="rId948"/>
          <w:footerReference w:type="even" r:id="rId949"/>
          <w:footerReference w:type="default" r:id="rId950"/>
          <w:headerReference w:type="first" r:id="rId951"/>
          <w:footerReference w:type="first" r:id="rId95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53" w:history="1">
        <w:r>
          <w:rPr>
            <w:rFonts w:ascii="arial" w:eastAsia="arial" w:hAnsi="arial" w:cs="arial"/>
            <w:b/>
            <w:bCs/>
            <w:i/>
            <w:color w:val="0077CC"/>
            <w:kern w:val="32"/>
            <w:sz w:val="28"/>
            <w:szCs w:val="32"/>
            <w:u w:val="single"/>
            <w:shd w:val="clear" w:color="auto" w:fill="FFFFFF"/>
            <w:lang w:val="en-US" w:eastAsia="en-US" w:bidi="ar-SA"/>
          </w:rPr>
          <w:t>Sivertson (Guardian ad litem of) v. Dutrisac, [2011] B.C.J. No. 810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M.E. Boyd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14-15,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29,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02-5057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810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54" w:history="1">
        <w:r>
          <w:rPr>
            <w:rFonts w:ascii="arial" w:eastAsia="arial" w:hAnsi="arial" w:cs="arial"/>
            <w:i/>
            <w:color w:val="0077CC"/>
            <w:sz w:val="20"/>
            <w:u w:val="single"/>
            <w:shd w:val="clear" w:color="auto" w:fill="FFFFFF"/>
            <w:lang w:val="en-US" w:eastAsia="en-US" w:bidi="ar-SA"/>
          </w:rPr>
          <w:t>2011 BCSC 558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54" w:history="1">
        <w:r>
          <w:rPr>
            <w:rFonts w:ascii="arial" w:eastAsia="arial" w:hAnsi="arial" w:cs="arial"/>
            <w:i/>
            <w:color w:val="0077CC"/>
            <w:sz w:val="20"/>
            <w:u w:val="single"/>
            <w:shd w:val="clear" w:color="auto" w:fill="FFFFFF"/>
            <w:lang w:val="en-US" w:eastAsia="en-US" w:bidi="ar-SA"/>
          </w:rPr>
          <w:t>2011 CarswellBC 1036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54" w:history="1">
        <w:r>
          <w:rPr>
            <w:rFonts w:ascii="arial" w:eastAsia="arial" w:hAnsi="arial" w:cs="arial"/>
            <w:i/>
            <w:color w:val="0077CC"/>
            <w:sz w:val="20"/>
            <w:u w:val="single"/>
            <w:shd w:val="clear" w:color="auto" w:fill="FFFFFF"/>
            <w:lang w:val="en-US" w:eastAsia="en-US" w:bidi="ar-SA"/>
          </w:rPr>
          <w:t>201 A.C.W.S. (3d) 861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Benjamin John Sivertson, by his guardian ad litem, Pamela Dawn Sivertson, and the said Pamela Dawn Sivertson and Darren James Sivertson, Plaintiffs, and Kerri-Lea Dutrisac, Capital Regional District, Capital Health Region, Her Majesty the Queen in Right of the Province of British Columbia, Ivanka Lupenec, Diane Hart, Shelly Harnadek, Mary-Jane Kellington, and Marcia L. Thorneycroft,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3"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1" w:name="Keywords_44"/>
      <w:bookmarkEnd w:id="291"/>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Application by the defendant Capital Health Region (CHR) for an order dismissing the plaintiffs' claim against it allowed — The infant plaintiff suffered a brain injury at daycare — The plaintiffs alleged that the CHR's licensing inspectors were negligent in their inspection of the daycare — The inspectors did not have a relationship with the infant plaintiff's family prior to the incident — Furthermore, a duty to individual children and parents could conflict with the CHR's overarching duty to the general public — Consequently, no private law duty of care was owed to the infant plaintiff and his family.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Application by the defendant Capital Health Region (CHR) for an order dismissing the plaintiffs' claim against it allowed — The infant plaintiff suffered a brain injury at daycare — The plaintiffs alleged that the CHR's licensing inspectors were negligent in their inspection of the daycare — The inspectors did not have a relationship with the infant plaintiff's family prior to the incident — Furthermore, a duty to individual children and parents could conflict with the CHR's overarching duty to the general public — Consequently, no private law duty of care was owed to the infant plaintiff and his family.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2" w:name="Case Summary_41"/>
            <w:bookmarkEnd w:id="29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Capital Health Region (CHR) for an order dismissing the plaintiffs' claim against it. The infant plaintiff suffered a brain injury after he fell from a couch at daycare and struck his head. The plaintiffs alleged that the defendant Dutrisac, the owner and operator of the daycare, was negligent in her care of the infant plaintiff. The plaintiffs also alleged that the CHR's licensing inspectors were negligent in their inspection of the daycare and in failing to follow up sufficiently on matters reported to them. On the application, the CHR took the position that there was no private law duty of care owed to the infant plaintiff. The plaintiffs took the position that a private law duty of care did apply.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3" w:name="Holdings of Court_37"/>
            <w:bookmarkEnd w:id="293"/>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evidence of any direct communication between the licensing inspectors and the infant plaintiff or his family prior to the infant plaintiff sustaining his injury. The licensing inspectors also never had any regulatory control over the infant plaintiff or his family. Furthermore, a duty to individual children and parents could potentially conflict with the CHR's overarching duty to the public at large. Consequently, no private law duty of care was owed to the infant plaintiff and his family. In addition, there was no evidence to suggest any bad faith on the part of any of the licensing inspectors and they therefore could not be denied the protection of the statutory immunity from liability.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4" w:name="Legislation Cited_31"/>
      <w:bookmarkEnd w:id="29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4"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Childcare Licensing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Child Family and Community Service Act, s. 101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Community Care Facilities Act, RSBC 1996, CHAPTER 60, s. 4, s. 4(1)(a)(i), s. 6, s. 8, s. 14, s. 15, s. 16, s.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Evidence Act, </w:t>
      </w:r>
      <w:hyperlink r:id="rId955" w:history="1">
        <w:r>
          <w:rPr>
            <w:rFonts w:ascii="arial" w:eastAsia="arial" w:hAnsi="arial" w:cs="arial"/>
            <w:i/>
            <w:color w:val="0077CC"/>
            <w:sz w:val="20"/>
            <w:u w:val="single"/>
            <w:shd w:val="clear" w:color="auto" w:fill="FFFFFF"/>
            <w:lang w:val="en-US" w:eastAsia="en-US" w:bidi="ar-SA"/>
          </w:rPr>
          <w:t>RSBC 1996, CHAPTER 124, s. 42</w:t>
        </w:r>
      </w:hyperlink>
      <w:r>
        <w:rPr>
          <w:rFonts w:ascii="arial" w:eastAsia="arial" w:hAnsi="arial" w:cs="arial"/>
          <w:color w:val="000000"/>
          <w:sz w:val="20"/>
          <w:lang w:val="en-US" w:eastAsia="en-US" w:bidi="ar-SA"/>
        </w:rPr>
        <w:t>(2)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9-7, Rule 9-7(11), Rule 9-7(15)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5" w:name="Counsel_43"/>
      <w:bookmarkEnd w:id="29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5" style="position:absolute;z-index:251806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D.D. McKnight, G.R. Jackson.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C.L. Woods, Q.C., T. Petrick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Dutrisac: R.B. Lindsay,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6" w:name="Judgment_44"/>
      <w:bookmarkEnd w:id="296"/>
      <w:r>
        <w:pict>
          <v:line id="_x0000_s1246" style="position:absolute;z-index:2518568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7" w:name="M.E. BOYD J."/>
            <w:bookmarkEnd w:id="297"/>
            <w:r>
              <w:rPr>
                <w:rFonts w:ascii="arial" w:eastAsia="arial" w:hAnsi="arial" w:cs="arial"/>
                <w:b/>
                <w:color w:val="000000"/>
                <w:sz w:val="30"/>
                <w:lang w:val="en-US" w:eastAsia="en-US" w:bidi="ar-SA"/>
              </w:rPr>
              <w:t>M.E. BOYD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 Capital Health Region ("CHR") applies for an order pursuant to Rule 9-7 dismissing the plaintiffs' claim against it. The plaintiffs oppose the application. The co-defendant, Kerri-Lea Dutrisac ("Dutrisac") takes no position. I must note here that more recently, the plaintiffs have consented to a dismissal of their action against the defendant Crown as well as the five personal defendants who are employees of the CHR, Ivanka Lupenec, Diane Hart, Shelly Harnadek, Mary-Jane Kellington, and Marcia L. Thorneycroft, on the basis that in the event the Court finds any of the personal defendants at fault, the CHR will be vicariously liable for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Very briefly this is an action in which the plaintiffs claim damages for brain injury suffered by the infant plaintiff on June 11, 2001 while in the care of Dutrisac, who was the owner and operator of a licensed daycare ("Kare Bear Child Care"). The plaintiffs say that Dutrisac was negligent in her care of the infant plaintiff, with the result that he fell from a couch in the daycare, striking his head and sustaining a brain injury. In the alternative the plaintiffs have said that the brain injury was caused by Dutrisac shaking the infant plaintiff. (Dutrisac was charged criminally with assaulting the infant, but she was ultimately acquitted following two trials). However, now, in response to the defence medical legal reports, the plaintiffs allege that the infant plaintiff's brain injury was primarily caused by Dutrisac's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properly supervise the infant (such that he fell from the couch), which injury was then exacerbated, after the fall, by her gentle jostling or shaking of the child to keep him from losing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claim against the CHR is that its licensing inspectors were negligent in their inspection of the daycare and in failing to follow up sufficiently on matters which were reported to them or brought to their attention during the course of their licensing of the daycare and their annual inspections.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2.0 The parties' positions: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CHR's position on this application is three-fold:</w:t>
      </w:r>
      <w:r>
        <w:rPr>
          <w:rFonts w:ascii="arial" w:eastAsia="arial" w:hAnsi="arial" w:cs="arial"/>
          <w:sz w:val="20"/>
          <w:lang w:val="en-US" w:eastAsia="en-US" w:bidi="ar-SA"/>
        </w:rPr>
        <w:cr/>
      </w:r>
    </w:p>
    <w:p>
      <w:pPr>
        <w:numPr>
          <w:numId w:val="1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under the applicable legislative administrative scheme there is no private law duty of care owed to the infant plaintiff;</w:t>
      </w:r>
    </w:p>
    <w:p>
      <w:pPr>
        <w:numPr>
          <w:numId w:val="1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if there is such a private law duty of care, it is abrogated for public policy reasons;</w:t>
      </w:r>
    </w:p>
    <w:p>
      <w:pPr>
        <w:numPr>
          <w:numId w:val="1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alternative, that the plaintiffs are unable to prove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CHR, having filed no expert evidence to support such an allegation; and</w:t>
      </w:r>
    </w:p>
    <w:p>
      <w:pPr>
        <w:numPr>
          <w:numId w:val="1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alternative and in any event, the plaintiffs have failed to prove that the CHR's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plaintiffs'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oppose the application on the following grounds: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this application is not suitable for disposition under Rule 9-7;</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application will not assist in the efficient resolution of the proceeding;</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it would be unjust to decide the issues on this application;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assuming the application may be heard under Rule 9-7, a private law duty of care does apply in this case. In other words, whatever statutory immunity is available under the legislation, it is not available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so overwhelming as to amount to bad faith;</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given the admissions made by the licensing inspectors on discovery, the Court may find ,as a matter of common sense,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proven and that no expert evidence is required to prove same;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causation has been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Since the issue of whether this application is suitable for disposition under Rule 9-7 is logically the first issue for consideration, I will begin with that issue and then proceed to the balance of the issues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3.0 The facts: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For the purposes of this application, the CHR's counsel has set out the following statement of facts in its Written Submission, supported by the Affidavit of Ms. Harnadek and the records appended to the Affidavit of Ms. Villar. I will replicate that summary of the facts below:</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Capital Health Region's licensing department's first contact with Ms. Dutrisac was on February 14, 1996 when licensing conducted a visit to the home following receipt of a call from a member of the community inquiring if the daycare was licensed. There were three children in care when the daycare was inspected. Ms. Dutrisac was not aware of the requirement to be licensed and expressed the desire to become licensed. Accordingly, an application for licence was received by the Capital Health Region on February 21, 1996.</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licensing staff obtained all of the necessary documentation from the applicant including the application, floor plans, summary of qualifications, references and approval from the local fire marshal. A discipline policy was submitted by the applicant which included a recognition that she would not subject the children to verbal, emotional or physical mistreatment. Three very positive telephone reference checks were obtained.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licensing officer conducted an inspection of the proposed daycare on March 4, 1996 and a further inspection on March 25, 1996 to confirm that all of the requirements from the initial inspection had been met. They had been and accordingly, the first interim permit was issued on March 26, 1996.</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Thereafter, inspections were conducted as scheduled. The results of the routine inspections were routinely good. The licensing officers were satisfied that Ms. Dutrisac was operating her family daycare in compliance with the legislation and were pleased with her interactions with the children and the children's apparent comfort with Ms. Dutrisac.</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June 12, 1996 an inspection revealed that the licensee had four children under the age of three in her care when the legislation allowed for no more than three children under the age of three. One of the children, however, was to turn three by the end of the month. Given that fact, the contravention was not considered egregious and the operator was spoken to about ensuring compliance with the legislation. The inspection otherwise noted that the operator was very conscientious and thorough with regard to licensing requirements. Because she had been in technical non-compliance, rather than a permanent permit an interim permit was issued.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subsequent inspection on November 7, 1996 determined that all items from the previous inspection were addressed and no health or safety hazards were noted. A full community care facility licence was therefore issued.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April, 1997 an 8 1/2 month old child apparently sustained a fracture of his arm while in the daycare. There were no indications or suspicions of any wrongdoing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Ms. Dutrisac. Licensing had conducted two routine inspections since issuing the first interim permit and both inspection reports gave a low hazard rating and noted no health or safety concerns. They further found in their reports that the children appeared very comfortable and that Ms. Dutrisac was very attentive to the needs of the children and had excellent rapport with them. The parent of the injured child had no concerns about the care provided by the caregiver and continued to use the daycare for her child. The licensing officer discussed the injury with Ms. Dutrisac and reviewed with the caregiver the importance of supervision of children at all times, especially young children. The licensing officer discussed incident report requirements with Ms. Dutrisac as she had not filed an incident report with regard to this matter in a timely fashion. The plan was to continue to monitor the facility through ongoing inspections.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January, 1997 a parent expressed a concern to licensing about the number of days the daycare was closed over Christmas and thought that perhaps Ms. Dutrisac was going to claim for a subsidy. The licensing officer followed up with Ms. Dutrisac to discuss issues such as communication with parents and professional conduct.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December, 1997 a neighbour expressed a concern about noise but did not want to make a complaint. Noise concerns are not within the jurisdiction of licensing. However, the licensing officer did review the music program with Ms. Dutrisac.</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March, 1999 the licensing staff, while in the community, heard that the daycare was in operation while Ms. Dutrisac was on maternity leave. Licensing conducted an inspection and confirmed that, in fact, the daycare was closed and there were no children observed in care.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July, 1999 licensing received an anonymous call from a parent of a child in the daycare wanting advice regarding the smell of paint from the house; that Ms. Dutrisac did not take the children outside to play; Ms. Dutrisac did not close the daycare long enough while she was ill; and she charged parents for days when the daycare was closed. Licensing provided advice to the parent and followed up on the parent's concerns, meeting with Ms. Dutrisac and educating her with regard to communication with parents and confirming that, in fact, Ms. Dutrisac had carefully chosen a non-toxic paint and had advised all of the parents that she would be painting as she felt it important to keep the daycare in good repair. She also advised that she was taking the children to a nearby park while her lawn was being re-seeded.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November, 1999 licensing received a complaint from a parent regarding napping issues, feeding issues, diaper-changing concerns and a concern that Ms. Dutrisac was inaccessible by telephone. The licensing officer conducted a follow-up inspection and was not able to substantiate the parent's concerns. The inspection revealed no health or safety concerns.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February, 2001 licensing received an anonymous call from a parent asking about licensing requirements and indicating that she thought that there were too many young children in care. She also felt that there was a lack of confidentiality on the part of the caregiver. She also thought that the house was dirty. A licensing officer conducted a follow-up inspection and could not substantiate any of the complainant's concerns. The number and ages of the children in care were in compliance with the legislation and the home met hygiene and cleanliness standards. The licensing officer in her report indicates that the complaint may have been in retaliation for Ms. Dutrisac calling the Ministry for Children and Families regarding the complainant's care of her children.</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were the only complaints made to the licensing officers prior to Benjamin Sivertson's injury. There had never been any concerns or suspicions that Ms. Dutrisac was in any way a danger to the children in her care; quite the opposite. All of her interactions with the children that were observed by the licensing officers were seen to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 Is this application appropriate to be heard pursuant to Rule 9-7(11)(b)(i)?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is no dispute that the new Rule 9-7 is effectively a restatement of the old Rule 18A and that accordingly the jurisprudence concerning the old Rule is applicable. The relevant portions of Rule 9-7 provide as follows:</w:t>
      </w:r>
      <w:r>
        <w:rPr>
          <w:rFonts w:ascii="arial" w:eastAsia="arial" w:hAnsi="arial" w:cs="arial"/>
          <w:sz w:val="20"/>
          <w:lang w:val="en-US" w:eastAsia="en-US" w:bidi="ar-SA"/>
        </w:rPr>
        <w:cr/>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application heard before or at the same time as the hearing of a summary trial application, the court may</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adjourn the summary trial application, or</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dismiss the summary trial application on the ground that</w:t>
      </w:r>
    </w:p>
    <w:p>
      <w:pPr>
        <w:numPr>
          <w:numId w:val="19"/>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raised by the summary trial application are not suitable for disposition under this rule, or</w:t>
      </w:r>
    </w:p>
    <w:p>
      <w:pPr>
        <w:numPr>
          <w:numId w:val="20"/>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summary trial application will not assist the efficient resolution of the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hearing of a summary trial application, the court may</w:t>
      </w:r>
    </w:p>
    <w:p>
      <w:pPr>
        <w:numPr>
          <w:numId w:val="2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23"/>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24"/>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McKnight relies on both Rule 9-7(11) and (15) and submits that the application is not suitable for disposition under the rule, that the application will not assist in the efficient resolution of the proceeding, and finally that it would be unjust to decide the issues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Relying on </w:t>
      </w:r>
      <w:r>
        <w:rPr>
          <w:rFonts w:ascii="arial" w:eastAsia="arial" w:hAnsi="arial" w:cs="arial"/>
          <w:i/>
          <w:color w:val="000000"/>
          <w:sz w:val="20"/>
          <w:lang w:val="en-US" w:eastAsia="en-US" w:bidi="ar-SA"/>
        </w:rPr>
        <w:t>Kaba v. Cambridge Western Leaseholds Ltd</w:t>
      </w:r>
      <w:r>
        <w:rPr>
          <w:rFonts w:ascii="arial" w:eastAsia="arial" w:hAnsi="arial" w:cs="arial"/>
          <w:color w:val="000000"/>
          <w:sz w:val="20"/>
          <w:lang w:val="en-US" w:eastAsia="en-US" w:bidi="ar-SA"/>
        </w:rPr>
        <w:t xml:space="preserve">. </w:t>
      </w:r>
      <w:hyperlink r:id="rId956" w:history="1">
        <w:r>
          <w:rPr>
            <w:rFonts w:ascii="arial" w:eastAsia="arial" w:hAnsi="arial" w:cs="arial"/>
            <w:i/>
            <w:color w:val="0077CC"/>
            <w:sz w:val="20"/>
            <w:u w:val="single"/>
            <w:shd w:val="clear" w:color="auto" w:fill="FFFFFF"/>
            <w:lang w:val="en-US" w:eastAsia="en-US" w:bidi="ar-SA"/>
          </w:rPr>
          <w:t>(1997), 43 B.C.L.R. (3d) 80</w:t>
        </w:r>
      </w:hyperlink>
      <w:r>
        <w:rPr>
          <w:rFonts w:ascii="arial" w:eastAsia="arial" w:hAnsi="arial" w:cs="arial"/>
          <w:color w:val="000000"/>
          <w:sz w:val="20"/>
          <w:lang w:val="en-US" w:eastAsia="en-US" w:bidi="ar-SA"/>
        </w:rPr>
        <w:t xml:space="preserve"> (CA), the plaintiffs assert that an action is not suitable for summary trial where the plaintiff claims 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there are issues of relative fault between defendants. In my view </w:t>
      </w:r>
      <w:r>
        <w:rPr>
          <w:rFonts w:ascii="arial" w:eastAsia="arial" w:hAnsi="arial" w:cs="arial"/>
          <w:i/>
          <w:color w:val="000000"/>
          <w:sz w:val="20"/>
          <w:lang w:val="en-US" w:eastAsia="en-US" w:bidi="ar-SA"/>
        </w:rPr>
        <w:t>Kaba</w:t>
      </w:r>
      <w:r>
        <w:rPr>
          <w:rFonts w:ascii="arial" w:eastAsia="arial" w:hAnsi="arial" w:cs="arial"/>
          <w:color w:val="000000"/>
          <w:sz w:val="20"/>
          <w:lang w:val="en-US" w:eastAsia="en-US" w:bidi="ar-SA"/>
        </w:rPr>
        <w:t xml:space="preserve"> is of no assistance here. There are no claims by either of the defendants against the other. There are no third party claims. The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CHR is distinct from the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Dutrisac. Thus I am not persuaded that here the judge would be required on the summary trial application to make findings of fact that may embarrass the Court hearing the subsequent issues against the co-defendant Dutrisac.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Further the plaintiffs submit that the Court should not grant judgment under Rule 9-7 where the plaintiff has elected trial by jury (</w:t>
      </w:r>
      <w:r>
        <w:rPr>
          <w:rFonts w:ascii="arial" w:eastAsia="arial" w:hAnsi="arial" w:cs="arial"/>
          <w:i/>
          <w:color w:val="000000"/>
          <w:sz w:val="20"/>
          <w:lang w:val="en-US" w:eastAsia="en-US" w:bidi="ar-SA"/>
        </w:rPr>
        <w:t>Hung v. Gardiner,</w:t>
      </w:r>
      <w:r>
        <w:rPr>
          <w:rFonts w:ascii="arial" w:eastAsia="arial" w:hAnsi="arial" w:cs="arial"/>
          <w:color w:val="000000"/>
          <w:sz w:val="20"/>
          <w:lang w:val="en-US" w:eastAsia="en-US" w:bidi="ar-SA"/>
        </w:rPr>
        <w:t xml:space="preserve"> </w:t>
      </w:r>
      <w:hyperlink r:id="rId957" w:history="1">
        <w:r>
          <w:rPr>
            <w:rFonts w:ascii="arial" w:eastAsia="arial" w:hAnsi="arial" w:cs="arial"/>
            <w:i/>
            <w:color w:val="0077CC"/>
            <w:sz w:val="20"/>
            <w:u w:val="single"/>
            <w:shd w:val="clear" w:color="auto" w:fill="FFFFFF"/>
            <w:lang w:val="en-US" w:eastAsia="en-US" w:bidi="ar-SA"/>
          </w:rPr>
          <w:t>2003 BCCA 257</w:t>
        </w:r>
      </w:hyperlink>
      <w:r>
        <w:rPr>
          <w:rFonts w:ascii="arial" w:eastAsia="arial" w:hAnsi="arial" w:cs="arial"/>
          <w:color w:val="000000"/>
          <w:sz w:val="20"/>
          <w:lang w:val="en-US" w:eastAsia="en-US" w:bidi="ar-SA"/>
        </w:rPr>
        <w:t>); where the claim is a substantial one (</w:t>
      </w:r>
      <w:r>
        <w:rPr>
          <w:rFonts w:ascii="arial" w:eastAsia="arial" w:hAnsi="arial" w:cs="arial"/>
          <w:i/>
          <w:color w:val="000000"/>
          <w:sz w:val="20"/>
          <w:lang w:val="en-US" w:eastAsia="en-US" w:bidi="ar-SA"/>
        </w:rPr>
        <w:t>Mattu v. Mattu</w:t>
      </w:r>
      <w:r>
        <w:rPr>
          <w:rFonts w:ascii="arial" w:eastAsia="arial" w:hAnsi="arial" w:cs="arial"/>
          <w:color w:val="000000"/>
          <w:sz w:val="20"/>
          <w:lang w:val="en-US" w:eastAsia="en-US" w:bidi="ar-SA"/>
        </w:rPr>
        <w:t xml:space="preserve"> </w:t>
      </w:r>
      <w:hyperlink r:id="rId958" w:history="1">
        <w:r>
          <w:rPr>
            <w:rFonts w:ascii="arial" w:eastAsia="arial" w:hAnsi="arial" w:cs="arial"/>
            <w:i/>
            <w:color w:val="0077CC"/>
            <w:sz w:val="20"/>
            <w:u w:val="single"/>
            <w:shd w:val="clear" w:color="auto" w:fill="FFFFFF"/>
            <w:lang w:val="en-US" w:eastAsia="en-US" w:bidi="ar-SA"/>
          </w:rPr>
          <w:t>2001 BCCA 140</w:t>
        </w:r>
      </w:hyperlink>
      <w:r>
        <w:rPr>
          <w:rFonts w:ascii="arial" w:eastAsia="arial" w:hAnsi="arial" w:cs="arial"/>
          <w:color w:val="000000"/>
          <w:sz w:val="20"/>
          <w:lang w:val="en-US" w:eastAsia="en-US" w:bidi="ar-SA"/>
        </w:rPr>
        <w:t>, or where the action is factually complex (</w:t>
      </w:r>
      <w:r>
        <w:rPr>
          <w:rFonts w:ascii="arial" w:eastAsia="arial" w:hAnsi="arial" w:cs="arial"/>
          <w:i/>
          <w:color w:val="000000"/>
          <w:sz w:val="20"/>
          <w:lang w:val="en-US" w:eastAsia="en-US" w:bidi="ar-SA"/>
        </w:rPr>
        <w:t>Cannaday v. Sun Peaks Resort Corp.</w:t>
      </w:r>
      <w:r>
        <w:rPr>
          <w:rFonts w:ascii="arial" w:eastAsia="arial" w:hAnsi="arial" w:cs="arial"/>
          <w:color w:val="000000"/>
          <w:sz w:val="20"/>
          <w:lang w:val="en-US" w:eastAsia="en-US" w:bidi="ar-SA"/>
        </w:rPr>
        <w:t xml:space="preserve"> </w:t>
      </w:r>
      <w:hyperlink r:id="rId959" w:history="1">
        <w:r>
          <w:rPr>
            <w:rFonts w:ascii="arial" w:eastAsia="arial" w:hAnsi="arial" w:cs="arial"/>
            <w:i/>
            <w:color w:val="0077CC"/>
            <w:sz w:val="20"/>
            <w:u w:val="single"/>
            <w:shd w:val="clear" w:color="auto" w:fill="FFFFFF"/>
            <w:lang w:val="en-US" w:eastAsia="en-US" w:bidi="ar-SA"/>
          </w:rPr>
          <w:t>(1998), 44 B.C.L.R. (3d) 195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 note that in </w:t>
      </w:r>
      <w:r>
        <w:rPr>
          <w:rFonts w:ascii="arial" w:eastAsia="arial" w:hAnsi="arial" w:cs="arial"/>
          <w:i/>
          <w:color w:val="000000"/>
          <w:sz w:val="20"/>
          <w:lang w:val="en-US" w:eastAsia="en-US" w:bidi="ar-SA"/>
        </w:rPr>
        <w:t>Hung</w:t>
      </w:r>
      <w:r>
        <w:rPr>
          <w:rFonts w:ascii="arial" w:eastAsia="arial" w:hAnsi="arial" w:cs="arial"/>
          <w:color w:val="000000"/>
          <w:sz w:val="20"/>
          <w:lang w:val="en-US" w:eastAsia="en-US" w:bidi="ar-SA"/>
        </w:rPr>
        <w:t xml:space="preserve"> the Court of Appeal reiterated that filing a jury notice does not bar an application for summary trial. The Court held however that it will be an important factor to consider in assessing whether the matter is appropriate for summary trial, and in the case of a defamation claim (as was the </w:t>
      </w:r>
      <w:r>
        <w:rPr>
          <w:rFonts w:ascii="arial" w:eastAsia="arial" w:hAnsi="arial" w:cs="arial"/>
          <w:i/>
          <w:color w:val="000000"/>
          <w:sz w:val="20"/>
          <w:lang w:val="en-US" w:eastAsia="en-US" w:bidi="ar-SA"/>
        </w:rPr>
        <w:t>Hung</w:t>
      </w:r>
      <w:r>
        <w:rPr>
          <w:rFonts w:ascii="arial" w:eastAsia="arial" w:hAnsi="arial" w:cs="arial"/>
          <w:color w:val="000000"/>
          <w:sz w:val="20"/>
          <w:lang w:val="en-US" w:eastAsia="en-US" w:bidi="ar-SA"/>
        </w:rPr>
        <w:t xml:space="preserve"> action), "it may hold an extra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Likewise, in </w:t>
      </w:r>
      <w:r>
        <w:rPr>
          <w:rFonts w:ascii="arial" w:eastAsia="arial" w:hAnsi="arial" w:cs="arial"/>
          <w:i/>
          <w:color w:val="000000"/>
          <w:sz w:val="20"/>
          <w:lang w:val="en-US" w:eastAsia="en-US" w:bidi="ar-SA"/>
        </w:rPr>
        <w:t>Mattu,</w:t>
      </w:r>
      <w:r>
        <w:rPr>
          <w:rFonts w:ascii="arial" w:eastAsia="arial" w:hAnsi="arial" w:cs="arial"/>
          <w:color w:val="000000"/>
          <w:sz w:val="20"/>
          <w:lang w:val="en-US" w:eastAsia="en-US" w:bidi="ar-SA"/>
        </w:rPr>
        <w:t xml:space="preserve"> the Court of Appeal acknowledged that "(w)hile the amount potentially involved is a matter the summary trial judge may properly take into account when determining whether to proceed under the Rule, it is not determinative. Many cases involving substantial claims have been heard and disposed of under the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plaintiffs also raise the issue of whether this action is too factually complex to be disposed of under Rule 9-7. On a review of the evidence relating to the history of the licensing of Dutrisac's daycare, the inspections over time, and the events on the date of the incident itself, I am not persuaded that factually, this is a very complex case, at least in terms of liability. In my view, the most complex issue is that of causation, specifically whether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Dutrisac caused or contributed to the infant plaintiff's brain injury in issue. This is a matter I will address later in the context of both the CHR's and Dutrisac's application to strike the jury. Suffice it to say that there is a large body of medical expert evidence to be considered and weighed in respect of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However, regarding the plaintiffs' action against the CHR, the issue of causation is not complex. Simply put, the issue is but for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CHR in its inspections of the subject daycare and its continued licensing of the daycare, would the infant plaintiff have suffered his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most significant challenge to this application concerns their submission that the Court will be unable to determine the facts necessary to adjudicate this summary trial application. The CHR's counsel submits that the facts may be gleaned from the Affidavit of Ms. Shelley Harnadek sworn March 15, 2011, attached to which affidavit is Exhibit A, being the entirety of the CHR file regarding the subject daycare. Ms. Harnadek was the licensing supervisor for the defendant CHR from June 2006 until October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She deposes at paragraphs 9 and 10 of her Affidavit: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Now produced and shown to me and marked as Exhibit "A" to this my Affidavit is a true copy of the licensing file kept by the Capital Health Region with regard to the Kare Bear facility. This file contains documentation in the possession of Vancouver Island Health Authority with regard to the operation of the daycare. It outlines all of our interactions with the daycare which are required to be documented by 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daycare licensing file was kept in the ordinary course of business of the Capital Health Region (subsequently Vancouver Island Health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CHR's counsel submits that those records are admissible as business records in this proceeding. The plaintiff's counsel disputes the admissibility of the CHR licensing file as business records. While he concedes the defendant CHR has met the first branch of the test (that is, that the records are kept in the ordinary course of business), he says the affiant has nevertheless failed to affirm that the records were made at the time an event occurred or within a reasonable period thereafter, as required by s. 42(2) of the </w:t>
      </w:r>
      <w:r>
        <w:rPr>
          <w:rFonts w:ascii="arial" w:eastAsia="arial" w:hAnsi="arial" w:cs="arial"/>
          <w:i/>
          <w:color w:val="000000"/>
          <w:sz w:val="20"/>
          <w:lang w:val="en-US" w:eastAsia="en-US" w:bidi="ar-SA"/>
        </w:rPr>
        <w:t>Evidence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am satisfied, given the sworn statement in Ms. Harnadek's affidavit, that the CHR records are indeed business records made in the "usual and ordinary course of business". As she has deposed, the file contains all interactions with the daycare which must be documented by the CHR and indeed, on a review of the records, it is clear that, with the exception of the two incident reports regarding the Gautier child prepared by Dutrisac after the incident, the records are contemporaneous ones. These are the records which have been produced since the outset of this action and have been referred to by all parties throughout the discovery process. Nothing in the records comes as any surprise to the plaintiffs. Nor has there been any suggestion that the records are incomplete, other than plaintiffs' counsel's recent complaint that he has not received any of the computer records which he has requested. The CHR apparently began to keep computer records concerning the various daycare facilities, commencing a few months before this incident. In any case, the CHR's counsel has confirmed that a search has been made and that there are no computer records of any kind in this case, other than the single sheet which has been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addition the CHR's counsel has put before the Court Ms. Villar's affidavit sworn March 11, 2011, attached to which is the expert report of Mr. Greg Ritchey. Attached to Mr. Ritchey's report is a summary of the evidence of the five licensing inspectors in question, which facts Mr. Ritchey has assumed in providing his expert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plaintiffs' counsel has submitted that even assuming these "facts" are before the Court, there are conflicts in the evidence which cannot be resolved by the summary trial judge. Accordingly, he says that this matter may be inappropriate for disposition under Rule 9-7. In this regard, the plaintiffs' counsel has only identified two particular conflicts in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First he notes that in her affidavit, Mrs. Harnadek deposes that after she learned of the incident involving the Gautier child, she "would have told" her supervisor, Ivanka Lupenec, about the incident. However on her discovery, she testified that she could not recall having "actually physically" taken the complaint form concerning the matter to Lupenec. In my view, this is not a true conflict in the evidence, since the documents clearly record that Harnadek referred the matter to Lupenec on May 16, 1997, resulting in Lupenec actually conducting a visit to the daycare facility on May 23, 1997 (see Exhibit A to Harnadek Affidavit, document #82). Whether or not Harnadek physically walked the complaint form to Lupenec's office is of no particular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second alleged conflict concerns Dutrisac's evidence on her discovery that she could not recall whether any investigation of the Gautier incident had occurred after she filed the two incident reports relating to the incident. The plaintiffs' counsel submits that this evidence contrasts with para. 8 of Mr. Ritchey's report which notes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parent of the injured child had no concerns about the care provided by the caregiver, and continued to use the day care for her child. These factors would all support the outcome of </w:t>
      </w:r>
      <w:r>
        <w:rPr>
          <w:rFonts w:ascii="arial" w:eastAsia="arial" w:hAnsi="arial" w:cs="arial"/>
          <w:b/>
          <w:color w:val="000000"/>
          <w:sz w:val="20"/>
          <w:lang w:val="en-US" w:eastAsia="en-US" w:bidi="ar-SA"/>
        </w:rPr>
        <w:t>the Licensing's investigation into this incident</w:t>
      </w:r>
      <w:r>
        <w:rPr>
          <w:rFonts w:ascii="arial" w:eastAsia="arial" w:hAnsi="arial" w:cs="arial"/>
          <w:color w:val="000000"/>
          <w:sz w:val="20"/>
          <w:lang w:val="en-US" w:eastAsia="en-US" w:bidi="ar-SA"/>
        </w:rPr>
        <w:t>, which was to discuss and review with the caregiver the importance of supervision of children at all times, especially young children, discuss incident reporting requirements with the caregiver, and continue to monitor the facility through ongoing inspections.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Plaintiffs' counsel submits that this summary of evidence is inaccurate since, according to Dutrisac's evidence, she was unaware of any investigation of the Gautier incident had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am not persuaded that there is any conflict in the evidence. As the CHR's counsel points out, Dutrisac's evidence was accurate in the sense that in fact there was no investigation of this incident immediately following the event. The incident involving the Gautier child only came to the attention of the CHR licensing authorities when that child's parent telephoned the CHR in May 1997. That call led the licensing authorities to then contact Dutrisac, following which they assisted her to prepare the two incident reports which were subsequently filed. Although the incident reports were dated April 14, 1997, being the date of the incident, they were not actually filed until later in May 1997. As Mr. Ritchey has assumed in his report, the investigation consisted of meeting with Dutrisac to discuss and review the importance of supervision of children at all times, discuss incident report requirements, and finally to continue to monitor the facility through ongoing inspections.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During submissions, Mr. McKnight made reference to excerpts from the examinations for discovery of the five licensing inspectors. He suggested that contrary to the summary of the facts prepared by CHR's counsel, these excerpts demonstrate that both individually and collectively, the licensing inspectors failed to discharge their duty of care to protect and promote the health, safety and well-being of children. He says the excerpts of discovery evidence prove that the licensing inspectors ought to have been aware of and acted upon a series of reports and complaints about events which occurred in the daycare months and years prior to the incident in question. He says that those reports and complaints vividly illustrated that the defendant Dutrisac was overwhelmed and was not suited to operate a daycare with the number of children who were under her supervision and care---a fact which the CHR licensing inspectors failed to grasp.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Having reviewed those excerpts of evidence, I am unable to reach such a conclusion. Further, having compared those excerpts with the summary of facts prepared by CHR's counsel, I am unable to identify any significant errors which render this application for summary trial inappropriate for determination at this juncture.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 Will the hearing of this application assist in the efficient resolution of the proceeding -</w:t>
      </w:r>
    </w:p>
    <w:p>
      <w:p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Rule 9-7(11)(b)(ii)?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effect, the plaintiffs' counsel submits that the Court has been left to sift through a large volume of affidavits and discovery evidence, and that in these circumstances, there is a substantial risk that time and effort will be wasted by the Court. In my view, in a case in which the trial is set to proceed before a judge and jury for a period of several weeks commencing in May 2011, in circumstances where the CHR contemplates calling all five licensing inspectors to review the history of this daycare, an expert to address liability and many experts to address the damages issues, the resolution of these issues in the course of a summary trial application lasting just under a day-and-a-half offers the prospect of an efficient resolution of at least that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 Would it be unjust to decide the issues on this application- Rule 9-7(15)(a)(ii)?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Under this heading, the plaintiffs submit that the CHR has delayed in bringing this application and that it is unfair and unjust for this application to now be brought, approximately one month before trial, at a time when it would be best for the parties to focus on trial preparation. The plaintiffs' counsel notes that the CHR has been "threatening" to bring a summary trial application since 2006. In his view, the CHR has offered no explanation for its decision to wait to bring this application until the eve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On a review of the Affidavit of Ms. Villar, legal secretary and assistant to Ms. Woods, I reject the complaint that the CHR intentionally delayed in bringing this application. A review of that material indicates the CHR has always taken the position that absent bad faith, the </w:t>
      </w:r>
      <w:r>
        <w:rPr>
          <w:rFonts w:ascii="arial" w:eastAsia="arial" w:hAnsi="arial" w:cs="arial"/>
          <w:i/>
          <w:color w:val="000000"/>
          <w:sz w:val="20"/>
          <w:lang w:val="en-US" w:eastAsia="en-US" w:bidi="ar-SA"/>
        </w:rPr>
        <w:t>Community Care Facilities Act,</w:t>
      </w:r>
      <w:r>
        <w:rPr>
          <w:rFonts w:ascii="arial" w:eastAsia="arial" w:hAnsi="arial" w:cs="arial"/>
          <w:color w:val="000000"/>
          <w:sz w:val="20"/>
          <w:lang w:val="en-US" w:eastAsia="en-US" w:bidi="ar-SA"/>
        </w:rPr>
        <w:t xml:space="preserve"> </w:t>
      </w:r>
      <w:hyperlink r:id="rId960" w:history="1">
        <w:r>
          <w:rPr>
            <w:rFonts w:ascii="arial" w:eastAsia="arial" w:hAnsi="arial" w:cs="arial"/>
            <w:i/>
            <w:color w:val="0077CC"/>
            <w:sz w:val="20"/>
            <w:u w:val="single"/>
            <w:shd w:val="clear" w:color="auto" w:fill="FFFFFF"/>
            <w:lang w:val="en-US" w:eastAsia="en-US" w:bidi="ar-SA"/>
          </w:rPr>
          <w:t>R.S.B.C. 1996, c. 60</w:t>
        </w:r>
      </w:hyperlink>
      <w:r>
        <w:rPr>
          <w:rFonts w:ascii="arial" w:eastAsia="arial" w:hAnsi="arial" w:cs="arial"/>
          <w:color w:val="000000"/>
          <w:sz w:val="20"/>
          <w:lang w:val="en-US" w:eastAsia="en-US" w:bidi="ar-SA"/>
        </w:rPr>
        <w:t xml:space="preserve"> prohibits any action for damages being brought against the licensing officers. This issue was raised by CHR's original counsel, Ms. Slater, and then reiterated by Ms. Woods, commencing in August 2010, after the discoveries of the licensing officers were completed. Repeated requests were made by the CHR counsel for the plaintiffs to consent to the dismissal of the action against the licensing officers. Failing that, she advised that this application would be set down for hearing. The CHR's counsel arranged for a Case Management Conference to be held before Bernard J. on November 18, 2010, at which time he ordered that the summary trial application be heard before April 15, 2011. I find that the CHR's counsel diligently continued to make efforts to find dates for the application suitable to both the Case Management Judge as well as all counsel. Those efforts continued throughout late 2010 and early 2011, ultimately resulting in the dates in question being selected for the summary trial before me. There is, in my view, no evidence whatsoever of any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Plaintiffs' counsel further complains that it would be unjust to permit the summary trial application to proceed when the CHR has delayed in the production of some of the documentation and information requested on discovery. I note that the plaintiffs' requests for production of various documents and information arose in early July 2009, immediately following the discoveries of the various CHR licensing officers. So far as CHR's counsel was aware, all of the information requested was produced under cover of a letter dated October 1, 2009, in which letter the CHR's counsel asked that plaintiffs' counsel alert her to any items which might be missing. It is significant that the plaintiffs' counsel did not respond to this letter for some considerable time. The first request from plaintiffs' counsel for further documents was not made until April 4, 2011 -- 1 1/2 years later. On receipt of that request, that information was promptly produced. In any case, none of the information which was most recently produced is relevant to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Finally, the plaintiffs' counsel complains that the CHR intentionally delayed in delivering its expert report (the Ritchey report) until the second last day before the expiry of the defence expert report deadline, less than six weeks prior to trial. The Ritchey report addresses the issue of whether the CHR and its employees (the five licensing inspectors involved) met the standard of care expected of a daycare licensing facility and daycare licensing inspectors in their handling of Dutrisac and her daycare facility. The plaintiffs' counsel complains that as a result of the late delivery of this report, he will likely be unable to find an expert to offer a rebuttal opinion. Accordingly he submits it would be unjust to permit the summary trial application to proceed without the plaintiffs having an opportunity to "level the playing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 have some difficulty with this latter complaint. Clearly, before filing its own expert report, the defendant CHR would wait to first receive the plaintiffs' own expert report, so as to determine the case to be met, whether its own defence report required amplification or whether there were fresh issues raised by the plaintiffs which now required a response in an amended defence report. The plaintiffs' failure to retain their own expert with instructions to prepare an expert report is not an omission to be laid at the feet of the defendant CHR. The plaintiffs' counsel presumably made their own deliberate decision not to adduce such expert evidence and indeed, during submissions, Mr. McKnight insisted that, in his view, no expert evidence was required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this case. If the plaintiffs are now prejudiced by that deliberate decision, this is not for the defendant CHR's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On a review of all the circumstances here, and applying the test set out in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I find that this is an appropriate case for disposition under the summary trial rule. In essence there are no conflicts in the evidence. There is no issue concerning the credibility of any of the CHR's employees. Nor can the evidence regarding liability be characterized as complex. The primary issue for resolution is a question of law -- that is whether the CHR owed any private law duty of care to the infant plaintiff. Assuming that issue is ultimately resolved in favour of the CHR, the action against the CHR must be dismissed and the balance of the issues fall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 Does a private law duty of care apply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CHR submits that in carrying out their duties in this case, its medical health officers acted in a quasi-judicial fashion as prescribed by the provisions of the </w:t>
      </w:r>
      <w:r>
        <w:rPr>
          <w:rFonts w:ascii="arial" w:eastAsia="arial" w:hAnsi="arial" w:cs="arial"/>
          <w:i/>
          <w:color w:val="000000"/>
          <w:sz w:val="20"/>
          <w:lang w:val="en-US" w:eastAsia="en-US" w:bidi="ar-SA"/>
        </w:rPr>
        <w:t>Community Care Facility Act</w:t>
      </w:r>
      <w:r>
        <w:rPr>
          <w:rFonts w:ascii="arial" w:eastAsia="arial" w:hAnsi="arial" w:cs="arial"/>
          <w:color w:val="000000"/>
          <w:sz w:val="20"/>
          <w:lang w:val="en-US" w:eastAsia="en-US" w:bidi="ar-SA"/>
        </w:rPr>
        <w:t xml:space="preserve">, </w:t>
      </w:r>
      <w:hyperlink r:id="rId960" w:history="1">
        <w:r>
          <w:rPr>
            <w:rFonts w:ascii="arial" w:eastAsia="arial" w:hAnsi="arial" w:cs="arial"/>
            <w:i/>
            <w:color w:val="0077CC"/>
            <w:sz w:val="20"/>
            <w:u w:val="single"/>
            <w:shd w:val="clear" w:color="auto" w:fill="FFFFFF"/>
            <w:lang w:val="en-US" w:eastAsia="en-US" w:bidi="ar-SA"/>
          </w:rPr>
          <w:t>R.S.B.C. 1996, c. 60</w:t>
        </w:r>
      </w:hyperlink>
      <w:r>
        <w:rPr>
          <w:rFonts w:ascii="arial" w:eastAsia="arial" w:hAnsi="arial" w:cs="arial"/>
          <w:color w:val="000000"/>
          <w:sz w:val="20"/>
          <w:lang w:val="en-US" w:eastAsia="en-US" w:bidi="ar-SA"/>
        </w:rPr>
        <w:t xml:space="preserve"> and the accompanying </w:t>
      </w:r>
      <w:r>
        <w:rPr>
          <w:rFonts w:ascii="arial" w:eastAsia="arial" w:hAnsi="arial" w:cs="arial"/>
          <w:i/>
          <w:color w:val="000000"/>
          <w:sz w:val="20"/>
          <w:lang w:val="en-US" w:eastAsia="en-US" w:bidi="ar-SA"/>
        </w:rPr>
        <w:t>Childcare Licensing Regulations</w:t>
      </w:r>
      <w:r>
        <w:rPr>
          <w:rFonts w:ascii="arial" w:eastAsia="arial" w:hAnsi="arial" w:cs="arial"/>
          <w:color w:val="000000"/>
          <w:sz w:val="20"/>
          <w:lang w:val="en-US" w:eastAsia="en-US" w:bidi="ar-SA"/>
        </w:rPr>
        <w:t>. Since this legislative scheme is central to the defence position, I will set out the relevant provisions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
        <w:gridCol w:w="1150"/>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Subject to this Act and the regulations, a medical health officer may issue to an applicant a licence to operate a community care facility if the medical health officer if of the opinion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applicant,</w:t>
      </w:r>
    </w:p>
    <w:p>
      <w:pPr>
        <w:numPr>
          <w:numId w:val="26"/>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person other than a corporation, is of good character and has the training, experience and other qualifications required under the regulations, and the personality, ability and temperament necessary to operate a community care facility in a manner that will maintain the spirit, dignity and individuality of the person being cared for.</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medical health officer is of the opinion that an applicant has complied with all of the requirements of subsection (1) that may significantly affect health or safety and is in the process of complying with the other requirements of subsections (1), the medical health officer may issue to the applicant, on terms and conditions the medical health officer considers necessary or appropriate , one or more interim permits to operate a community care facility for a period not exceeding a total of one year.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the director determines following a hearing that a licensee or permit holder has contravened an enactment of British Columbia or of Canada or a term or condition of the licence or interim permit, the director may attach terms or conditions to, suspend or cancel the licence or interim permit.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licensee or interim permit holder must do all of the following: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only employ at a community care facility persons of good character who meet the standards for employees specified in the regulations;</w:t>
      </w:r>
    </w:p>
    <w:p>
      <w:pPr>
        <w:numPr>
          <w:numId w:val="2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operate the community care facility in a manner that will maintain the spirit, dignity and individuality of the persons being cared for;</w:t>
      </w:r>
    </w:p>
    <w:p>
      <w:pPr>
        <w:numPr>
          <w:numId w:val="2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operate the community care facility in a manner that will promote the health and safety of the persons in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medical health officer appointed under the </w:t>
            </w:r>
            <w:r>
              <w:rPr>
                <w:rFonts w:ascii="arial" w:eastAsia="arial" w:hAnsi="arial" w:cs="arial"/>
                <w:i/>
                <w:color w:val="000000"/>
                <w:sz w:val="18"/>
                <w:lang w:val="en-US" w:eastAsia="en-US" w:bidi="ar-SA"/>
              </w:rPr>
              <w:t>Health Act</w:t>
            </w:r>
            <w:r>
              <w:rPr>
                <w:rFonts w:ascii="arial" w:eastAsia="arial" w:hAnsi="arial" w:cs="arial"/>
                <w:color w:val="000000"/>
                <w:sz w:val="18"/>
                <w:lang w:val="en-US" w:eastAsia="en-US" w:bidi="ar-SA"/>
              </w:rPr>
              <w:t xml:space="preserve"> for an area of British Columbia must do the following: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0"/>
        </w:numPr>
        <w:tabs>
          <w:tab w:val="clear" w:pos="184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investigate every application for a licence to operate a community care facility within that area and report to the director respecting the application, or any other matter relevant to it requested by the director;</w:t>
      </w:r>
    </w:p>
    <w:p>
      <w:pPr>
        <w:numPr>
          <w:numId w:val="30"/>
        </w:numPr>
        <w:tabs>
          <w:tab w:val="clear" w:pos="184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investigate every complaint that an unlicensed community care facility is being operated within that area, or that a community care facility being operated within that area under a licence or interim permit does not fully comply with this Act or the regulations, and report the result of the investigation and make a recommendation to the director;</w:t>
      </w:r>
    </w:p>
    <w:p>
      <w:pPr>
        <w:numPr>
          <w:numId w:val="30"/>
        </w:numPr>
        <w:tabs>
          <w:tab w:val="clear" w:pos="184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carry out inspections, whenever the medical health officer considers it necessary, of every community care facility that is being operated within that area under a licence or interim permit and report the results of the inspections to the director;</w:t>
      </w:r>
    </w:p>
    <w:p>
      <w:pPr>
        <w:numPr>
          <w:numId w:val="30"/>
        </w:numPr>
        <w:tabs>
          <w:tab w:val="clear" w:pos="184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perform additional duties in the administration of this Act that the Lieutenant Governor in Council may direct by regulation.</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Appeals to the board</w:t>
      </w:r>
    </w:p>
    <w:p>
      <w:pPr>
        <w:numPr>
          <w:numId w:val="31"/>
        </w:numPr>
        <w:tabs>
          <w:tab w:val="clear" w:pos="184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An applicant for a license, interim permit or certificate or a licensee, a permittee or a certificate holder may appeal to the board under this section if ...</w:t>
      </w:r>
    </w:p>
    <w:p>
      <w:pPr>
        <w:numPr>
          <w:numId w:val="32"/>
        </w:numPr>
        <w:tabs>
          <w:tab w:val="clear" w:pos="1120"/>
          <w:tab w:val="num" w:pos="3280"/>
        </w:tabs>
        <w:spacing w:before="120" w:line="260" w:lineRule="atLeast"/>
        <w:ind w:left="32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 has....</w:t>
      </w:r>
    </w:p>
    <w:p>
      <w:pPr>
        <w:numPr>
          <w:numId w:val="33"/>
        </w:numPr>
        <w:tabs>
          <w:tab w:val="clear" w:pos="148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attached terms or conditions to, suspended or cancelled a licence or an interim permit under section 6 or 7 or a certificate under section 9(2),</w:t>
      </w:r>
    </w:p>
    <w:p>
      <w:pPr>
        <w:numPr>
          <w:numId w:val="34"/>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 medical health officer has refused to issue a licence or interim permit under section 4 ...</w:t>
      </w:r>
    </w:p>
    <w:p>
      <w:pPr>
        <w:numPr>
          <w:numId w:val="35"/>
        </w:numPr>
        <w:tabs>
          <w:tab w:val="clear" w:pos="148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A community care facility must be open at all times to visitation and inspection by the director or a medical health officer, who may</w:t>
      </w:r>
    </w:p>
    <w:p>
      <w:pPr>
        <w:numPr>
          <w:numId w:val="36"/>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examine any part of the facility,</w:t>
      </w:r>
    </w:p>
    <w:p>
      <w:pPr>
        <w:numPr>
          <w:numId w:val="36"/>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call for and inspect the financial and other records of the community care facility, and</w:t>
      </w:r>
    </w:p>
    <w:p>
      <w:pPr>
        <w:numPr>
          <w:numId w:val="36"/>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inquire into all matters concerning the community care facility, its employees and guests, including any treatment or rehabilitation program being carried out in the community care facility.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7"/>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for damages does not lie and must not be instituted against the director, a medical health officer or a member of the board or a panel or a person acting on behalf or under the direction of any of them because of anything done or omitted in good faith in the performance or intended performance of any duty or the exercise or intended exercise of any power under this Act or the regulations.</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(1) does not absolve the government or an employer from vicarious liability for an act or omissions for which it would be vicariously liable if this section were not in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Relying on the decision of Callaghan J. in </w:t>
      </w:r>
      <w:r>
        <w:rPr>
          <w:rFonts w:ascii="arial" w:eastAsia="arial" w:hAnsi="arial" w:cs="arial"/>
          <w:i/>
          <w:color w:val="000000"/>
          <w:sz w:val="20"/>
          <w:lang w:val="en-US" w:eastAsia="en-US" w:bidi="ar-SA"/>
        </w:rPr>
        <w:t>Harrington (Guardian ad litem) v. Pappachristos</w:t>
      </w:r>
      <w:r>
        <w:rPr>
          <w:rFonts w:ascii="arial" w:eastAsia="arial" w:hAnsi="arial" w:cs="arial"/>
          <w:color w:val="000000"/>
          <w:sz w:val="20"/>
          <w:lang w:val="en-US" w:eastAsia="en-US" w:bidi="ar-SA"/>
        </w:rPr>
        <w:t xml:space="preserve">, </w:t>
      </w:r>
      <w:hyperlink r:id="rId961" w:history="1">
        <w:r>
          <w:rPr>
            <w:rFonts w:ascii="arial" w:eastAsia="arial" w:hAnsi="arial" w:cs="arial"/>
            <w:i/>
            <w:color w:val="0077CC"/>
            <w:sz w:val="20"/>
            <w:u w:val="single"/>
            <w:shd w:val="clear" w:color="auto" w:fill="FFFFFF"/>
            <w:lang w:val="en-US" w:eastAsia="en-US" w:bidi="ar-SA"/>
          </w:rPr>
          <w:t>[1992] B.C.J. No. 2600</w:t>
        </w:r>
      </w:hyperlink>
      <w:r>
        <w:rPr>
          <w:rFonts w:ascii="arial" w:eastAsia="arial" w:hAnsi="arial" w:cs="arial"/>
          <w:color w:val="000000"/>
          <w:sz w:val="20"/>
          <w:lang w:val="en-US" w:eastAsia="en-US" w:bidi="ar-SA"/>
        </w:rPr>
        <w:t xml:space="preserve"> (B.C.S.C.), the CHR submits that the medical health officers in the case at bar were exercising quasi-judicial powers under the 1996 </w:t>
      </w:r>
      <w:r>
        <w:rPr>
          <w:rFonts w:ascii="arial" w:eastAsia="arial" w:hAnsi="arial" w:cs="arial"/>
          <w:i/>
          <w:color w:val="000000"/>
          <w:sz w:val="20"/>
          <w:lang w:val="en-US" w:eastAsia="en-US" w:bidi="ar-SA"/>
        </w:rPr>
        <w:t>Community Care Facility Act</w:t>
      </w:r>
      <w:r>
        <w:rPr>
          <w:rFonts w:ascii="arial" w:eastAsia="arial" w:hAnsi="arial" w:cs="arial"/>
          <w:color w:val="000000"/>
          <w:sz w:val="20"/>
          <w:lang w:val="en-US" w:eastAsia="en-US" w:bidi="ar-SA"/>
        </w:rPr>
        <w:t xml:space="preserve">. I note here that the only difference between the relevant portions of the legislation considered in </w:t>
      </w:r>
      <w:r>
        <w:rPr>
          <w:rFonts w:ascii="arial" w:eastAsia="arial" w:hAnsi="arial" w:cs="arial"/>
          <w:i/>
          <w:color w:val="000000"/>
          <w:sz w:val="20"/>
          <w:lang w:val="en-US" w:eastAsia="en-US" w:bidi="ar-SA"/>
        </w:rPr>
        <w:t>Harrington</w:t>
      </w:r>
      <w:r>
        <w:rPr>
          <w:rFonts w:ascii="arial" w:eastAsia="arial" w:hAnsi="arial" w:cs="arial"/>
          <w:color w:val="000000"/>
          <w:sz w:val="20"/>
          <w:lang w:val="en-US" w:eastAsia="en-US" w:bidi="ar-SA"/>
        </w:rPr>
        <w:t xml:space="preserve"> (the 1979 Act) and the legislation in issue here, concerns the administrative scheme. The powers which were afforded the Provincial Childcare Licensing Board under the 1979 Act have now been delegated, under the 1996 Act, to the Director. The "medical health officers" under the 1996 Act are charged with the same powers as the "supervisors" under the 1979 Act, as well as the additional duty of issuing daycare licenses. That power was vested in the Board under the 1979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Harrington</w:t>
      </w:r>
      <w:r>
        <w:rPr>
          <w:rFonts w:ascii="arial" w:eastAsia="arial" w:hAnsi="arial" w:cs="arial"/>
          <w:color w:val="000000"/>
          <w:sz w:val="20"/>
          <w:lang w:val="en-US" w:eastAsia="en-US" w:bidi="ar-SA"/>
        </w:rPr>
        <w:t xml:space="preserve">, the infant plaintiff was injured at a licensed daycare. The infant plaintiff sought to add individual members of the Provincial Childcare Licensing Board and health care workers employed by the City of Vancouver as defendants to the action. As in the case at bar, the plaintiff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Board and its licensing officers in continuing to license the daycare as well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supervisors in reporting to the Board and making recommendations on licensing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Chambers, </w:t>
      </w:r>
      <w:hyperlink r:id="rId962" w:history="1">
        <w:r>
          <w:rPr>
            <w:rFonts w:ascii="arial" w:eastAsia="arial" w:hAnsi="arial" w:cs="arial"/>
            <w:i/>
            <w:color w:val="0077CC"/>
            <w:sz w:val="20"/>
            <w:u w:val="single"/>
            <w:shd w:val="clear" w:color="auto" w:fill="FFFFFF"/>
            <w:lang w:val="en-US" w:eastAsia="en-US" w:bidi="ar-SA"/>
          </w:rPr>
          <w:t>[1992] B.C.J. No. 1296</w:t>
        </w:r>
      </w:hyperlink>
      <w:r>
        <w:rPr>
          <w:rFonts w:ascii="arial" w:eastAsia="arial" w:hAnsi="arial" w:cs="arial"/>
          <w:color w:val="000000"/>
          <w:sz w:val="20"/>
          <w:lang w:val="en-US" w:eastAsia="en-US" w:bidi="ar-SA"/>
        </w:rPr>
        <w:t xml:space="preserve">, the Master refused to allow the proposed defendants to be added as defendants to the action. He held that since these individuals exercised quasi-judicial powers under the </w:t>
      </w:r>
      <w:r>
        <w:rPr>
          <w:rFonts w:ascii="arial" w:eastAsia="arial" w:hAnsi="arial" w:cs="arial"/>
          <w:i/>
          <w:color w:val="000000"/>
          <w:sz w:val="20"/>
          <w:lang w:val="en-US" w:eastAsia="en-US" w:bidi="ar-SA"/>
        </w:rPr>
        <w:t>Community Care Facility Act</w:t>
      </w:r>
      <w:r>
        <w:rPr>
          <w:rFonts w:ascii="arial" w:eastAsia="arial" w:hAnsi="arial" w:cs="arial"/>
          <w:color w:val="000000"/>
          <w:sz w:val="20"/>
          <w:lang w:val="en-US" w:eastAsia="en-US" w:bidi="ar-SA"/>
        </w:rPr>
        <w:t>, absent bad faith or malice on their part, no cause of action could be brought against them. Although the proposed amendments to the Statement of Claim alleged bad faith, the materials filed in support of the application did not provide any facts to substantiate that plea. Accordingly the application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Master's decision was upheld on appeal by Callaghan J. He rejected the plaintiff's submission that the Licensing Board's or the supervisors' actions ought to be classified as operational rather than quasi-judicial in nature. In doing so he referred to the provisions of the </w:t>
      </w:r>
      <w:r>
        <w:rPr>
          <w:rFonts w:ascii="arial" w:eastAsia="arial" w:hAnsi="arial" w:cs="arial"/>
          <w:i/>
          <w:color w:val="000000"/>
          <w:sz w:val="20"/>
          <w:lang w:val="en-US" w:eastAsia="en-US" w:bidi="ar-SA"/>
        </w:rPr>
        <w:t>Community Care Facility Act</w:t>
      </w:r>
      <w:r>
        <w:rPr>
          <w:rFonts w:ascii="arial" w:eastAsia="arial" w:hAnsi="arial" w:cs="arial"/>
          <w:color w:val="000000"/>
          <w:sz w:val="20"/>
          <w:lang w:val="en-US" w:eastAsia="en-US" w:bidi="ar-SA"/>
        </w:rPr>
        <w:t xml:space="preserve"> and noted at page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legislation does not set out a list of factors or specific criteria which applicants either meet or fail to meet; rather, the legislation calls for the Board members to weigh evidence and to exercise their discretion. In doing so they will undoubtedly affect individual rights, specifically, the right to operate a child care facility. The Board, therefore, in determining whether an individual seeking a licence is entitled to it or not, is acting in a quasijudicial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continued at page 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Seven of the proposed defendants are supervisors whose authority comes within s. 9 of the </w:t>
      </w:r>
      <w:r>
        <w:rPr>
          <w:rFonts w:ascii="arial" w:eastAsia="arial" w:hAnsi="arial" w:cs="arial"/>
          <w:i/>
          <w:color w:val="000000"/>
          <w:sz w:val="20"/>
          <w:lang w:val="en-US" w:eastAsia="en-US" w:bidi="ar-SA"/>
        </w:rPr>
        <w:t>Community Care Facility Act</w:t>
      </w:r>
      <w:r>
        <w:rPr>
          <w:rFonts w:ascii="arial" w:eastAsia="arial" w:hAnsi="arial" w:cs="arial"/>
          <w:color w:val="000000"/>
          <w:sz w:val="20"/>
          <w:lang w:val="en-US" w:eastAsia="en-US" w:bidi="ar-SA"/>
        </w:rPr>
        <w:t xml:space="preserve"> which requires the medical health officer to investigate every application for a licence, to investigate complaints that an unlicensed community care facility is being operated, and to carry out inspection of licensed operating facilities. In each instance they are to report back to the Board. The master concluded at pp. 22-23 of his reasons: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Likewise, the supervisors in conducting their duties pursuant to the instructions received from the Board and in carrying out investigations or monitoring the operation of the facility, are also performing part of that quasi-judicial function. Their reports and the results of their investigation or monitoring processes form the basis, at least in part, upon which the Board issues, renew [sic], or revokes licences. Their function in that regard cannot be viewed as operational within the meaning or test set out in </w:t>
      </w:r>
      <w:r>
        <w:rPr>
          <w:rFonts w:ascii="arial" w:eastAsia="arial" w:hAnsi="arial" w:cs="arial"/>
          <w:i/>
          <w:color w:val="000000"/>
          <w:sz w:val="20"/>
          <w:lang w:val="en-US" w:eastAsia="en-US" w:bidi="ar-SA"/>
        </w:rPr>
        <w:t>Just v. B.C.</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plaintiffs' counsel seeks to distinguish </w:t>
      </w:r>
      <w:r>
        <w:rPr>
          <w:rFonts w:ascii="arial" w:eastAsia="arial" w:hAnsi="arial" w:cs="arial"/>
          <w:i/>
          <w:color w:val="000000"/>
          <w:sz w:val="20"/>
          <w:lang w:val="en-US" w:eastAsia="en-US" w:bidi="ar-SA"/>
        </w:rPr>
        <w:t>Harrington</w:t>
      </w:r>
      <w:r>
        <w:rPr>
          <w:rFonts w:ascii="arial" w:eastAsia="arial" w:hAnsi="arial" w:cs="arial"/>
          <w:color w:val="000000"/>
          <w:sz w:val="20"/>
          <w:lang w:val="en-US" w:eastAsia="en-US" w:bidi="ar-SA"/>
        </w:rPr>
        <w:t xml:space="preserve"> on the basis that in that case, as Callaghan J. noted at page 2 : "(t)he plaintiff seeks to add the individual Board members ... </w:t>
      </w:r>
      <w:r>
        <w:rPr>
          <w:rFonts w:ascii="arial" w:eastAsia="arial" w:hAnsi="arial" w:cs="arial"/>
          <w:i/>
          <w:color w:val="000000"/>
          <w:sz w:val="20"/>
          <w:lang w:val="en-US" w:eastAsia="en-US" w:bidi="ar-SA"/>
        </w:rPr>
        <w:t>solely</w:t>
      </w:r>
      <w:r>
        <w:rPr>
          <w:rFonts w:ascii="arial" w:eastAsia="arial" w:hAnsi="arial" w:cs="arial"/>
          <w:color w:val="000000"/>
          <w:sz w:val="20"/>
          <w:lang w:val="en-US" w:eastAsia="en-US" w:bidi="ar-SA"/>
        </w:rPr>
        <w:t xml:space="preserve"> on the basis that they ... licensed and continued to license (the) day care center. The supervisors are sought to be added </w:t>
      </w:r>
      <w:r>
        <w:rPr>
          <w:rFonts w:ascii="arial" w:eastAsia="arial" w:hAnsi="arial" w:cs="arial"/>
          <w:i/>
          <w:color w:val="000000"/>
          <w:sz w:val="20"/>
          <w:lang w:val="en-US" w:eastAsia="en-US" w:bidi="ar-SA"/>
        </w:rPr>
        <w:t>solely</w:t>
      </w:r>
      <w:r>
        <w:rPr>
          <w:rFonts w:ascii="arial" w:eastAsia="arial" w:hAnsi="arial" w:cs="arial"/>
          <w:color w:val="000000"/>
          <w:sz w:val="20"/>
          <w:lang w:val="en-US" w:eastAsia="en-US" w:bidi="ar-SA"/>
        </w:rPr>
        <w:t xml:space="preserve"> in respect of their functions in reporting to the Board and making recommendations on licensing matters." Mr. McKnight submits that in the case at bar, the plaintiffs' allegations are much broader and instead focus on both quasi-judicial (licensing) as well as operational (inspection) functions. I am not persuaded that this distinction is applicable. I reject that reasoning. Clearly, in </w:t>
      </w:r>
      <w:r>
        <w:rPr>
          <w:rFonts w:ascii="arial" w:eastAsia="arial" w:hAnsi="arial" w:cs="arial"/>
          <w:i/>
          <w:color w:val="000000"/>
          <w:sz w:val="20"/>
          <w:lang w:val="en-US" w:eastAsia="en-US" w:bidi="ar-SA"/>
        </w:rPr>
        <w:t>Harrington</w:t>
      </w:r>
      <w:r>
        <w:rPr>
          <w:rFonts w:ascii="arial" w:eastAsia="arial" w:hAnsi="arial" w:cs="arial"/>
          <w:color w:val="000000"/>
          <w:sz w:val="20"/>
          <w:lang w:val="en-US" w:eastAsia="en-US" w:bidi="ar-SA"/>
        </w:rPr>
        <w:t>, the Court considered the licensing supervisors' inspections to be part of the quasi-judicial process. As Callaghan J. noted at page 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each occasion the supervisors must investigate and report back to the Board. Consequently they are linked directly to the Board and, as an arm of the Board, are part of the quasi-judicial process. They are required to be fact finders in order to enable the decision making body to function.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Relying on the decisions of the Supreme Court of Canada in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Edwards v. Law Society of Upper Canada</w:t>
      </w:r>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2001 SCC 80</w:t>
        </w:r>
      </w:hyperlink>
      <w:r>
        <w:rPr>
          <w:rFonts w:ascii="arial" w:eastAsia="arial" w:hAnsi="arial" w:cs="arial"/>
          <w:color w:val="000000"/>
          <w:sz w:val="20"/>
          <w:lang w:val="en-US" w:eastAsia="en-US" w:bidi="ar-SA"/>
        </w:rPr>
        <w:t xml:space="preserve">, the CHR submits that in the case at bar, where a public authority is exercising its powers under a statutory scheme, applying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(from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(U.K.H.L.), the Court ought to find there is insufficient proximity between the CHR and the plaintiffs to give rise to any private law duty of care. Even assuming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can be established, it submits that at the second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analysis, such a duty of care is negated for policy reasons, since the impugned conduct is quasi-judicial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As I understand it, the legal principles here are not in dispute. Those principles were summarized by the Supreme Court of Canada in the recent decision of </w:t>
      </w:r>
      <w:r>
        <w:rPr>
          <w:rFonts w:ascii="arial" w:eastAsia="arial" w:hAnsi="arial" w:cs="arial"/>
          <w:i/>
          <w:color w:val="000000"/>
          <w:sz w:val="20"/>
          <w:lang w:val="en-US" w:eastAsia="en-US" w:bidi="ar-SA"/>
        </w:rPr>
        <w:t>Fullowka v. Pinkerton's of Canada Ltd.</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2010 SCC 5</w:t>
        </w:r>
      </w:hyperlink>
      <w:r>
        <w:rPr>
          <w:rFonts w:ascii="arial" w:eastAsia="arial" w:hAnsi="arial" w:cs="arial"/>
          <w:color w:val="000000"/>
          <w:sz w:val="20"/>
          <w:lang w:val="en-US" w:eastAsia="en-US" w:bidi="ar-SA"/>
        </w:rPr>
        <w:t xml:space="preserve">. At para. 39, the Court adopted a summary of the principles articulated by the Court in </w:t>
      </w:r>
      <w:r>
        <w:rPr>
          <w:rFonts w:ascii="arial" w:eastAsia="arial" w:hAnsi="arial" w:cs="arial"/>
          <w:i/>
          <w:color w:val="000000"/>
          <w:sz w:val="20"/>
          <w:lang w:val="en-US" w:eastAsia="en-US" w:bidi="ar-SA"/>
        </w:rPr>
        <w:t>D.(B.) v. Children's Aid Society of Halton (Regions)</w:t>
      </w:r>
      <w:r>
        <w:rPr>
          <w:rFonts w:ascii="arial" w:eastAsia="arial" w:hAnsi="arial" w:cs="arial"/>
          <w:color w:val="000000"/>
          <w:sz w:val="20"/>
          <w:lang w:val="en-US" w:eastAsia="en-US" w:bidi="ar-SA"/>
        </w:rPr>
        <w:t xml:space="preserve">, </w:t>
      </w:r>
      <w:hyperlink r:id="rId963" w:history="1">
        <w:r>
          <w:rPr>
            <w:rFonts w:ascii="arial" w:eastAsia="arial" w:hAnsi="arial" w:cs="arial"/>
            <w:i/>
            <w:color w:val="0077CC"/>
            <w:sz w:val="20"/>
            <w:u w:val="single"/>
            <w:shd w:val="clear" w:color="auto" w:fill="FFFFFF"/>
            <w:lang w:val="en-US" w:eastAsia="en-US" w:bidi="ar-SA"/>
          </w:rPr>
          <w:t>[2007] 3 S.C.R. 83</w:t>
        </w:r>
      </w:hyperlink>
      <w:r>
        <w:rPr>
          <w:rFonts w:ascii="arial" w:eastAsia="arial" w:hAnsi="arial" w:cs="arial"/>
          <w:color w:val="000000"/>
          <w:sz w:val="20"/>
          <w:lang w:val="en-US" w:eastAsia="en-US" w:bidi="ar-SA"/>
        </w:rPr>
        <w:t xml:space="preserve"> (S.C.C.), at paras. 26-30:</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statute is the foundation of the proximity analysis and policy considerations arising from the particular relationship between the plaintiff and the defendant must be considered.</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fact that an alleged duty of care is found to conflict with an overarching statutory or public duty may provide a policy reason for refusing to find proximity. Both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xml:space="preserve"> are examples.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 duty to individual investors on the part of the Registrar of Mortgage Brokers potentially conflicted with the Registrar's overarching public duty; in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the proposed private law duty to the victim of a dishonest lawyer potentially conflicted with the Law Society's obligation to exercise its discretion to meet a myriad of objectives.</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statutory immunity provision may also, as in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indicate the Legislature's intention to preclude or limit private law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plaintiffs' counsel does not dispute the application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in either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xml:space="preserve">. However he says that in the case at bar, as in </w:t>
      </w:r>
      <w:r>
        <w:rPr>
          <w:rFonts w:ascii="arial" w:eastAsia="arial" w:hAnsi="arial" w:cs="arial"/>
          <w:i/>
          <w:color w:val="000000"/>
          <w:sz w:val="20"/>
          <w:lang w:val="en-US" w:eastAsia="en-US" w:bidi="ar-SA"/>
        </w:rPr>
        <w:t>Fullowka</w:t>
      </w:r>
      <w:r>
        <w:rPr>
          <w:rFonts w:ascii="arial" w:eastAsia="arial" w:hAnsi="arial" w:cs="arial"/>
          <w:color w:val="000000"/>
          <w:sz w:val="20"/>
          <w:lang w:val="en-US" w:eastAsia="en-US" w:bidi="ar-SA"/>
        </w:rPr>
        <w:t xml:space="preserve">, the medical health inspectors' relationship with the young clients of the daycare was such that, even applying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a private law duty of care did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Fullowka</w:t>
      </w:r>
      <w:r>
        <w:rPr>
          <w:rFonts w:ascii="arial" w:eastAsia="arial" w:hAnsi="arial" w:cs="arial"/>
          <w:color w:val="000000"/>
          <w:sz w:val="20"/>
          <w:lang w:val="en-US" w:eastAsia="en-US" w:bidi="ar-SA"/>
        </w:rPr>
        <w:t xml:space="preserve">, the Court considered the liability of the government of the North West Territories for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 mining regulator in failing to order the closure of a mine following threats of violence by striking miners. Four months prior to the explosion the regulator wrote to his government Minister detailing concerns about the safety of the mine and seeking support for an order to close it. The regulator subsequently received legal advice that he did not have the statutory authority to order the closure of the nine to prevent criminal acts. Thus no closure order was issued until after the fatal explosion.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court held that while the mining safety regulators' role under the regulatory scheme was analogous to that of the Registrar of Mortgage Brokers and the Law Society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xml:space="preserve">, the relationship between the government inspectors and the miners was considerably closer and more direct than the relationships in issue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At paras. 43-45, the Court summarized the three factors which led to that conclusion: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The persons to whom mining inspectors are said to owe a duty - those working in the mine - is not only a much smaller but also a more clearly defined group than was the case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There, the alleged duties were owed, in effect, to the public at large because they extended to all clients of all lawyers and mortgage brokers.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In addition, the mining inspectors had much more direct and personal dealings with the deceased miners than the Law Society or the Registrar had with the clients of the lawyer or mortgage broker in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As pointed out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[2007] 3 S.C.R. 129</w:t>
        </w:r>
      </w:hyperlink>
      <w:r>
        <w:rPr>
          <w:rFonts w:ascii="arial" w:eastAsia="arial" w:hAnsi="arial" w:cs="arial"/>
          <w:color w:val="000000"/>
          <w:sz w:val="20"/>
          <w:lang w:val="en-US" w:eastAsia="en-US" w:bidi="ar-SA"/>
        </w:rPr>
        <w:t xml:space="preserve">, in considering whether the relationship in question is close and direct, the existence, or absence, of personal contact is significant. ... As the trial judge found in this case, visits by inspectors to the mine during the strike were "almost daily" occurrences, 11 official inspections were conducted and at any time a tour of the mine was required, the inspector would be accompanied by a member of the occupational health and safety committee (para. 256). There was therefore more direct and personal contact with miners than there was with the clients in either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Finally, the inspectors' statutory duties related directly to the conduct of the miners themselves. This is in contrast to the Law Society in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xml:space="preserve"> or the Registrar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who had no direct regulatory authority over the claimants who were the clients of the regulated lawyers and mortgage brokers.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Mr. McKnight submits that in the case at bar, the CHR's medical health officers (like the mining inspectors in </w:t>
      </w:r>
      <w:r>
        <w:rPr>
          <w:rFonts w:ascii="arial" w:eastAsia="arial" w:hAnsi="arial" w:cs="arial"/>
          <w:i/>
          <w:color w:val="000000"/>
          <w:sz w:val="20"/>
          <w:lang w:val="en-US" w:eastAsia="en-US" w:bidi="ar-SA"/>
        </w:rPr>
        <w:t>Fullowka</w:t>
      </w:r>
      <w:r>
        <w:rPr>
          <w:rFonts w:ascii="arial" w:eastAsia="arial" w:hAnsi="arial" w:cs="arial"/>
          <w:color w:val="000000"/>
          <w:sz w:val="20"/>
          <w:lang w:val="en-US" w:eastAsia="en-US" w:bidi="ar-SA"/>
        </w:rPr>
        <w:t xml:space="preserve">, and the Barreau du Quebec in </w:t>
      </w:r>
      <w:r>
        <w:rPr>
          <w:rFonts w:ascii="arial" w:eastAsia="arial" w:hAnsi="arial" w:cs="arial"/>
          <w:i/>
          <w:color w:val="000000"/>
          <w:sz w:val="20"/>
          <w:lang w:val="en-US" w:eastAsia="en-US" w:bidi="ar-SA"/>
        </w:rPr>
        <w:t>Finney v. Barreau du Quebéc</w:t>
      </w:r>
      <w:r>
        <w:rPr>
          <w:rFonts w:ascii="arial" w:eastAsia="arial" w:hAnsi="arial" w:cs="arial"/>
          <w:color w:val="000000"/>
          <w:sz w:val="20"/>
          <w:lang w:val="en-US" w:eastAsia="en-US" w:bidi="ar-SA"/>
        </w:rPr>
        <w:t xml:space="preserve">, </w:t>
      </w:r>
      <w:hyperlink r:id="rId964" w:history="1">
        <w:r>
          <w:rPr>
            <w:rFonts w:ascii="arial" w:eastAsia="arial" w:hAnsi="arial" w:cs="arial"/>
            <w:i/>
            <w:color w:val="0077CC"/>
            <w:sz w:val="20"/>
            <w:u w:val="single"/>
            <w:shd w:val="clear" w:color="auto" w:fill="FFFFFF"/>
            <w:lang w:val="en-US" w:eastAsia="en-US" w:bidi="ar-SA"/>
          </w:rPr>
          <w:t>2004 SCC 36</w:t>
        </w:r>
      </w:hyperlink>
      <w:r>
        <w:rPr>
          <w:rFonts w:ascii="arial" w:eastAsia="arial" w:hAnsi="arial" w:cs="arial"/>
          <w:color w:val="000000"/>
          <w:sz w:val="20"/>
          <w:lang w:val="en-US" w:eastAsia="en-US" w:bidi="ar-SA"/>
        </w:rPr>
        <w:t>,) had a direct personal relationship with the children under the defendant Dutrisac's care at the daycare facility. He notes that from time to time, when a parent lodged a complaint, he or she dealt directly with the medical health officers and their supervisors. He notes that on discovery, each of the five medical health officers in issue admitted that from time to time, the inspectors had direct dealings with the parents regarding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While there is no dispute that on occasion the medical health officers dealt with complaints regarding Dutrisac's daycare, on a review of the discovery evidence tendered, I am not persuaded there is any evidentiary foundation for a finding that these medical health officers/daycare licensing inspectors ever formed any relationship with the infant plaintiff or his family. There is no evidence before me of any direct communications between any of the licensing inspectors and the infant plaintiff or his family prior to the event when the infant plaintiff fell off a couch at the daycare. In contrast to the situation in </w:t>
      </w:r>
      <w:r>
        <w:rPr>
          <w:rFonts w:ascii="arial" w:eastAsia="arial" w:hAnsi="arial" w:cs="arial"/>
          <w:i/>
          <w:color w:val="000000"/>
          <w:sz w:val="20"/>
          <w:lang w:val="en-US" w:eastAsia="en-US" w:bidi="ar-SA"/>
        </w:rPr>
        <w:t>Finney</w:t>
      </w:r>
      <w:r>
        <w:rPr>
          <w:rFonts w:ascii="arial" w:eastAsia="arial" w:hAnsi="arial" w:cs="arial"/>
          <w:color w:val="000000"/>
          <w:sz w:val="20"/>
          <w:lang w:val="en-US" w:eastAsia="en-US" w:bidi="ar-SA"/>
        </w:rPr>
        <w:t xml:space="preserve"> none of the actions of the medical health officers can be said to have been "made in the relationship of proximity with a clearly identified complainant".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Further, in the case at bar, as in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none of the licensing inspectors ever had any direct regulatory control over the infant plaintiff or his family or any of the attendees of the daycares under their jurisdiction. Thus, in my view, none of the exceptions found in </w:t>
      </w:r>
      <w:r>
        <w:rPr>
          <w:rFonts w:ascii="arial" w:eastAsia="arial" w:hAnsi="arial" w:cs="arial"/>
          <w:i/>
          <w:color w:val="000000"/>
          <w:sz w:val="20"/>
          <w:lang w:val="en-US" w:eastAsia="en-US" w:bidi="ar-SA"/>
        </w:rPr>
        <w:t>Fullowka</w:t>
      </w:r>
      <w:r>
        <w:rPr>
          <w:rFonts w:ascii="arial" w:eastAsia="arial" w:hAnsi="arial" w:cs="arial"/>
          <w:color w:val="000000"/>
          <w:sz w:val="20"/>
          <w:lang w:val="en-US" w:eastAsia="en-US" w:bidi="ar-SA"/>
        </w:rPr>
        <w:t>, which grounded the finding of a private law duty of care, exist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To the contrary, in this case, as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"the factors giving rise to proximity, if they exist, must arise from the statute under which the (Director) is appointed. That statute is the only source of his duties, private or public." Here, the statute does not impose a duty of care on the Director or the licensing inspectors to children and parents who are dealing with daycare operators regulated by the Act. Rather the Director's duty is to the public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As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I find that a duty to individual children and parents would potentially conflict with the Director's overarching duty to the public-at-large. A review of the relevant powers and duties of the Director under the Act confirms this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overall statutory scheme governing the licensing of daycare facilities provides an efficient framework to ensure the operation of community care facilities "in a manner that will maintain the spirit, dignity and individuality of the person being cared for "(s. 4(1)(a)(i)).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Under s. 6, if the Director determines, following a hearing, that a licensee is in contravention of the Act or Regulations, the Director may attach terms or conditions to the license, suspend the license or cancel the license. This can be done without a hearing where the Director has reasonable grounds to believe that the health or safety of children cared for at the daycare is at risk and the Director may attach terms or conditions to the licence or suspect the licence, but he must commence a hearing as soon as practicable.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Under s. 15 of the Act, a daycare operator may appeal the suspension or cancellation of her licence to the Community Care Facility Appeal Board and may appeal any term or condition attached to his license. The decision under appeal may be stayed pending the outcome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Under s. 14 of the Act, the medical health officer must (a) investigate every application for a daycare licence; (b) investigate every complaint that an unlicensed community care facility is being operated or that a licensed facility does not fully comply with the Act or Regulations; (c) carry out inspections, whenever the medical health officer considers it necessary and to report the results to the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Under s. 16(1) every community care facility must be open at all times to visitation and inspection by the Director or a medical health officer who may examine any part of the daycare call for and inspect records, and inquire into all matters concerning the daycare.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Finally s. 19(1) exempts the Director and medical health officer from any action for damages 'because of anything done or omitted in good faith in the performance or intended performance of any duty or the exercise or intended exercise of any power under (the) Act or the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As in the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decision, the CHR and its inspectors must balance a myriad of competing interests when dealing with the licensing and inspection of daycares, including the daycare owner's interest in the continued operation of her business and the parents' and the public's interest in the protection of children in the care of the daycare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my view, this balancing of interests is inconsistent with the imposition of a private duty of care. Thus, on a review of all of the authorities, and a consideration of the legislation in issue, I reject the notion that any private law duty of care was owed by the CHR (and its employees) to the infant plaintiff and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If however I am in error, and it is found that such a private duty of law does arise in the circumstances of this case, then I nevertheless find that the application of the second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yields no different result. As the Ontario Court of Appeal held in </w:t>
      </w:r>
      <w:r>
        <w:rPr>
          <w:rFonts w:ascii="arial" w:eastAsia="arial" w:hAnsi="arial" w:cs="arial"/>
          <w:i/>
          <w:color w:val="000000"/>
          <w:sz w:val="20"/>
          <w:lang w:val="en-US" w:eastAsia="en-US" w:bidi="ar-SA"/>
        </w:rPr>
        <w:t>Williams v. Canada (Attorney General)</w:t>
      </w:r>
      <w:r>
        <w:rPr>
          <w:rFonts w:ascii="arial" w:eastAsia="arial" w:hAnsi="arial" w:cs="arial"/>
          <w:color w:val="000000"/>
          <w:sz w:val="20"/>
          <w:lang w:val="en-US" w:eastAsia="en-US" w:bidi="ar-SA"/>
        </w:rPr>
        <w:t xml:space="preserve">, </w:t>
      </w:r>
      <w:hyperlink r:id="rId965" w:history="1">
        <w:r>
          <w:rPr>
            <w:rFonts w:ascii="arial" w:eastAsia="arial" w:hAnsi="arial" w:cs="arial"/>
            <w:i/>
            <w:color w:val="0077CC"/>
            <w:sz w:val="20"/>
            <w:u w:val="single"/>
            <w:shd w:val="clear" w:color="auto" w:fill="FFFFFF"/>
            <w:lang w:val="en-US" w:eastAsia="en-US" w:bidi="ar-SA"/>
          </w:rPr>
          <w:t>2009 ONCA 378</w:t>
        </w:r>
      </w:hyperlink>
      <w:r>
        <w:rPr>
          <w:rFonts w:ascii="arial" w:eastAsia="arial" w:hAnsi="arial" w:cs="arial"/>
          <w:color w:val="000000"/>
          <w:sz w:val="20"/>
          <w:lang w:val="en-US" w:eastAsia="en-US" w:bidi="ar-SA"/>
        </w:rPr>
        <w:t>, at para. 17, at the second stage: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court considers whether there are "residual policy considerations" that militate against recognizing a novel duty of care. ... These are policy considerations that "are not concerned with the relationship between the parties, but with the effect of recognizing a duty of care on other legal obligations, the legal system and society more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my view, any private law duty of care which may arise in this case would be negated for overriding policy reasons as in the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case. This is because (i) the licensing officers were exercising both policy and quasi-judicial functions such that any decision required the balancing of both public and private interests. The Director must act fairly or judicially in removing an operator's license and this is potentially inconsistent with a duty of care to children and families; (ii) the Director must make difficult discretionary decisions in an area of public policy. His decisions are made within the limits of the powers conferred on him in the public interest; and (iii) if there was a private duty of care owed by the Director to the children and parents, it would effectively create an insurance scheme for all those children attending licensed daycares within the Province, at great costs to the taxpaying public. As the Court held in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there is no indication here that the Legislature intended that result. Indeed the statutory immunity from liability provision suggests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Finally, as I understand the plaintiff's counsel's submission, it is that the statutory framework in question and particularly the statutory immunity provision at s. 19(1) of the Act is of no assistance to the CHR, since the evidence supports a finding that the medical health inspectors were acting in </w:t>
      </w:r>
      <w:r>
        <w:rPr>
          <w:rFonts w:ascii="arial" w:eastAsia="arial" w:hAnsi="arial" w:cs="arial"/>
          <w:i/>
          <w:color w:val="000000"/>
          <w:sz w:val="20"/>
          <w:lang w:val="en-US" w:eastAsia="en-US" w:bidi="ar-SA"/>
        </w:rPr>
        <w:t>bad faith</w:t>
      </w:r>
      <w:r>
        <w:rPr>
          <w:rFonts w:ascii="arial" w:eastAsia="arial" w:hAnsi="arial" w:cs="arial"/>
          <w:color w:val="000000"/>
          <w:sz w:val="20"/>
          <w:lang w:val="en-US" w:eastAsia="en-US" w:bidi="ar-SA"/>
        </w:rPr>
        <w:t xml:space="preserve"> in failing to respond to the reports and complaints about events which had occurred in the Dutrisac daycare in the months and years prior to the date when the infant plaintiff was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plaintiffs rely on the decision of Melvin J. in </w:t>
      </w:r>
      <w:r>
        <w:rPr>
          <w:rFonts w:ascii="arial" w:eastAsia="arial" w:hAnsi="arial" w:cs="arial"/>
          <w:i/>
          <w:color w:val="000000"/>
          <w:sz w:val="20"/>
          <w:lang w:val="en-US" w:eastAsia="en-US" w:bidi="ar-SA"/>
        </w:rPr>
        <w:t>M.D. (Guardian ad litem of) v. British Columbia</w:t>
      </w:r>
      <w:r>
        <w:rPr>
          <w:rFonts w:ascii="arial" w:eastAsia="arial" w:hAnsi="arial" w:cs="arial"/>
          <w:color w:val="000000"/>
          <w:sz w:val="20"/>
          <w:lang w:val="en-US" w:eastAsia="en-US" w:bidi="ar-SA"/>
        </w:rPr>
        <w:t xml:space="preserve">, </w:t>
      </w:r>
      <w:hyperlink r:id="rId966" w:history="1">
        <w:r>
          <w:rPr>
            <w:rFonts w:ascii="arial" w:eastAsia="arial" w:hAnsi="arial" w:cs="arial"/>
            <w:i/>
            <w:color w:val="0077CC"/>
            <w:sz w:val="20"/>
            <w:u w:val="single"/>
            <w:shd w:val="clear" w:color="auto" w:fill="FFFFFF"/>
            <w:lang w:val="en-US" w:eastAsia="en-US" w:bidi="ar-SA"/>
          </w:rPr>
          <w:t>2000 BCSC 700</w:t>
        </w:r>
      </w:hyperlink>
      <w:r>
        <w:rPr>
          <w:rFonts w:ascii="arial" w:eastAsia="arial" w:hAnsi="arial" w:cs="arial"/>
          <w:color w:val="000000"/>
          <w:sz w:val="20"/>
          <w:lang w:val="en-US" w:eastAsia="en-US" w:bidi="ar-SA"/>
        </w:rPr>
        <w:t>. There the infant plaintiff's guardian ad litem brought action against the Province and K, a foster parent, for injuries suffered by the child when she was shaken by K. The child was born addicted to methadone as a result of drug use by her mother. An inadequate fostering parent assessment led to the child being placed with K, a foster parent who did not have the proper qualifications for the child's care. The Ministry staff had failed to advise the social workers properly and the social workers in turn had not given appropriate information to the caregiver. The Ministry staff had also not properly inquired into K's qualifications or suitability, nor had they determined whether the litigation guardians or the child's aunts were preferable caregivers.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Court rejected the application of s. 101 of the </w:t>
      </w:r>
      <w:r>
        <w:rPr>
          <w:rFonts w:ascii="arial" w:eastAsia="arial" w:hAnsi="arial" w:cs="arial"/>
          <w:i/>
          <w:color w:val="000000"/>
          <w:sz w:val="20"/>
          <w:lang w:val="en-US" w:eastAsia="en-US" w:bidi="ar-SA"/>
        </w:rPr>
        <w:t>Child Family and Community Service Act</w:t>
      </w:r>
      <w:r>
        <w:rPr>
          <w:rFonts w:ascii="arial" w:eastAsia="arial" w:hAnsi="arial" w:cs="arial"/>
          <w:color w:val="000000"/>
          <w:sz w:val="20"/>
          <w:lang w:val="en-US" w:eastAsia="en-US" w:bidi="ar-SA"/>
        </w:rPr>
        <w:t xml:space="preserve"> which provides immunity from liability "for anything done or omitted in good faith in the exercise or performance or intended exercise or performance of (a) a power, duty or function conferred by or under this Act". The Court held that the statutory immunity from liability was not available to the Ministry staff since they had failed to consider the facts they ought to have known before the decision was made to place the child with 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my view, the </w:t>
      </w:r>
      <w:r>
        <w:rPr>
          <w:rFonts w:ascii="arial" w:eastAsia="arial" w:hAnsi="arial" w:cs="arial"/>
          <w:i/>
          <w:color w:val="000000"/>
          <w:sz w:val="20"/>
          <w:lang w:val="en-US" w:eastAsia="en-US" w:bidi="ar-SA"/>
        </w:rPr>
        <w:t>M.D.</w:t>
      </w:r>
      <w:r>
        <w:rPr>
          <w:rFonts w:ascii="arial" w:eastAsia="arial" w:hAnsi="arial" w:cs="arial"/>
          <w:color w:val="000000"/>
          <w:sz w:val="20"/>
          <w:lang w:val="en-US" w:eastAsia="en-US" w:bidi="ar-SA"/>
        </w:rPr>
        <w:t xml:space="preserve"> decision has no application here. First, given the direct relationship between the various Ministry social workers and the infant plaintiff, there was no question that there was a duty of care owed to the infant plaintiff. Indeed at para. 40, the Court held "there can be no doubt that the Ministry has a duty of care towards children it takes into its custody. This duty, of course, must be carried out by social workers in the employ of the Ministry." In the case at bar, as I have discussed earlier, there was no such close relationship between the licensing inspectors and the infant plaintiff or his parents such as to give rise to a private law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Secondly, the statutory immunity section considered in </w:t>
      </w:r>
      <w:r>
        <w:rPr>
          <w:rFonts w:ascii="arial" w:eastAsia="arial" w:hAnsi="arial" w:cs="arial"/>
          <w:i/>
          <w:color w:val="000000"/>
          <w:sz w:val="20"/>
          <w:lang w:val="en-US" w:eastAsia="en-US" w:bidi="ar-SA"/>
        </w:rPr>
        <w:t>M.D.</w:t>
      </w:r>
      <w:r>
        <w:rPr>
          <w:rFonts w:ascii="arial" w:eastAsia="arial" w:hAnsi="arial" w:cs="arial"/>
          <w:color w:val="000000"/>
          <w:sz w:val="20"/>
          <w:lang w:val="en-US" w:eastAsia="en-US" w:bidi="ar-SA"/>
        </w:rPr>
        <w:t xml:space="preserve"> was that which had previously been considered by the Court in the context of the duty of a Superintendent of the Ministry of Children to exercise his statutory discretion with due care -- that is "to honestly consider the facts he knew or ought to have known, before he makes his decision". (</w:t>
      </w:r>
      <w:r>
        <w:rPr>
          <w:rFonts w:ascii="arial" w:eastAsia="arial" w:hAnsi="arial" w:cs="arial"/>
          <w:i/>
          <w:color w:val="000000"/>
          <w:sz w:val="20"/>
          <w:lang w:val="en-US" w:eastAsia="en-US" w:bidi="ar-SA"/>
        </w:rPr>
        <w:t>D.B. v. British Columbia (Superintendent of Family and Child Services)</w:t>
      </w:r>
      <w:r>
        <w:rPr>
          <w:rFonts w:ascii="arial" w:eastAsia="arial" w:hAnsi="arial" w:cs="arial"/>
          <w:color w:val="000000"/>
          <w:sz w:val="20"/>
          <w:lang w:val="en-US" w:eastAsia="en-US" w:bidi="ar-SA"/>
        </w:rPr>
        <w:t xml:space="preserve"> </w:t>
      </w:r>
      <w:hyperlink r:id="rId967" w:history="1">
        <w:r>
          <w:rPr>
            <w:rFonts w:ascii="arial" w:eastAsia="arial" w:hAnsi="arial" w:cs="arial"/>
            <w:i/>
            <w:color w:val="0077CC"/>
            <w:sz w:val="20"/>
            <w:u w:val="single"/>
            <w:shd w:val="clear" w:color="auto" w:fill="FFFFFF"/>
            <w:lang w:val="en-US" w:eastAsia="en-US" w:bidi="ar-SA"/>
          </w:rPr>
          <w:t>(1997), 30 B.C.L.R. (3d) 201</w:t>
        </w:r>
      </w:hyperlink>
      <w:r>
        <w:rPr>
          <w:rFonts w:ascii="arial" w:eastAsia="arial" w:hAnsi="arial" w:cs="arial"/>
          <w:color w:val="000000"/>
          <w:sz w:val="20"/>
          <w:lang w:val="en-US" w:eastAsia="en-US" w:bidi="ar-SA"/>
        </w:rPr>
        <w:t xml:space="preserve"> (B.C.C.A.) at para. 52). The Court held that the lack of communication and inquiry between the social workers demonstrated a "failure to consider the facts that the Ministry staff ought to have known before the decision was made to place the child with K." In the Court's view this "failure to consider" as well as the Ministry's social workers apparent efforts to deliberately thwart the infant plaintiff's relatives' bid to seek custody reflected a lack of good faith within the meaning of </w:t>
      </w:r>
      <w:r>
        <w:rPr>
          <w:rFonts w:ascii="arial" w:eastAsia="arial" w:hAnsi="arial" w:cs="arial"/>
          <w:i/>
          <w:color w:val="000000"/>
          <w:sz w:val="20"/>
          <w:lang w:val="en-US" w:eastAsia="en-US" w:bidi="ar-SA"/>
        </w:rPr>
        <w:t>D.B.</w:t>
      </w:r>
      <w:r>
        <w:rPr>
          <w:rFonts w:ascii="arial" w:eastAsia="arial" w:hAnsi="arial" w:cs="arial"/>
          <w:color w:val="000000"/>
          <w:sz w:val="20"/>
          <w:lang w:val="en-US" w:eastAsia="en-US" w:bidi="ar-SA"/>
        </w:rPr>
        <w:t>, thus robbing the Ministry staff of the protection of the statutory immunity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 am not persuaded that the good faith expected of a Superintendent of the Ministry of Children, who is directly responsible for the health, welfare and education of all children under his statutory custody, is akin to that which can be expected of either the Director or the medical health officers responsible for carrying out the statutory mandate of ensuring the proper operation and licensing of day care facilities in the Province under the </w:t>
      </w:r>
      <w:r>
        <w:rPr>
          <w:rFonts w:ascii="arial" w:eastAsia="arial" w:hAnsi="arial" w:cs="arial"/>
          <w:i/>
          <w:color w:val="000000"/>
          <w:sz w:val="20"/>
          <w:lang w:val="en-US" w:eastAsia="en-US" w:bidi="ar-SA"/>
        </w:rPr>
        <w:t>Community Care Facilities Act</w:t>
      </w:r>
      <w:r>
        <w:rPr>
          <w:rFonts w:ascii="arial" w:eastAsia="arial" w:hAnsi="arial" w:cs="arial"/>
          <w:color w:val="000000"/>
          <w:sz w:val="20"/>
          <w:lang w:val="en-US" w:eastAsia="en-US" w:bidi="ar-SA"/>
        </w:rPr>
        <w:t xml:space="preserve">. In the context of the latter legislation, I believe that as in </w:t>
      </w:r>
      <w:r>
        <w:rPr>
          <w:rFonts w:ascii="arial" w:eastAsia="arial" w:hAnsi="arial" w:cs="arial"/>
          <w:i/>
          <w:color w:val="000000"/>
          <w:sz w:val="20"/>
          <w:lang w:val="en-US" w:eastAsia="en-US" w:bidi="ar-SA"/>
        </w:rPr>
        <w:t>Finney</w:t>
      </w:r>
      <w:r>
        <w:rPr>
          <w:rFonts w:ascii="arial" w:eastAsia="arial" w:hAnsi="arial" w:cs="arial"/>
          <w:color w:val="000000"/>
          <w:sz w:val="20"/>
          <w:lang w:val="en-US" w:eastAsia="en-US" w:bidi="ar-SA"/>
        </w:rPr>
        <w:t xml:space="preserve"> the concept of bad faith: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can and must be given a broader meaning that encompasses serious carelessness or recklessness. Bad faith certainly includes intentional fault. ...However, recklessness implies a fundamental breakdown of the orderly exercise of authority, to the point that absence of good faith can be deduced and bad faith presumed. The act, in terms of how it is performed, is then inexplicable and incomprehensible, to the point that it can be regarded as an actual abuse of power, having regard to the purposes for which it is meant to be exercised.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the case at bar, there is no evidence in my view to suggest anything approaching bad faith on the part of any of the medical licensing inspectors. Accordingly, I am not persuaded that the defendant CHR or its employees can be denied the protection of this statutory immunity from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7.0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/Causation: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Since I have found there is no private law duty of care owed to the plaintiffs, it is unnecessary to consider the final issues -- that is (i) whether the plaintiffs have proven that the CHR or its daycare licensing inspectors were in breach of the standard of care expected of them in this case and (ii) whether, the plaintiffs have proven on a balance of probabilities that but for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CHR and its licensing inspectors the infant plaintiff's injury would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That said, I must at least note that the plaintiffs have filed no evidence of any kind, sworn either by an expert or a lay witness, to suggest that the CHR or its medical licensing inspectors were negligent in the carrying out of their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For its part, the CHR relies on the expert report of Mr. Ritchey which confirms that the complaints which were made about the Dutrisac daycare and which were investigated by the licensing staff prior to the incident, would not have been sufficient to result in a revocation of the Dutrisac license. He has opined that the CHR and its employees met the standard of care expected of childcare licensing officers in their dealings with the daycare operated by Dutrisac.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plaintiffs have submitted that the Court ought not to rely on the Ritchey report since it is based on a summary of the facts which is not supported by the evidence before the Court, and in some cases relies on statements in which there is a conflict in the evidence. Mr. McKnight submits that he ought to be entitled to a full cross examination of Ritchey before his opinion should be admitted in evidence and considered by the Court. As I noted earlier, I am not persuaded that the facts here are in dispute or that there is any real conflict in the evidence. Thus I see no reason for any cross examination of Ritchey.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my view, the Court here is effectively faced with the uncontroverted expert opinion of Ritchey, which has not been challenged by any expert on the plaintiffs' side. In these circumstances, I find that to the extent it is necessary to consider the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Ritchey report provides a sound foundation for a finding that neither the CHR or the medical inspectors failed to meet the applicable standard of care applicable to childcare licensing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Finally, as to the issue of causation, there is no evidence that but for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CHR and its licensing inspectors, this injury would not have occurred. The evidence is that none of the inspections performed by the licensing officers nor anything reported to them should have led to either the closure of the daycare or to any communication to any of the daycare parents that they should have any concerns about their children while under Dutrisac's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8.0 Conclusion: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On a review of all the evidence and the submissions of counsel, I am not persuaded that the plaintiffs have proven that the defendant CHR or its employees owed any private duty of law to the plaintiffs or that even assuming they do, they failed to meet the standard of care expected in the circumstances. Accordingly, the defendant CHR must succeed on this Rule 9-7 application. This action is dismissed against the CHR. Costs will follow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 BOYD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7" style="position:absolute;z-index:251894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68"/>
          <w:headerReference w:type="default" r:id="rId969"/>
          <w:footerReference w:type="even" r:id="rId970"/>
          <w:footerReference w:type="default" r:id="rId971"/>
          <w:headerReference w:type="first" r:id="rId972"/>
          <w:footerReference w:type="first" r:id="rId97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74" w:history="1">
        <w:r>
          <w:rPr>
            <w:rFonts w:ascii="arial" w:eastAsia="arial" w:hAnsi="arial" w:cs="arial"/>
            <w:b/>
            <w:bCs/>
            <w:i/>
            <w:color w:val="0077CC"/>
            <w:kern w:val="32"/>
            <w:sz w:val="28"/>
            <w:szCs w:val="32"/>
            <w:u w:val="single"/>
            <w:shd w:val="clear" w:color="auto" w:fill="FFFFFF"/>
            <w:lang w:val="en-US" w:eastAsia="en-US" w:bidi="ar-SA"/>
          </w:rPr>
          <w:t>Sports Pool Distributors Inc. v. Dangerfield, [2008] B.C.J. No. 10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 Groberman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26-30 and April 2-5, 2007; written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submissions, May 2 and June 6,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4,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S052553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165 A.C.W.S. (3d) 548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 P.P.S.A.C. (3d) 160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Sports Pool Distributors Inc., Plaintiff, and Kenneth Andrew Dangerfield and Boughton Law Corporation, Defendants, and Blair Murdoch,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8"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8" w:name="Keywords_45"/>
      <w:bookmarkEnd w:id="298"/>
      <w:r>
        <w:rPr>
          <w:rFonts w:ascii="arial" w:eastAsia="arial" w:hAnsi="arial" w:cs="arial"/>
          <w:b/>
          <w:color w:val="000000"/>
          <w:sz w:val="20"/>
          <w:lang w:val="en-US" w:eastAsia="en-US" w:bidi="ar-SA"/>
        </w:rPr>
        <w:t xml:space="preserve">Legal profession — Barristers and solicitors — Liability — Standard of care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plaintiff against former solicitor for damages resulting from alleged negligent advice allowed in part — Plaintiff had guaranteed financing for production of three films — Losses arising from fact that plaintiff did not have first priority in receiving film revenues was due to unlawful conduct of third party — Solicitor negligent in failing to provided adequate contractual protection in guarantee agreement — Plaintiff was awarded damages of US$254,046 as a result of solicitor's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Professional duties — Duties of care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plaintiff against former solicitor for damages resulting from alleged negligent advice allowed in part — Plaintiff had guaranteed financing for production of three films — Losses arising from fact that plaintiff did not have first priority in receiving film revenues was due to unlawful conduct of third party — Solicitor negligent in failing to provided adequate contractual protection in guarantee agreement — Plaintiff was awarded damages of US$254,046 as a result of solicitor's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Professional — Legal — Action by plaintiff against former solicitor for damages resulting from alleged negligent advice allowed in part — Plaintiff had guaranteed financing for production of three films — Losses arising from fact that plaintiff did not have first priority in receiving film revenues was due to unlawful conduct of third party — Solicitor negligent in failing to provided adequate contractual protection in guarantee agreement — Plaintiff was awarded damages of US$254,046 as a result of solicitor's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9" w:name="Case Summary_42"/>
            <w:bookmarkEnd w:id="29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Sports Pool Distributors ("SPD") against its former solicitor, Dangerfield, and his law firm for damages resulting from alleged negligent legal advice and failure to take appropriate steps to ensure debts owing to the SPD were properly secured -- Dangerfield acted for SPD in connection with a film financing deal pursuant to which SPD provided letters of credit to North American Releasing Inc ("North American") to guarantee anticipated revenues from three films -- Although SPD was to be reimbursed for any amount drawn on the letters of credit when revenues from the films came in, SPD did not receive any revenues -- SPD argued that its resulting loss was caused by Dangerfield's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verify that the distribution rights belonged to the proper corporation, to undertake necessary filings under the Personal Property Security Act, to ensure that the subdistributors were notified of the assignments and directed to make payments to SPD and to advise of significant changes to the agreement -- SPD further argued that all of its losses should be recoverable -- Dangerfield argued that SPD understood that the transaction was risky and that any losses SPD suffered were not attributable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 -- Dangerfield further argued that SPD did not suffer any loss, or that any loss was due to the fraudulent behaviour of North American and that nothing he could have done would have protected SPD from such fraud -- HELD: Action allowed in part -- The issue of which corporation actually owned the subdistribution contracts played no role in any losses that were suffered -- The loss flowing from the fact that SPD did not have first priority in receiving the film revenues could be traced to the unlawful conduct of North American and it was highly improbable that such conduct would have been prevented by greater care on the part of Dangerfield -- Although Dangerfield failed to appreciate that the security interests acquired by SPD were registrable under the Personal Property Security Act, the failure to register SPD's interest in the subdistribution contracts did not cause any loss -- With respect to the issue of the failure to deliver the notices of assignment and directions in a timely manner as provided by the agreement, Dangerfield's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causative of SPD's losses as such losses were a readily foreseeable result of Dangerfield's failure to ensure protection in the event that North American failed to abide by its contractual obligations and to furnish notice to the subdistributors in a timely manner of the documents to be delivered -- As SPD relied on Dangerfield to negotiate the language and to protect its interests, it was incumbent on Dangerfield to structure the agreement in such a manner as to ensure that SPD was in a position to provide the subdistributors with notice of the assignment of their contracts in the event that North American failed to do so and to ensure that SPD was aware of the importance of providing the subdistributors with notice -- The correct measure of damages was the amount of the losses that would have been avoided had the notices of assignment and directions to pay been properly delivered to the subdistributors -- As SPD was a shell company and the film financing deal was entered into by SPD for tax purposes, SPD was the entity deprived of funds and the loss claimed was SPD's -- Dangerfield was ordered to pay US$254,046 in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0" w:name="Legislation Cited_32"/>
      <w:bookmarkEnd w:id="30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9"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Foreign Money Claims Act, </w:t>
      </w:r>
      <w:r>
        <w:rPr>
          <w:rFonts w:ascii="arial" w:eastAsia="arial" w:hAnsi="arial" w:cs="arial"/>
          <w:i/>
          <w:color w:val="000000"/>
          <w:sz w:val="20"/>
          <w:lang w:val="en-US" w:eastAsia="en-US" w:bidi="ar-SA"/>
        </w:rPr>
        <w:t>R.S.B.C. 1996, c. 155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Foreign Money Claims Regulation, </w:t>
      </w:r>
      <w:hyperlink r:id="rId975" w:history="1">
        <w:r>
          <w:rPr>
            <w:rFonts w:ascii="arial" w:eastAsia="arial" w:hAnsi="arial" w:cs="arial"/>
            <w:i/>
            <w:color w:val="0077CC"/>
            <w:sz w:val="20"/>
            <w:u w:val="single"/>
            <w:shd w:val="clear" w:color="auto" w:fill="FFFFFF"/>
            <w:lang w:val="en-US" w:eastAsia="en-US" w:bidi="ar-SA"/>
          </w:rPr>
          <w:t>B.C. Reg. 165/96</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Personal Property Security Act, </w:t>
      </w:r>
      <w:r>
        <w:rPr>
          <w:rFonts w:ascii="arial" w:eastAsia="arial" w:hAnsi="arial" w:cs="arial"/>
          <w:i/>
          <w:color w:val="000000"/>
          <w:sz w:val="20"/>
          <w:lang w:val="en-US" w:eastAsia="en-US" w:bidi="ar-SA"/>
        </w:rPr>
        <w:t>R.S.B.C. 1996, C. 359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1" w:name="Counsel_44"/>
      <w:bookmarkEnd w:id="30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0" style="position:absolute;z-index:251807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and for the Third Party: D. Ross Clark, QC and Scott R. Andersen.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Jack M. Webster, QC and Paul D. Warnett.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2" w:name="Judgment_45"/>
      <w:bookmarkEnd w:id="302"/>
      <w:r>
        <w:pict>
          <v:line id="_x0000_s1251" style="position:absolute;z-index:2518579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3" w:name="H. GROBERMAN J."/>
            <w:bookmarkEnd w:id="303"/>
            <w:r>
              <w:rPr>
                <w:rFonts w:ascii="arial" w:eastAsia="arial" w:hAnsi="arial" w:cs="arial"/>
                <w:b/>
                <w:color w:val="000000"/>
                <w:sz w:val="30"/>
                <w:lang w:val="en-US" w:eastAsia="en-US" w:bidi="ar-SA"/>
              </w:rPr>
              <w:t>H. GROBERMAN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action, Sports Pool Distributors sues Kenneth Dangerfield, its former solicitor, and his law firm alleging that he provided Sports Pool with negligent legal advice and that he failed to take appropriate steps to ensure that debts owing to the company were properly secured.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Mr. Dangerfield acted for Sports Pool in connection with a film financing deal. The arrangement involved Sports Pool providing letters of credit to guarantee certain anticipated revenues from three films. Sports Pool was to be reimbursed for any amount drawn on the letters of credit when revenues from sales of the films came in. Although the letters of credit were drawn upon, Sports Pool did not receive any revenues from the films. It claims that the resulting loss was caused by Mr. Dangerfield's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Mr. Dangerfield argues that Sports Pool, in entering into the transaction, understood that it was a risky proposition, and says that any losses it suffered were not attributable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 He argues, further, that the cause of any loss was fraudulent behaviour on the part of third parties, and that nothing that he could reasonably have done would have protected Sports Pool from such fraud. Finally, he argues that Sports Pool did not suffer any loss; he says that the money that was advanced came not from Sports Pool, but from Timothy Duholke and Blair Murdoch, and that Sports Pool did not assume any liability in respect of the funds, either in respect of the letters of credit themselves or by way of debt to Mr. Duholke and Mr. Murdoch.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Blair Murdoch is a businessman who has been involved in the entertainment industry for about 25 years. Starting in the early 1980s, Mr. Murdoch acted as executive producer for a number of television series, mostly game shows. Typically, they were produced on limited budgets for relatively small local broadcasters. A notable exception was the 1987 revival of </w:t>
      </w:r>
      <w:r>
        <w:rPr>
          <w:rFonts w:ascii="arial" w:eastAsia="arial" w:hAnsi="arial" w:cs="arial"/>
          <w:i/>
          <w:color w:val="000000"/>
          <w:sz w:val="20"/>
          <w:lang w:val="en-US" w:eastAsia="en-US" w:bidi="ar-SA"/>
        </w:rPr>
        <w:t>Sea Hunt</w:t>
      </w:r>
      <w:r>
        <w:rPr>
          <w:rFonts w:ascii="arial" w:eastAsia="arial" w:hAnsi="arial" w:cs="arial"/>
          <w:color w:val="000000"/>
          <w:sz w:val="20"/>
          <w:lang w:val="en-US" w:eastAsia="en-US" w:bidi="ar-SA"/>
        </w:rPr>
        <w:t xml:space="preserve"> which Mr. Murdoch produced for MGM Television.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basic business model adopted by Mr. Murdoch for each of the series was similar - he developed or acquired a concept, and then agreed to produce a television series based on that concept for a broadcaster or studio for a fixed amount of money. The broadcaster or studio fronted money, and Mr. Murdoch profited by the difference between the sale price and the actual costs of production. The model was greatly assisted by the existence of tax incentives for investment in Canadian productions, and by the existence of numerous independent broadcasters, each with obligations to produce new shows.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From the beginning of Mr. Murdoch's involvement in television productions, Mr. Dangerfield did legal work for him. For the earliest series, Mr. Dangerfield assisted other lawyers, first as an articled student, and then as a junior solicitor. Soon Mr. Dangerfield became the principal solicitor on all of Mr. Murdoch's television projects. Mr. Murdoch had great confidence in him, and it is apparent that they worked together closely on numerous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Typically, Mr. Murdoch incorporated a new company for each series that was produced. An exception occurred, however, when one of his series -- "Million Dollar Ice Picks" (a televised interactive hockey pool) -- lost a considerable amount of money. The corporate entity responsible for that series was Sports Pool Distributors Inc. Since it suffered sizable losses, it was a useful vehicle for future investments; the losses could be used to offset future profits for tax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Film Financing Deal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Through the 1990s, the opportunities for Mr. Murdoch's style of television production declined. Tax incentives vanished, and the broadcast industry in Canada underwent a consolidation, leaving few independent broadcasters looking to invest in relatively low-budget, local productions. Mr. Murdoch was looking for new ventures, and was particularly interested in becoming involved in the film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One of Mr. Murdoch's acquaintances, Neal Clarance, was a chartered accountant with entertainment industry clients. In 2001, Mr. Murdoch let him know that he was interested in becoming involved in a film venture if an opportunity came along. One of Mr. Clarance's clients was North American Releasing Inc. ("North American"). It had a rather dubious reputation for its financial dealings, though the reputation appears to have been largely a product of the practices of one of the company's principals, who had departed by 2001. Its remaining principal, Lloyd Simandl, resided in the Czech Republic, and had a reputation for making films on time and on budget. He was attempting to produce a number of films and to bring the company back to financial viability.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late May or early June of 2001, North American suffered a setback when a guarantor, OnlineFilmSales.com, LLC pulled out of the financing of films that Mr. Simandl was producing. Mr. Simandl sought Mr. Clarance's assistance in finding a replacement guarantor. Mr. Clarance had some incentive to assist in finding a guarantor, as North American owed him a substantial amount of money. He approached Mr. Murdoch.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Murdoch was aware of the poor reputation of North American, but also knew Mr. Simandl, and considered him to be trustworthy. As Mr. Murdoch was interested in becoming involved in the movie industry, the idea of a film financing venture appealed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financing was for three bondage films being produced simultaneously by Mr. Simandl in the Czech Republic - </w:t>
      </w:r>
      <w:r>
        <w:rPr>
          <w:rFonts w:ascii="arial" w:eastAsia="arial" w:hAnsi="arial" w:cs="arial"/>
          <w:i/>
          <w:color w:val="000000"/>
          <w:sz w:val="20"/>
          <w:lang w:val="en-US" w:eastAsia="en-US" w:bidi="ar-SA"/>
        </w:rPr>
        <w:t>Omega Force</w:t>
      </w:r>
      <w:r>
        <w:rPr>
          <w:rFonts w:ascii="arial" w:eastAsia="arial" w:hAnsi="arial" w:cs="arial"/>
          <w:color w:val="000000"/>
          <w:sz w:val="20"/>
          <w:lang w:val="en-US" w:eastAsia="en-US" w:bidi="ar-SA"/>
        </w:rPr>
        <w:t xml:space="preserve"> (also known as </w:t>
      </w:r>
      <w:r>
        <w:rPr>
          <w:rFonts w:ascii="arial" w:eastAsia="arial" w:hAnsi="arial" w:cs="arial"/>
          <w:i/>
          <w:color w:val="000000"/>
          <w:sz w:val="20"/>
          <w:lang w:val="en-US" w:eastAsia="en-US" w:bidi="ar-SA"/>
        </w:rPr>
        <w:t>Bound Heat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Forgotten Kingdom</w:t>
      </w:r>
      <w:r>
        <w:rPr>
          <w:rFonts w:ascii="arial" w:eastAsia="arial" w:hAnsi="arial" w:cs="arial"/>
          <w:color w:val="000000"/>
          <w:sz w:val="20"/>
          <w:lang w:val="en-US" w:eastAsia="en-US" w:bidi="ar-SA"/>
        </w:rPr>
        <w:t xml:space="preserve"> (also known as </w:t>
      </w:r>
      <w:r>
        <w:rPr>
          <w:rFonts w:ascii="arial" w:eastAsia="arial" w:hAnsi="arial" w:cs="arial"/>
          <w:i/>
          <w:color w:val="000000"/>
          <w:sz w:val="20"/>
          <w:lang w:val="en-US" w:eastAsia="en-US" w:bidi="ar-SA"/>
        </w:rPr>
        <w:t>Against Her Will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Sacred Duty</w:t>
      </w:r>
      <w:r>
        <w:rPr>
          <w:rFonts w:ascii="arial" w:eastAsia="arial" w:hAnsi="arial" w:cs="arial"/>
          <w:color w:val="000000"/>
          <w:sz w:val="20"/>
          <w:lang w:val="en-US" w:eastAsia="en-US" w:bidi="ar-SA"/>
        </w:rPr>
        <w:t xml:space="preserve"> (also known as </w:t>
      </w:r>
      <w:r>
        <w:rPr>
          <w:rFonts w:ascii="arial" w:eastAsia="arial" w:hAnsi="arial" w:cs="arial"/>
          <w:i/>
          <w:color w:val="000000"/>
          <w:sz w:val="20"/>
          <w:lang w:val="en-US" w:eastAsia="en-US" w:bidi="ar-SA"/>
        </w:rPr>
        <w:t>Final Victim</w:t>
      </w:r>
      <w:r>
        <w:rPr>
          <w:rFonts w:ascii="arial" w:eastAsia="arial" w:hAnsi="arial" w:cs="arial"/>
          <w:color w:val="000000"/>
          <w:sz w:val="20"/>
          <w:lang w:val="en-US" w:eastAsia="en-US" w:bidi="ar-SA"/>
        </w:rPr>
        <w:t>). The National Bank of Canada was providing the primary financing for the films. One of its requirements was that sales of those films in particular markets be guaranteed. It was proposed that one of Mr. Murdoch's companies would act as a guarantor in place of OnlineFilmSales. The company would put up an irrevocable letter of credit in the amount of US$120,000 in respect of each of the films to guarantee certain sales in Japan, the Benelux countries, the United Kingdom and Republic of Ireland, and the Republic of South Africa. In return for the guarantees, Mr. Murdoch's company would be assigned the proceeds of the sales that it was guaranteeing, up to the total amount drawn on the letters of credit. It would, in addition, be entitled to a proportion of revenues from the films - 20% of the "producer's deferrals" and 20% of the worldwide profits.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his initial discussions with Mr. Clarance, Mr. Murdoch determined that pre-sales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orders for the films made prior to their completion) in the relevant markets were approximately equal to the amounts that he was to guarantee, and that the pre-sales contracts were with subdistributors with good track records, who were not likely to default.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deal appeared to Mr. Murdoch to be an inviting one - in return for guaranteeing pre-sales that did not appear risky, he would gain some experience in film finance, and also acquire a part interest in three films. Mr. Murdoch anticipated that revenues from pre-sales would come in before the letters of credit needed to be drawn on, so that he would not, in fact, have to put up any money at all. In the event that the letters were drawn on, he expected funds to be outstanding for only a short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While Mr. Murdoch, in his evidence, emphasized his desire for experience over his interest in making a profit, I am convinced that the profit motive was also important. Although there was little likelihood that any of the films would be particularly profitable, I find that there was an expectation on Mr. Murdoch's part that he would obtain a return on his investment by virtue of his entitlement to a portion of the "producer's deferrals". It was that anticipated return on investment that made the deal an attractive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Murdoch engaged Mr. Dangerfield to assist him on the matter, and the two had a telephone discussion with Mr. Clarance on June 7, 2001. The three discussed some of the potential pitfalls in the proposed deal, and ways to safeguard Mr. Murdoch's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two possibilities that concerned them most were the possibility that the films would not be completed and the possibility that the pre-sales that had been contracted for would not, ultimately, go ahead. They felt that the non-completion risk could be eliminated by providing that the letters of credit could not be drawn on until such time as the films were delivered for distribution. The risk of pre-sales not materializing could be minimized by taking a formal assignment of the existing pre-sale contracts, which had been entered into through the American Film and Music Association ("AMFA"). This was considered a viable method of taking security because the subdistributors appeared to be solid and because they needed to remain members of the AMFA in order to conduct their business. A failure on their part to abide by the pre-sales agreements could result in expulsion from AMFA.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Guarantee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June 8, 2001, Andrew Atkins, the solicitor for North American, provided Mr. Dangerfield with the first draft of the Guarantee Agreement for the proposed deal. The draft was a preliminary one in some respects - it did not, for example, name Sports Pool as the company that would enter into the agreement, and it did not contemplate separate letters of credit for each of the three films. The draft did, however, disclose the essential framework of the proposed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agreement was being negotiated under significant time pressures. Unless a guarantee could be put in place without delay, there was a real risk that the National Bank would withdraw its financing. In fact, the final contracts appear to have been executed only two weeks after the initial draft of the Guarantee Agreement (the final contracts documenting the agreement are dated June 20, 2001, though it appears that Mr. Murdoch may not have signed them on behalf of Sports Pool until June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There were a number of issues that were negotiated over the few days following June 8, 2001. I do not propose to discuss all of various contracts, or all of the matters that were negotiated. There were a number of features of the final agreement that are of significance:</w:t>
      </w:r>
      <w:r>
        <w:rPr>
          <w:rFonts w:ascii="arial" w:eastAsia="arial" w:hAnsi="arial" w:cs="arial"/>
          <w:sz w:val="20"/>
          <w:lang w:val="en-US" w:eastAsia="en-US" w:bidi="ar-SA"/>
        </w:rPr>
        <w:cr/>
      </w:r>
    </w:p>
    <w:p>
      <w:pPr>
        <w:numPr>
          <w:numId w:val="1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North American and 598721 BC Ltd. (a related corporation) declared that 598721 was the "producer" of the films and owned and controlled all rights to distribute and exploit the films worldwide (except in Canada). The companies further declared that North American was the "Distributor" of the films, and that it had entered into subdistribution agreements only as an agent for 598721;</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National Bank could not draw on the letter of credit put up for a particular film until the film was ready for distribution, but could do so as soon as the film was ready for distribution;</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Sports Pool received an assignment of the pre-sales contracts up to the amount drawn on the letters of credit, but no Notices of Assignment or Directions to Pay were issued prior to the closing of the deal. Instead, North American agreed to issue and deliver such documents promptly after the closing, and to use its best efforts to obtain signed copies of them from the subdistributors.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Failure of North American to Direct Revenues to Sports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Following the execution of the contracts and the provision of the letters of credit in late June 2001, it appears that Mr. Dangerfield dropped out of the picture for several months. As I understand the evidence, Mr. Murdoch retained Mr. Dangerfield primarily to negotiate and draft the contracts, and both men considered that his role was complete when the contracts were in place and the letters of credit had been furnished.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Dangerfield did not provide any reporting letter to Sports Pool or to Mr. Murdoch once the contracts were in place. In particular, he did not, at any time, specifically draw to Mr. Murdoch's attention the need to take steps to ensure that Notices of Assignment and Directions to Pay were furnished to the subdistributors.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fact, North American, in violation of the Guarantee Agreement, failed to issue or deliver those documents. In the result, the subdistributors made their payments to North American, and North American appropriated the funds to its own use. While the National Bank drew on the three Letters of Credit to an aggregate amount of US$356,228.96, Sports Pool received no reimbursement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Attempts were made by Mr. Murdoch and by Mr. Dangerfield to remedy the situation once they realized that the assignments had not been delivered to the subdistributors, but it appears that their efforts came too late in the day. Virtually all of the revenues had already been paid to North American, and nothing of value remained available for attachment. Sports Pool did not receive any of the revenues from the films.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Allegations of Solicitors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Sports Pool alleges that Mr. Dangerfield was negligent in several respects in the course of advising and acting for it. In particular, it alleges that he failed to:</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verify that the distribution rights in the films belonged to 598721, as opposed to North American, or, alternatively, obtain priority agreements from other ranking creditors;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undertake necessary filings under the </w:t>
      </w:r>
      <w:r>
        <w:rPr>
          <w:rFonts w:ascii="arial" w:eastAsia="arial" w:hAnsi="arial" w:cs="arial"/>
          <w:b/>
          <w:i/>
          <w:color w:val="000000"/>
          <w:sz w:val="20"/>
          <w:lang w:val="en-US" w:eastAsia="en-US" w:bidi="ar-SA"/>
        </w:rPr>
        <w:t>Personal Property Security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359</w:t>
      </w:r>
      <w:r>
        <w:rPr>
          <w:rFonts w:ascii="arial" w:eastAsia="arial" w:hAnsi="arial" w:cs="arial"/>
          <w:color w:val="000000"/>
          <w:sz w:val="20"/>
          <w:lang w:val="en-US" w:eastAsia="en-US" w:bidi="ar-SA"/>
        </w:rPr>
        <w:t xml:space="preserve"> to protect Sports Pool's position;</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that the subdistributors were notified of the assignments and were directed to make payments directly to Sports Pool;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advise Mr. Murdoch of significant changes to the agreement, and to seek instructions with respect to those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Ownership of Distribution Rights and the Taking of Priority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Sports Pool argues that Mr. Dangerfield failed to take steps to ensure that Sports Pool had first priority in respect of the revenues from the films.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says he failed to verify that 598721 was, indeed, entitled to assign the subdistribution contracts to Sports Pool. The subdistribution contracts were between North American and the subdistributors. North American and 598721 took the position that North American entered into the agreements as an agent for 598721, and the Guarantee Agreement contained a declaration to that effect. The truth of this representation was important to Sports Pool, because North American's assets were heavily encumbered. If the subdistribution contracts belonged to North American rather than 598721, there was a real possibility that creditors other than Sports Pool (and other than the National Bank) might claim priority over Sports Pool, on the basis of their prior filing of financing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these circumstances Sports Pool argues that Mr. Dangerfield ought to have taken steps to obtain some independent verification that 598721 BC Ltd. did, in fact, own the distribution rights to the films. It does not appear that he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Alternatively, Sports Pool argues that it was incumbent on Mr. Dangerfield to seek priority agreements from those creditors who had filed financing statements under the </w:t>
      </w:r>
      <w:r>
        <w:rPr>
          <w:rFonts w:ascii="arial" w:eastAsia="arial" w:hAnsi="arial" w:cs="arial"/>
          <w:b/>
          <w:i/>
          <w:color w:val="000000"/>
          <w:sz w:val="20"/>
          <w:lang w:val="en-US" w:eastAsia="en-US" w:bidi="ar-SA"/>
        </w:rPr>
        <w:t>Personal Property Security Act</w:t>
      </w:r>
      <w:r>
        <w:rPr>
          <w:rFonts w:ascii="arial" w:eastAsia="arial" w:hAnsi="arial" w:cs="arial"/>
          <w:color w:val="000000"/>
          <w:sz w:val="20"/>
          <w:lang w:val="en-US" w:eastAsia="en-US" w:bidi="ar-SA"/>
        </w:rPr>
        <w:t xml:space="preserve"> against the assets of North American, so as to ensure that the interests that Sports Pool acquired were not subverted. While he had an associate perform searches of the registry to determine what charges existed over the property of North American, Mr. Dangerfield does not appear to have taken any steps to deal with those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trial, Mr. Dangerfield attempted to avoid the suggestion that his practice fell short of the standard of care expected of the reasonably competent solicitor by explaining that Mr. Murdoch had negotiated the deal, and was himself satisfied that 598721 had the rights that it was assigning. He said, further, that any attempt to obtain priority agreements in respect of North American would necessarily have been futile.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find it unnecessary to evaluate the respective arguments of the parties on these points. The issue of whether the subdistribution contracts were the property of North American rather than 598721 played no role in any losses that were suffered. This is not a case where another creditor asserted priority over the interests of Sports Pool, nor is it a case in which Sports Pool lost funds by taking assignments from 598721 BC Ltd. of property that did not belong to it. Rather, this is a case in which North American was paid funds that should have gone to Sports Pool, and then used those funds for its own purposes. Because North American is insolvent, Sports Pool has no ability to recover funds from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loss, in other words, may be traced to the unlawful conduct of North American. Since it is highly improbable that that unlawful conduct would have been prevented by greater care on the part of Mr. Dangerfield in ascertaining which party owned the distribution rights, or in obtaining priority agreements, the plaintiff cannot succeed on this argument: </w:t>
      </w:r>
      <w:r>
        <w:rPr>
          <w:rFonts w:ascii="arial" w:eastAsia="arial" w:hAnsi="arial" w:cs="arial"/>
          <w:b/>
          <w:i/>
          <w:color w:val="000000"/>
          <w:sz w:val="20"/>
          <w:lang w:val="en-US" w:eastAsia="en-US" w:bidi="ar-SA"/>
        </w:rPr>
        <w:t>B.S.A. Investors Ltd. v. D.S.B.</w:t>
      </w:r>
      <w:r>
        <w:rPr>
          <w:rFonts w:ascii="arial" w:eastAsia="arial" w:hAnsi="arial" w:cs="arial"/>
          <w:color w:val="000000"/>
          <w:sz w:val="20"/>
          <w:lang w:val="en-US" w:eastAsia="en-US" w:bidi="ar-SA"/>
        </w:rPr>
        <w:t xml:space="preserve">, </w:t>
      </w:r>
      <w:hyperlink r:id="rId778" w:history="1">
        <w:r>
          <w:rPr>
            <w:rFonts w:ascii="arial" w:eastAsia="arial" w:hAnsi="arial" w:cs="arial"/>
            <w:i/>
            <w:color w:val="0077CC"/>
            <w:sz w:val="20"/>
            <w:u w:val="single"/>
            <w:shd w:val="clear" w:color="auto" w:fill="FFFFFF"/>
            <w:lang w:val="en-US" w:eastAsia="en-US" w:bidi="ar-SA"/>
          </w:rPr>
          <w:t>2007 BCCA 94</w:t>
        </w:r>
      </w:hyperlink>
      <w:r>
        <w:rPr>
          <w:rFonts w:ascii="arial" w:eastAsia="arial" w:hAnsi="arial" w:cs="arial"/>
          <w:color w:val="000000"/>
          <w:sz w:val="20"/>
          <w:lang w:val="en-US" w:eastAsia="en-US" w:bidi="ar-SA"/>
        </w:rPr>
        <w:t xml:space="preserve">, </w:t>
      </w:r>
      <w:hyperlink r:id="rId778" w:history="1">
        <w:r>
          <w:rPr>
            <w:rFonts w:ascii="arial" w:eastAsia="arial" w:hAnsi="arial" w:cs="arial"/>
            <w:i/>
            <w:color w:val="0077CC"/>
            <w:sz w:val="20"/>
            <w:u w:val="single"/>
            <w:shd w:val="clear" w:color="auto" w:fill="FFFFFF"/>
            <w:lang w:val="en-US" w:eastAsia="en-US" w:bidi="ar-SA"/>
          </w:rPr>
          <w:t>283 D.L.R. (4th) 220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Failure to Register a Financing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argument that Mr. Dangerfield ought to have registered a Financing Statement under the </w:t>
      </w:r>
      <w:r>
        <w:rPr>
          <w:rFonts w:ascii="arial" w:eastAsia="arial" w:hAnsi="arial" w:cs="arial"/>
          <w:b/>
          <w:i/>
          <w:color w:val="000000"/>
          <w:sz w:val="20"/>
          <w:lang w:val="en-US" w:eastAsia="en-US" w:bidi="ar-SA"/>
        </w:rPr>
        <w:t>Personal Property Security Act</w:t>
      </w:r>
      <w:r>
        <w:rPr>
          <w:rFonts w:ascii="arial" w:eastAsia="arial" w:hAnsi="arial" w:cs="arial"/>
          <w:color w:val="000000"/>
          <w:sz w:val="20"/>
          <w:lang w:val="en-US" w:eastAsia="en-US" w:bidi="ar-SA"/>
        </w:rPr>
        <w:t xml:space="preserve"> with respect to its interest fails for similar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It is apparent from the evidence of Mr. Dangerfield that he did not fully appreciate that the security interests acquired by Sports Pool under the Guarantee Agreement were registrable under the </w:t>
      </w:r>
      <w:r>
        <w:rPr>
          <w:rFonts w:ascii="arial" w:eastAsia="arial" w:hAnsi="arial" w:cs="arial"/>
          <w:b/>
          <w:i/>
          <w:color w:val="000000"/>
          <w:sz w:val="20"/>
          <w:lang w:val="en-US" w:eastAsia="en-US" w:bidi="ar-SA"/>
        </w:rPr>
        <w:t>Personal Property Security Act</w:t>
      </w:r>
      <w:r>
        <w:rPr>
          <w:rFonts w:ascii="arial" w:eastAsia="arial" w:hAnsi="arial" w:cs="arial"/>
          <w:color w:val="000000"/>
          <w:sz w:val="20"/>
          <w:lang w:val="en-US" w:eastAsia="en-US" w:bidi="ar-SA"/>
        </w:rPr>
        <w:t>. Nonetheless, Mr. Dangerfield argues that the failure to register the security interest was not negligent, because the only secured creditor of 598721 was the National Bank, which would have been estopped from claiming priority with respect to the assigned film revenues.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real issue, of course, is not whether the National Bank was paid from the film revenues (if such revenues could be traced into the bank's hands, Sports Pool would, at least arguably, have a right to recover them), but rather whether other creditors of 598721 took priority as a result of the failure to register Sports Pool's interests. The evidence does not suggest that any such priority was taken. The failure to register Sports Pool's interest in the subdistribution contracts, therefore, was not causative of any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Contractual Clause Dealing with Notices of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second set of allegations against Mr. Dangerfield result from his acts and omissions in respect of Notices of Assignment and Directions to Pay. Under the Guarantee Agreement, these documents were to be issued and delivered to the subdistributors by North American promptly after execution of the agreement. That did not occur. Sports Pool alleges that Mr. Dangerfield was negligent in:</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negotiating a contract that entrusted North American to take steps that were for the sole benefit of Sports Pool;</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advise Sports Pool of the risks involved in such a contract;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advise Sports Pool of the need to provide notice to the subdistributors;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alert Sports Pool to the fact that the subdistributors had not been notified of the assignments.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order to assess the evidence relating to these claims, some review of the drafting of the specific clause in the contract is necessary. In the initial draft of the contract, the issue or the assignments was dealt with only briefly, in clause 7:</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ASSIGNMENT OF CONTRACTS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 The Distributor and Producer hereby assigns to the Guarantor all their interest in and to the Contracts attached hereto as Schedule "A" as security for the repayment of the Guarantee. [Schedule "A" contained the subdistribution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June 12, 2001, Mr. Dangerfield had a discussion with Mr. Atkins that covered six issues. One of those issues was the provision of notice to the subdistributors of the assignments. Given the limited amount of time available to finalize the deal, Mr. Atkins suggested that the Notices of Assignment and Directions to Pay be provided to the subdistributors by North American Releasing after the parties executed the agreements. He proposed a clause requiring North American to exercise its best efforts to obtain signed copies from the subdistributors acknowledging receipt of the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Dangerfield's notes of his conversation with Mr. Atkins are brief; they list the six points that were discussed. The one dealing with the Notices of Assignment reads, simply:</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problem getting notices signed by licensees</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will use best efforts and will send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This note appears to me to concentrate on the issue of obtaining acknowledgement of the Notices of Assignment from the subdistributors. It does not specifically deal with the question of how or when the Notices of Assignment would be provided to the subdistributors, which is a somewhat different, though related,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Dangerfield's time sheets indicate that he had a telephone conversation with Mr. Murdoch after his conversation with Mr. Atkins. He believes that a series of red check marks on his notes must mean that he discussed each of the six points with Mr. Murdoch. The only other writing in red on the notes consists of the words "try to tighten up" following the point about using best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What, exactly, Mr. Dangerfield told Mr. Murdoch is uncertain. Neither has any real recollection of the conversation. Mr. Dangerfield says that he believes that he must have discussed with Mr. Murdoch the dangers of the "best efforts" clause, and obtained Mr. Murdoch's instructions to proceed, but to "try to tighten it up" if he could. For his part, Mr. Murdoch says that he would not have proceeded with the deal had he known of the "best efforts" clause, which he says he would have concluded was meaningless.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have carefully reviewed the evidence of both Mr. Murdoch and Mr. Dangerfield on this matter, and am unable to accept either of their assertions. Both, it seems to me, are simply speculating on what might have occurred in their conversation. They have placed an undeserved emphasis on the requirement that North American Releasing use its "best efforts" to obtain a signed acknowledgement of Notices to Assign and Directions to Pay. The "best efforts" clause appears to have become, in their minds, central to this litigation, and, in the result, both Mr. Dangerfield and Mr. Murdoch have developed strong convictions as to what must have occurred when it was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With all due respect to them, and to their counsel, I do not understand why the "best efforts" clause would have been seen as particularly important to the parties at the time it was drafted. Indeed, I am not convinced that anything other than a "best efforts" clause could reasonably have been inserted into the contract. North American was not in a position to provide Notices of Assignment and Directions to Pay to the subdistributors until such time as Sports Pool entered into the Guarantee Agreement. While Sports Pool might have wanted to make the National Bank's rights to draw on the letters of credit conditional upon receiving signed acknowledgements from the subdistributors, it was not conceivable that the National Bank would agree to such a limitation. The bank was demanding an unconditional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Since the subdistributors had no legal obligation to sign the Notices of Assignment and Directions to Pay, the best that North American could promise was to make "best efforts" to obtain signed documents from them once they had received notice of the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While a cautious guarantor might have refused to enter into the deal without some guarantee that signed acknowledgements from the subdistributors would be forthcoming, such signed acknowledgements were not required in order to make the assignments binding on the subdistributors. As long as the subdistributors had notice of the assignments, they would be required, in law, to make their payments to Sports Pool rather than North American Releasing.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find it probable that the discussion between Mr. Dangerfield and Mr. Murdoch surrounding the "best efforts" clause was perfunctory. Given that the entire conversation between Mr. Dangerfield and Mr. Murdoch was a brief one (Mr. Dangerfield's time sheet shows it as a "0.2" hour conversation, which I take to mean that it lasted between 6 and 12 minutes), it is unlikely that this issue took up more than a few seconds. There was no reason that it should have been more detailed. The "best efforts" clause was simply not that critical to the deal.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There was, on the other hand, great importance in ensuring that the subdistributors were given timely notice of the assignment of rights, and that they were given directions to pay Sports Pool rather than North American. That issue is not directly mentioned in Mr. Dangerfield's notes, and there is no evidence (other than Mr. Dangerfield's speculation) that it was discussed with Mr. Murdoch.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evolution of the contract suggests that the issue of notice to the subdistributors was not one of the matters over which there were negotiations. It appears that Mr. Atkins provided Mr. Dangerfield with a second draft of the Guarantee Agreement sometime on June 12, 2001. While I do not have a copy of that draft in evidence, blacklining on a subsequent draft suggests that the June 12, 2001 draft added the following clause after clause 7.1: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7.2 In addition, the Distributor agrees to draft and issue for execution Notices of Assignment and Directions to Pay and to use best efforts after the closing to have the parties to the Contracts execute and return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What is important about this clause is not the "best efforts" portion of it, but rather the portion placing the obligation on North American to draft and issue the Notices of Assignment and Directions to Pay without providing Sports Pool with any opportunity to approve the contents of those documents, and without giving Sports Pool any clear method of verifying that the Notices and Directions were, in fact, delivered to the subdistributors.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Dangerfield responded to the June 12, 2001 draft with a draft of his own on June 19, 2001. Although he added some language that might be said to "tighten up" the clause, nothing in his revision resolved the major difficulty with it - North American was expected to draft and issue Notices of Assignment and Directions to Pay, and Sports Pool was not given any clear method of verifying North American's compliance with the requirement. The language of the June 19, 2001 draft was as follows:</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ASSIGNMENT OF CONTRACTS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 The Distributor and the Producer each represent and warrant to the Guarantor that the Distributor entered into the Assigned Contracts on behalf of and as agent for the Producer.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7.2 As security for the repayment of the Guarantee, the Distributor and Producer each hereby assigns to the Guarantor all their respective right, title and interest in and to the Assigned Contracts, including without limitation, the right to receive and retain for the Guarantor's own account all amounts payable pursuant to the Assigned Contracts until such time as the Guarantor has received in the aggregate Three Hundred Sixty Thousand U.S. Dollars ($360,000USD).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7.3 In addition, promptly following execution of this Guarantee Agreement, the Distributor agrees to draft and issue for execution Notices of Assignment and Directions to Pay and to use best efforts after thereafter [sic] to have all of the parties to all of the Assigned Contracts execute and return same to the Guarantor.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It is apparent that this draft was sent out without extensive discussion with Mr. Murdoch, as the covering email states "I am forwarding a copy to Blair simultaneously and must therefore reserve his right to make further comments and amendments." Further, although Mr. Dangerfield did have some conversations with Mr. Murdoch between June 12 and June 19, 2001, it does not appear that any focussed on this clause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Murdoch received a blacklined version of the contract on June 19, but the changes that were emphasized were only the changes that occurred between Mr. Atkins draft of June 12, 2001 and Mr. Dangerfield's June 19, 2001 draft. Nothing in the June 19, 2001 draft would have driven home to Mr. Murdoch the dangers of leaving the giving of notice of the assignment of contracts solely in the hands of North American Releasing without any clear method of verification by Sports Pool. I conclude that that issue was never discussed between Mr. Dangerfield and Mr. Murdoch.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final version of the Guarantee Agreement contained the same wording in the "Assignment of Contracts" section as was used in Mr. Dangerfield's June 19, 2001 draft, except that in clause 7.3 the words "after thereafter", were corrected to read "after closing".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Was the Treatment of Notices of Assignment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To summarize my findings of fact on this issue, then, I find that Mr. Dangerfield negotiated the terms respecting the Notices of Assignment and Directions to Pay with Mr. Atkins. While he might have discussed the "best efforts" clause with Mr. Murdoch, at least in a perfunctory way, I find it improbable that he discussed the more general issue of relying on North American to issue and deliver the documents, or the need to take steps to verify that those steps were accomplished. Mr. Murdoch relied on Mr. Dangerfield to negotiate the language and substance of that area of the contract, trusting that he would protect Sports Pool's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question in this case is whether Mr. Dangerfield met the standard of "the reasonably competent solicitor" in negotiating the clause in question, and in his advice to Mr. Murdoch.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Mr. Dangerfield argues that in drafting and advising Mr. Murdoch on this clause, he was merely embodying in a contract an agreement already negotiated by Mr. Murdoch. He had no duty to advise Mr. Murdoch on the wisdom of his own business decisions in entering into such an agreement: </w:t>
      </w:r>
      <w:r>
        <w:rPr>
          <w:rFonts w:ascii="arial" w:eastAsia="arial" w:hAnsi="arial" w:cs="arial"/>
          <w:b/>
          <w:i/>
          <w:color w:val="000000"/>
          <w:sz w:val="20"/>
          <w:lang w:val="en-US" w:eastAsia="en-US" w:bidi="ar-SA"/>
        </w:rPr>
        <w:t>Midland Mortgage Corporation v. Jawl and Bundon</w:t>
      </w:r>
      <w:r>
        <w:rPr>
          <w:rFonts w:ascii="arial" w:eastAsia="arial" w:hAnsi="arial" w:cs="arial"/>
          <w:color w:val="000000"/>
          <w:sz w:val="20"/>
          <w:lang w:val="en-US" w:eastAsia="en-US" w:bidi="ar-SA"/>
        </w:rPr>
        <w:t xml:space="preserve">, </w:t>
      </w:r>
      <w:hyperlink r:id="rId976" w:history="1">
        <w:r>
          <w:rPr>
            <w:rFonts w:ascii="arial" w:eastAsia="arial" w:hAnsi="arial" w:cs="arial"/>
            <w:i/>
            <w:color w:val="0077CC"/>
            <w:sz w:val="20"/>
            <w:u w:val="single"/>
            <w:shd w:val="clear" w:color="auto" w:fill="FFFFFF"/>
            <w:lang w:val="en-US" w:eastAsia="en-US" w:bidi="ar-SA"/>
          </w:rPr>
          <w:t>1999 BCCA 183</w:t>
        </w:r>
      </w:hyperlink>
      <w:r>
        <w:rPr>
          <w:rFonts w:ascii="arial" w:eastAsia="arial" w:hAnsi="arial" w:cs="arial"/>
          <w:color w:val="000000"/>
          <w:sz w:val="20"/>
          <w:lang w:val="en-US" w:eastAsia="en-US" w:bidi="ar-SA"/>
        </w:rPr>
        <w:t xml:space="preserve">, </w:t>
      </w:r>
      <w:hyperlink r:id="rId976" w:history="1">
        <w:r>
          <w:rPr>
            <w:rFonts w:ascii="arial" w:eastAsia="arial" w:hAnsi="arial" w:cs="arial"/>
            <w:i/>
            <w:color w:val="0077CC"/>
            <w:sz w:val="20"/>
            <w:u w:val="single"/>
            <w:shd w:val="clear" w:color="auto" w:fill="FFFFFF"/>
            <w:lang w:val="en-US" w:eastAsia="en-US" w:bidi="ar-SA"/>
          </w:rPr>
          <w:t>62 B.C.L.R. (3d) 239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With all due respect to that position, it does not seem to me that Mr. Dangerfield's characterization of his work on this matter is an apt one. Mr. Murdoch negotiated a deal involving an assignment of certain subdistribution contracts as security. He did not, however, negotiate the manner in which notice of the assignment was to be given to the subdistributors. That was a matter that was left in Mr. Dangerfield's hands; it was a matter for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the face of it, there were a number of steps that Mr. Dangerfield could have taken to ensure that notice of the assignments was served on the subdistributors. He could have ensured that signed Notices of Assignments and Directions to pay were obtained from North American at closing, so that Sports Pool itself could have delivered them to the subdistributors. Alternatively, he could have set up a mechanism under which Sports Pool had the ability to monitor North American's compliance with its obligations to deliver the documents. At the very least, he could have reported to Mr. Murdoch, in June of 2001, that North American's obligation to deliver the assignments to the subdistributors was outstanding, and that steps might need to be taken to ensure that the obligation was fulfilled.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Of course, in order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Sports Pool must do more than show that particular courses of conduct by Mr. Dangerfield </w:t>
      </w:r>
      <w:r>
        <w:rPr>
          <w:rFonts w:ascii="arial" w:eastAsia="arial" w:hAnsi="arial" w:cs="arial"/>
          <w:i/>
          <w:color w:val="000000"/>
          <w:sz w:val="20"/>
          <w:lang w:val="en-US" w:eastAsia="en-US" w:bidi="ar-SA"/>
        </w:rPr>
        <w:t>could have</w:t>
      </w:r>
      <w:r>
        <w:rPr>
          <w:rFonts w:ascii="arial" w:eastAsia="arial" w:hAnsi="arial" w:cs="arial"/>
          <w:color w:val="000000"/>
          <w:sz w:val="20"/>
          <w:lang w:val="en-US" w:eastAsia="en-US" w:bidi="ar-SA"/>
        </w:rPr>
        <w:t xml:space="preserve"> been taken. It must show that the failure of Mr. Dangerfield to adopt such courses of conduct was a failure to meet the standard of the reasonably competent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Olorenshaw</w:t>
      </w:r>
      <w:r>
        <w:rPr>
          <w:rFonts w:ascii="arial" w:eastAsia="arial" w:hAnsi="arial" w:cs="arial"/>
          <w:b/>
          <w:color w:val="000000"/>
          <w:sz w:val="20"/>
          <w:lang w:val="en-US" w:eastAsia="en-US" w:bidi="ar-SA"/>
        </w:rPr>
        <w:t xml:space="preserve"> v. </w:t>
      </w:r>
      <w:r>
        <w:rPr>
          <w:rFonts w:ascii="arial" w:eastAsia="arial" w:hAnsi="arial" w:cs="arial"/>
          <w:b/>
          <w:i/>
          <w:color w:val="000000"/>
          <w:sz w:val="20"/>
          <w:lang w:val="en-US" w:eastAsia="en-US" w:bidi="ar-SA"/>
        </w:rPr>
        <w:t>International Chem-Pro Industries Inc.</w:t>
      </w:r>
      <w:r>
        <w:rPr>
          <w:rFonts w:ascii="arial" w:eastAsia="arial" w:hAnsi="arial" w:cs="arial"/>
          <w:color w:val="000000"/>
          <w:sz w:val="20"/>
          <w:lang w:val="en-US" w:eastAsia="en-US" w:bidi="ar-SA"/>
        </w:rPr>
        <w:t xml:space="preserve">, </w:t>
      </w:r>
      <w:hyperlink r:id="rId977" w:history="1">
        <w:r>
          <w:rPr>
            <w:rFonts w:ascii="arial" w:eastAsia="arial" w:hAnsi="arial" w:cs="arial"/>
            <w:i/>
            <w:color w:val="0077CC"/>
            <w:sz w:val="20"/>
            <w:u w:val="single"/>
            <w:shd w:val="clear" w:color="auto" w:fill="FFFFFF"/>
            <w:lang w:val="en-US" w:eastAsia="en-US" w:bidi="ar-SA"/>
          </w:rPr>
          <w:t>[1989] B.C.J. No. 1227</w:t>
        </w:r>
      </w:hyperlink>
      <w:r>
        <w:rPr>
          <w:rFonts w:ascii="arial" w:eastAsia="arial" w:hAnsi="arial" w:cs="arial"/>
          <w:color w:val="000000"/>
          <w:sz w:val="20"/>
          <w:lang w:val="en-US" w:eastAsia="en-US" w:bidi="ar-SA"/>
        </w:rPr>
        <w:t xml:space="preserve"> Lander J. identified several factors should be considered in deciding whether a solicitor has met the required standard of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scope of these duties, reflecting the standard of care, will be determined by reviewing expert evidence of the prevailing practice, circumstances of the case and judicial precedent. Important facts, although not determinative, include the nature of the parties and their relationship, and the nature of the solicitor-client agreement.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It is apparent that expert evidence on prevailing professional standards is of great importance in a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The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xml:space="preserve"> remarks of Southin J.A. concurring in </w:t>
      </w:r>
      <w:r>
        <w:rPr>
          <w:rFonts w:ascii="arial" w:eastAsia="arial" w:hAnsi="arial" w:cs="arial"/>
          <w:b/>
          <w:i/>
          <w:color w:val="000000"/>
          <w:sz w:val="20"/>
          <w:lang w:val="en-US" w:eastAsia="en-US" w:bidi="ar-SA"/>
        </w:rPr>
        <w:t>Zink v. Adrian</w:t>
      </w:r>
      <w:r>
        <w:rPr>
          <w:rFonts w:ascii="arial" w:eastAsia="arial" w:hAnsi="arial" w:cs="arial"/>
          <w:color w:val="000000"/>
          <w:sz w:val="20"/>
          <w:lang w:val="en-US" w:eastAsia="en-US" w:bidi="ar-SA"/>
        </w:rPr>
        <w:t xml:space="preserve">, </w:t>
      </w:r>
      <w:hyperlink r:id="rId978" w:history="1">
        <w:r>
          <w:rPr>
            <w:rFonts w:ascii="arial" w:eastAsia="arial" w:hAnsi="arial" w:cs="arial"/>
            <w:i/>
            <w:color w:val="0077CC"/>
            <w:sz w:val="20"/>
            <w:u w:val="single"/>
            <w:shd w:val="clear" w:color="auto" w:fill="FFFFFF"/>
            <w:lang w:val="en-US" w:eastAsia="en-US" w:bidi="ar-SA"/>
          </w:rPr>
          <w:t>2005 BCCA 93</w:t>
        </w:r>
      </w:hyperlink>
      <w:r>
        <w:rPr>
          <w:rFonts w:ascii="arial" w:eastAsia="arial" w:hAnsi="arial" w:cs="arial"/>
          <w:color w:val="000000"/>
          <w:sz w:val="20"/>
          <w:lang w:val="en-US" w:eastAsia="en-US" w:bidi="ar-SA"/>
        </w:rPr>
        <w:t xml:space="preserve">, </w:t>
      </w:r>
      <w:hyperlink r:id="rId978" w:history="1">
        <w:r>
          <w:rPr>
            <w:rFonts w:ascii="arial" w:eastAsia="arial" w:hAnsi="arial" w:cs="arial"/>
            <w:i/>
            <w:color w:val="0077CC"/>
            <w:sz w:val="20"/>
            <w:u w:val="single"/>
            <w:shd w:val="clear" w:color="auto" w:fill="FFFFFF"/>
            <w:lang w:val="en-US" w:eastAsia="en-US" w:bidi="ar-SA"/>
          </w:rPr>
          <w:t>37 B.C.L.R. (4th) 389</w:t>
        </w:r>
      </w:hyperlink>
      <w:r>
        <w:rPr>
          <w:rFonts w:ascii="arial" w:eastAsia="arial" w:hAnsi="arial" w:cs="arial"/>
          <w:color w:val="000000"/>
          <w:sz w:val="20"/>
          <w:lang w:val="en-US" w:eastAsia="en-US" w:bidi="ar-SA"/>
        </w:rPr>
        <w:t xml:space="preserve"> at paragraphs 43-44 are indicative of the importance of expert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does seem to me that in cases of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a solicitor, judges can only rarely make such a finding in the absence of expert evidence as to the standard of a competent solicitor conducting the business in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judge can only properly do so, in my opinion, if the matter is one of "non-technical matters or those of which an ordinary person may be expected to have knowledge." See </w:t>
      </w:r>
      <w:r>
        <w:rPr>
          <w:rFonts w:ascii="arial" w:eastAsia="arial" w:hAnsi="arial" w:cs="arial"/>
          <w:b/>
          <w:i/>
          <w:color w:val="000000"/>
          <w:sz w:val="20"/>
          <w:lang w:val="en-US" w:eastAsia="en-US" w:bidi="ar-SA"/>
        </w:rPr>
        <w:t>Anderson v. Chasney</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[1949] 2 W.W.R. 337</w:t>
        </w:r>
      </w:hyperlink>
      <w:r>
        <w:rPr>
          <w:rFonts w:ascii="arial" w:eastAsia="arial" w:hAnsi="arial" w:cs="arial"/>
          <w:color w:val="000000"/>
          <w:sz w:val="20"/>
          <w:lang w:val="en-US" w:eastAsia="en-US" w:bidi="ar-SA"/>
        </w:rPr>
        <w:t xml:space="preserve"> at 341 (Man. C.A.). There is an underlying reason - the expert witness can be cross-examined with a view to showing he knows not whereof he speaks. But the parties have no means of discrediting a judge's implicit assertion that he knows the proper way to conduct a certain kind of legal business. One must not overlook that the reason some judges are judges is that whilst they were practising the profession they were of a standard far above that of the ordinary reasonably competent member of the profession.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Sports Pool produced one expert witness in this case, Mr. Alexander Petrenko, who was qualified as an expert in general solicitor's practice, including the taking and giving of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defendants objected to the admissibility of Mr. Petrenko's report, and argue that it should be given no weight because he is not experienced in legal practice with respect to the entertainment industry. I do not agree with that contention. There is no evidence to suggest that special standards or practices with respect to assignments of contracts apply in the entertainment industry. In the absence of such evidence, I accept that the standards referred to by Mr. Petrenko apply to entertainment contracts in the same way that they apply to other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his report, Mr. Petrenko gives the following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Distributor and the Producer should have executed notices of assignment and directions to pay at the same time they executed the Guarantee. Prior to Sports Pool releasing the Letters of Credit, counsel for Sports Pool should have confirmed that each notice of assignment was acknowledged by all parties liable under the Assigned Contracts.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solicitor should ensure that both the Notice of Assignment and Direction to Pay are provided at closing and that executed copies of all such documents are acknowledged in writing by the obligants under the Assigned Contracts. If the parties agreed to accept the risk of not having the Notice of Assignment and Direction to Pay acknowledged by the obligants, counsel for Sports Pool should have still obtained an executed Notice of Assignment and Direction to Pay addressed to each obligant to be delivered to the obligants as needed (i.e. following default in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While, for reasons I have discussed, I do not think it was practical to obtain the acknowledgement of the obligants on the Notices of Assignment and Directions to Pay at the time of closing, there is no reason why such documents, signed by the assignors, should not have been made available to Sports Pool at that time. Indeed, in his evidence, Mr. Dangerfield acknowledged that there was no reason not to have the Notices of Assignment drafted and signed by North American and 598721 BC Ltd. at the time of closing. I accept Mr. Petrenko's evidence that this should have been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Apart from the expert opinion, it appears to me that established case law suggests that Mr. Dangerfield ought to have ensured that the subdistributors were given notice of the assignments, or, at least, that Sports Pool was aware of the risks inherent in not giving such notice. Indeed, the issues in this case are in many respects similar to those that arose in </w:t>
      </w:r>
      <w:r>
        <w:rPr>
          <w:rFonts w:ascii="arial" w:eastAsia="arial" w:hAnsi="arial" w:cs="arial"/>
          <w:b/>
          <w:i/>
          <w:color w:val="000000"/>
          <w:sz w:val="20"/>
          <w:lang w:val="en-US" w:eastAsia="en-US" w:bidi="ar-SA"/>
        </w:rPr>
        <w:t>Zink v. Adrian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conclude, therefore, that in the absence of anything unusual in the solicitor-client relationship in this case, it was incumbent on Mr. Dangerfield, in order to meet the standard of care of "the reasonably competent solicitor" to structure the deal in such a manner as to ensure that Sports Pool was in a position to provide the subdistributors with notice of the assignment of their contracts in the event that North American failed to do so. Further, he ought to have ensured that Sports Pool was aware of the importance of providing the subdistributors with notice, and should have specifically advised it that notice had not been given prior to the provision of the letters of credit.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Did the Nature of the Relationship Negative the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Dangerfield suggests that in the context of this particular solicitor-client relationship, the sophistication of the client made it unnecessary for him to draw to the client's attention the need to give the subdistributors notice of the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Sports Pool was in all respects the alter-ego of Mr. Murdoch. He was its sole shareholder and director, and he did not differentiate between it and himself. For that reason, I will discuss the solicitor-client relationship in terms or a relationship between Mr. Murdoch and Mr. Dangerfield, though, of course, Mr. Dangerfield was technically acting on behalf of the corporate entity, as well, in that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Both Mr. Murdoch and Mr. Dangerfield gave evidence describing the solicitor-client relationship at trial. Not surprisingly, their descriptions were quite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Murdoch characterized the situation as one in which he simply gave basic instructions to Mr. Dangerfield, in whom he placed complete reliance. He says that he expected Mr. Dangerfield to negotiate and draw contracts complying with those basic instructions, always taking care to ensure that Mr. Murdoch's interests were fully protected. He claims that he told Mr. Dangerfield that the security arrangements for the film financing deal had to be "bulletproof". Mr. Murdoch portrays himself as unsophisticated in legal matters. He says that he did not even bother to read emails and email attachments from Mr. Dangerfield, because they were complicated, and he did not understand them sufficiently to provide any useful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Dangerfield, on the other hand, characterizes the relationship as one in which Mr. Murdoch was a highly-sophisticated client who read and commented on legal documents. He says that Mr. Murdoch did not appreciate being billed for lengthy written opinions and reporting letters, and understood contracts, so that no such letters were necessary. He implies that Mr. Murdoch must have been aware of the risks inherent in the contract; he knew that North American had a dodgy reputation, and accepted the risk that it would fail to meet its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Neither of these descriptions appear to me to accurately describe the solicitor-client relationship that existed at the time that the film financing deal was entered into. Mr. Murdoch was, in fact, experienced in the entertainment industry, and was, to a degree, a sophisticated client. He had been an executive producer for several television series, and fully understood the nature of that business. He was able to read and understand basic contractual documents, and had considerable business acumen. He had not, however, ever acted as a financier, and he had a limited understanding of business arrangements necessary to secure lending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While I do not believe Mr. Murdoch's assertion that he did not review legal documents sent to him by Mr. Dangerfield, I do accept that he did not have sufficient experience or knowledge of financing transactions to provide much meaningful feedback.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Dangerfield was accustomed to dealing with Mr. Murdoch on projects where Mr. Murdoch was, indeed, a sophisticated client. He may not have fully appreciated that Mr. Murdoch was unfamiliar with lending transactions and the taking of security. He did recognize, however, that Mr. Murdoch was relying on him to structure the deal, within the instructions given, in such a way as to maximize the protection available to Sports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find that Mr. Dangerfield, in his evidence, exaggerated the extent to which Mr. Murdoch discouraged him from providing detailed legal advice; we see, for instance, that Mr. Dangerfield billed Sports Pool for several hours of research time in this case on the issue of criminal rates of interest. Mr. Murdoch did not object to Mr. Dangerfield performing services, or reporting concerns to him when those services and concerns were important to the deal.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find that the role that Mr. Dangerfield played in this case was that of a typical solicitor in a commercial matter. Mr. Murdoch was neither particularly sophisticated nor particularly naïve. Sports Pool left the negotiation of the Notice of Assignment and Direction to Pay clause to Mr. Dangerfield, and Mr. Dangerfield failed to protect its interests in the arrangements that he made. Further, Sports Pool required advice with respect to what it had to do in order to give notice of the assignments to subdistributors, and Mr. Dangerfield failed to provide that advice. Nothing in the solicitor-client relationship served to lessen Mr. Dangerfield's duty of care to Sports Pool. I find that he failed to meet the standard of the "reasonably competent solicitor" with respect to the issue of the Notices or Assignment and Directions to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Was the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u w:val="single"/>
          <w:lang w:val="en-US" w:eastAsia="en-US" w:bidi="ar-SA"/>
        </w:rPr>
        <w:t xml:space="preserve"> Causative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Mr. Dangerfield argues that Sports Pool has not proven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respect to the Notices of Assignment and Directions to Pay caused any damage. In particular, he contends that the evidence shows that it is unlikely that delivery of the Notices to the subdistributors would have resulted in payments to Sports Pool. He says, further, that the intervening fraud or dishonesty of North American prevents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Mr. Dangerfield from being the cause of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assessment of these arguments is not particularly difficult. As the defendants put it, "In British Columbia, a practical, common sense approach is used in dealing with the issue of causation in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causes. The approach has been to determine whether the breach of the standard of care by the solicitor actually caused the loss complained of." The question is largely one of fact: Would the loss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solicitor? (see </w:t>
      </w:r>
      <w:r>
        <w:rPr>
          <w:rFonts w:ascii="arial" w:eastAsia="arial" w:hAnsi="arial" w:cs="arial"/>
          <w:b/>
          <w:i/>
          <w:color w:val="000000"/>
          <w:sz w:val="20"/>
          <w:lang w:val="en-US" w:eastAsia="en-US" w:bidi="ar-SA"/>
        </w:rPr>
        <w:t>Granville Savings &amp; Mortgage Corp. v. Thompson &amp; Allard &amp; Company</w:t>
      </w:r>
      <w:r>
        <w:rPr>
          <w:rFonts w:ascii="arial" w:eastAsia="arial" w:hAnsi="arial" w:cs="arial"/>
          <w:color w:val="000000"/>
          <w:sz w:val="20"/>
          <w:lang w:val="en-US" w:eastAsia="en-US" w:bidi="ar-SA"/>
        </w:rPr>
        <w:t xml:space="preserve">, </w:t>
      </w:r>
      <w:hyperlink r:id="rId979" w:history="1">
        <w:r>
          <w:rPr>
            <w:rFonts w:ascii="arial" w:eastAsia="arial" w:hAnsi="arial" w:cs="arial"/>
            <w:i/>
            <w:color w:val="0077CC"/>
            <w:sz w:val="20"/>
            <w:u w:val="single"/>
            <w:shd w:val="clear" w:color="auto" w:fill="FFFFFF"/>
            <w:lang w:val="en-US" w:eastAsia="en-US" w:bidi="ar-SA"/>
          </w:rPr>
          <w:t>[1996] 19 B.C.L.R. (3rd) 303</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Fraser South Park Estates v. Lang Michener Lawrence &amp; Shaw</w:t>
      </w:r>
      <w:r>
        <w:rPr>
          <w:rFonts w:ascii="arial" w:eastAsia="arial" w:hAnsi="arial" w:cs="arial"/>
          <w:color w:val="000000"/>
          <w:sz w:val="20"/>
          <w:lang w:val="en-US" w:eastAsia="en-US" w:bidi="ar-SA"/>
        </w:rPr>
        <w:t xml:space="preserve">, </w:t>
      </w:r>
      <w:hyperlink r:id="rId980" w:history="1">
        <w:r>
          <w:rPr>
            <w:rFonts w:ascii="arial" w:eastAsia="arial" w:hAnsi="arial" w:cs="arial"/>
            <w:i/>
            <w:color w:val="0077CC"/>
            <w:sz w:val="20"/>
            <w:u w:val="single"/>
            <w:shd w:val="clear" w:color="auto" w:fill="FFFFFF"/>
            <w:lang w:val="en-US" w:eastAsia="en-US" w:bidi="ar-SA"/>
          </w:rPr>
          <w:t>[1999] B.C.J. No. 150</w:t>
        </w:r>
      </w:hyperlink>
      <w:r>
        <w:rPr>
          <w:rFonts w:ascii="arial" w:eastAsia="arial" w:hAnsi="arial" w:cs="arial"/>
          <w:color w:val="000000"/>
          <w:sz w:val="20"/>
          <w:lang w:val="en-US" w:eastAsia="en-US" w:bidi="ar-SA"/>
        </w:rPr>
        <w:t xml:space="preserve"> aff'd. </w:t>
      </w:r>
      <w:hyperlink r:id="rId981" w:history="1">
        <w:r>
          <w:rPr>
            <w:rFonts w:ascii="arial" w:eastAsia="arial" w:hAnsi="arial" w:cs="arial"/>
            <w:i/>
            <w:color w:val="0077CC"/>
            <w:sz w:val="20"/>
            <w:u w:val="single"/>
            <w:shd w:val="clear" w:color="auto" w:fill="FFFFFF"/>
            <w:lang w:val="en-US" w:eastAsia="en-US" w:bidi="ar-SA"/>
          </w:rPr>
          <w:t>2001 BCCA 9</w:t>
        </w:r>
      </w:hyperlink>
      <w:r>
        <w:rPr>
          <w:rFonts w:ascii="arial" w:eastAsia="arial" w:hAnsi="arial" w:cs="arial"/>
          <w:color w:val="000000"/>
          <w:sz w:val="20"/>
          <w:lang w:val="en-US" w:eastAsia="en-US" w:bidi="ar-SA"/>
        </w:rPr>
        <w:t xml:space="preserve">, </w:t>
      </w:r>
      <w:hyperlink r:id="rId981" w:history="1">
        <w:r>
          <w:rPr>
            <w:rFonts w:ascii="arial" w:eastAsia="arial" w:hAnsi="arial" w:cs="arial"/>
            <w:i/>
            <w:color w:val="0077CC"/>
            <w:sz w:val="20"/>
            <w:u w:val="single"/>
            <w:shd w:val="clear" w:color="auto" w:fill="FFFFFF"/>
            <w:lang w:val="en-US" w:eastAsia="en-US" w:bidi="ar-SA"/>
          </w:rPr>
          <w:t>84 B.C.L.R. (3rd) 65</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B.S.A. Investors Ltd. v. D.S.B.</w:t>
      </w:r>
      <w:r>
        <w:rPr>
          <w:rFonts w:ascii="arial" w:eastAsia="arial" w:hAnsi="arial" w:cs="arial"/>
          <w:color w:val="000000"/>
          <w:sz w:val="20"/>
          <w:lang w:val="en-US" w:eastAsia="en-US" w:bidi="ar-SA"/>
        </w:rPr>
        <w:t xml:space="preserve">, </w:t>
      </w:r>
      <w:hyperlink r:id="rId778" w:history="1">
        <w:r>
          <w:rPr>
            <w:rFonts w:ascii="arial" w:eastAsia="arial" w:hAnsi="arial" w:cs="arial"/>
            <w:i/>
            <w:color w:val="0077CC"/>
            <w:sz w:val="20"/>
            <w:u w:val="single"/>
            <w:shd w:val="clear" w:color="auto" w:fill="FFFFFF"/>
            <w:lang w:val="en-US" w:eastAsia="en-US" w:bidi="ar-SA"/>
          </w:rPr>
          <w:t>2007 BCCA 94</w:t>
        </w:r>
      </w:hyperlink>
      <w:r>
        <w:rPr>
          <w:rFonts w:ascii="arial" w:eastAsia="arial" w:hAnsi="arial" w:cs="arial"/>
          <w:color w:val="000000"/>
          <w:sz w:val="20"/>
          <w:lang w:val="en-US" w:eastAsia="en-US" w:bidi="ar-SA"/>
        </w:rPr>
        <w:t xml:space="preserve">, </w:t>
      </w:r>
      <w:hyperlink r:id="rId778" w:history="1">
        <w:r>
          <w:rPr>
            <w:rFonts w:ascii="arial" w:eastAsia="arial" w:hAnsi="arial" w:cs="arial"/>
            <w:i/>
            <w:color w:val="0077CC"/>
            <w:sz w:val="20"/>
            <w:u w:val="single"/>
            <w:shd w:val="clear" w:color="auto" w:fill="FFFFFF"/>
            <w:lang w:val="en-US" w:eastAsia="en-US" w:bidi="ar-SA"/>
          </w:rPr>
          <w:t>283 D.L.R. (4th) 220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There are also elements of foreseeability to be considered; if a fraudulent or dishonest default was not foreseeable, then it may be found to be outside of the solicitor's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am satisfied that the failure in the case at bar was of a basic nature, and that the losses suffered were a readily foreseeable result of the solicitor's failure. While North American ought to have abided by its contractual obligations, its failure to do so was something that ought to have been guarded against by the reasonably prudent solicitor. Further, I do not agree with the defendant's proposition that the delivery of Notices of Assignment to the subdistributors would have been ineffective.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support of this proposition, Mr. Dangerfield relies on testimony that there was, during negotiations, some concern that the subdistributors would have refused to act on Notices of Assignment and Directions to Pay unless they were delivered to them directly by North American. Further, it was suggested that receiving such documents may have motivated the subdistributors to refuse to take delivery of the films.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my view, the evidence in support of Mr. Dangerfield's assertion is vague and unpersuasive. There is no credible evidence to suggest that the subdistributors would have reneged on their pre-sales commitments or failed to respect the assignments. The evidence suggests that the subdistributors were established and trustworthy companies. There is no practical reason to believe that the assignment of the distribution contract proceeds would have caused them concern, or that they would have taken the risks inherent in ignoring the assignments.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defendants also rely on evidence of what occurred after September 2002 in asserting that the assignments would not have been respected by the subdistributors. In September 2002, after it became clear that North American had not advised the subdistributors of the assignments, Mr. Dangerfield himself drafted Notices of Assignments and Directions to Pay and sent them to Mr. Simandl for execution. On September 23, 2002, Mr. Simandl agreed that he would execute the documents on behalf of North American and 598721, and further agreed to have the subdistributors execute them,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It appears that such a document was signed by Mr. Simandl within a few days of receiving it, and that it was signed by the UK subdistributor at an indeterminate time thereafter. The document in question is dated, on its face, September 30, 2002, but it was not returned to the defendant law firm until sometime in 2003 (the postmark indicated it was posted in Prague 12.6.03). It does not appear to have been executed on behalf of Sports Pool, and no amount was ever paid to Sports Pool pursuant to that assignment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agree with the plaintiff's position that no inferences can be drawn from this evidence. It is not clear that any amounts were paid by the subdistributor to North American or 598721 after it executed the assignments. It is clear that any amounts owing must, in any event, have been quite small, and paid under circumstances which differed greatly from those which prevailed when the films were initially distributed.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 am convinced that, on the balance of probabilities, the furnishing of notice to the subdistributors in a timely manner would have been effective. I therefore find that Mr. Dangerfield's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respect to the Notices of Assignment and Directions to Pay was causative of loss to Sports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Failure to Take Instructions with Respect to Changes in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Sports Pool alleges that the deal that Mr. Murdoch discussed with Mr. Clarance was dramatically different from the one negotiated by Mr. Dangerfield and embodied in the contractual documents. It alleges that Mr. Dangerfield failed to properly advise Sports Pool of the changes, and failed to seek or follow instructions with respect to them. It says that these failures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Dangerfield.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To a large extent,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under this theory of liability mirror those that I have already discussed. The one allegation that differs from those that I have discussed concerns a change in the bank's rights to draw on the letters of credit.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his initial discussions with Mr. Clarance, Mr. Murdoch understood that the bank would not have the right to draw on the letters of credit until 60 days after the films were released for distribution. As negotiations progressed, however, the bank was unwilling to accept such a deal. Instead, it required the ability to draw on the letters of credit immediately upon delivery of the films for distribution.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issue appears to have been an important one in the last few days before the agreements were executed. On June 15, 2001, Mr. Murdoch's bankers indicated that Mr. Murdoch was concerned about the absence of a provision in the letters of credit themselves preventing them from being drawn upon for 60 days following the delivery of the films. Later notes suggest that the bank was not prepared to agree to wait 60 days before drawing on the letters of credit.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It is noteworthy, in my view, that Mr. Murdoch's main reason for wanting the "60-day provision" was to ensure that no amounts were drawn on the letters of credit until after the films were released for distribution. The final agreement, while not providing for a 60-day delay after release before the letters of credit were drawn on, did provide that they would not be drawn on until the films were released.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While there is no clear documentary evidence that Mr. Murdoch agreed to forego the 60-day period, the circumstantial evidence satisfies me that he must have done so. The issue of the 60-day period was clearly one that was recognized by Mr. Murdoch, as he had discussed it with his bankers around June 15, 2001. Under the circumstances, I am satisfied that he would have raised it with Mr. Dangerfield when he received a blacklined draft of the Guarantee Agreement on June 19, 2001 (which excised the 60-day provision) if he had not already agreed to the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am therefore satisfied that Mr. Dangerfield did not fail to raise, and take instructions on this issue. I also find that there are no further issues of substance on which it could be argued that Mr. Dangerfield failed to raise important issues, or failed to take instructions. The sole basis upon which the plaintiff is entitled to succeed is on the basis that Mr. Dangerfield was negligent with respect to the Notices of Assignment and Directions to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What are the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Murdoch alleges that if he had been properly advised by Mr. Dangerfield, he would have withdrawn from the deal prior to signing the contracts. Accordingly, he says that all of Sports Pool's losses ought to be recoverable. In the alternative, he argues that had Mr. Dangerfield not been negligent, then revenues from the subdistribution contracts would have been paid to Sports Pool, thus reducing its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As counsel for the defendants points out, the court should not accept Sports Pool's assertion that it would have foregone the deal if it had received proper advice from Mr. Dangerfield without some scepticism: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always easy for a witness to say what he would have done and for a judge to say he accepts that assertion. But such evidence is, in truth, not evidence of a fact but evidence of opinion. It should be tested in the crucible of reason. (per Southin J.A., concurring, in </w:t>
      </w:r>
      <w:r>
        <w:rPr>
          <w:rFonts w:ascii="arial" w:eastAsia="arial" w:hAnsi="arial" w:cs="arial"/>
          <w:b/>
          <w:i/>
          <w:color w:val="000000"/>
          <w:sz w:val="20"/>
          <w:lang w:val="en-US" w:eastAsia="en-US" w:bidi="ar-SA"/>
        </w:rPr>
        <w:t>Hong Kong Bank of Canada v. Touche Ross &amp; Co.</w:t>
      </w:r>
      <w:r>
        <w:rPr>
          <w:rFonts w:ascii="arial" w:eastAsia="arial" w:hAnsi="arial" w:cs="arial"/>
          <w:color w:val="000000"/>
          <w:sz w:val="20"/>
          <w:lang w:val="en-US" w:eastAsia="en-US" w:bidi="ar-SA"/>
        </w:rPr>
        <w:t xml:space="preserve"> </w:t>
      </w:r>
      <w:hyperlink r:id="rId982" w:history="1">
        <w:r>
          <w:rPr>
            <w:rFonts w:ascii="arial" w:eastAsia="arial" w:hAnsi="arial" w:cs="arial"/>
            <w:i/>
            <w:color w:val="0077CC"/>
            <w:sz w:val="20"/>
            <w:u w:val="single"/>
            <w:shd w:val="clear" w:color="auto" w:fill="FFFFFF"/>
            <w:lang w:val="en-US" w:eastAsia="en-US" w:bidi="ar-SA"/>
          </w:rPr>
          <w:t>(1989), 36 B.C.L.R. (2d) 381</w:t>
        </w:r>
      </w:hyperlink>
      <w:r>
        <w:rPr>
          <w:rFonts w:ascii="arial" w:eastAsia="arial" w:hAnsi="arial" w:cs="arial"/>
          <w:color w:val="000000"/>
          <w:sz w:val="20"/>
          <w:lang w:val="en-US" w:eastAsia="en-US" w:bidi="ar-SA"/>
        </w:rPr>
        <w:t xml:space="preserve"> at 392)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In the case at bar, I expect that had Mr. Dangerfield acted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by taking signed Notices of Assignment and Directions to Pay from North American and 598721, and explaining to Mr. Murdoch the necessity of ensuring that they were delivered to the subcontractors, Sports Pool would have been satisfied, and would have gone ahead with the deal. Accordingly, the correct measure of damages is not the totality of Sports Pool's losses, but only the amounts of the losses that would have been avoided had the Notices of Assignment and Directions to Pay been properly delivered to the subdistributors.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What Revenues did North American Receive from the Assigned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There is some difficulty in calculating the amounts in question. The first difficulty arises because films of this genre are sometimes released under multiple titles. It can, therefore, be difficult to identify which films have produced which revenues.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parties agree that North American received revenues of US$84,732.48 from the assigned subdistribution contracts in respect of </w:t>
      </w:r>
      <w:r>
        <w:rPr>
          <w:rFonts w:ascii="arial" w:eastAsia="arial" w:hAnsi="arial" w:cs="arial"/>
          <w:i/>
          <w:color w:val="000000"/>
          <w:sz w:val="20"/>
          <w:lang w:val="en-US" w:eastAsia="en-US" w:bidi="ar-SA"/>
        </w:rPr>
        <w:t>Bound Heat</w:t>
      </w:r>
      <w:r>
        <w:rPr>
          <w:rFonts w:ascii="arial" w:eastAsia="arial" w:hAnsi="arial" w:cs="arial"/>
          <w:color w:val="000000"/>
          <w:sz w:val="20"/>
          <w:lang w:val="en-US" w:eastAsia="en-US" w:bidi="ar-SA"/>
        </w:rPr>
        <w:t xml:space="preserve">, and US$87,750 in respect of </w:t>
      </w:r>
      <w:r>
        <w:rPr>
          <w:rFonts w:ascii="arial" w:eastAsia="arial" w:hAnsi="arial" w:cs="arial"/>
          <w:i/>
          <w:color w:val="000000"/>
          <w:sz w:val="20"/>
          <w:lang w:val="en-US" w:eastAsia="en-US" w:bidi="ar-SA"/>
        </w:rPr>
        <w:t>Final Victim</w:t>
      </w:r>
      <w:r>
        <w:rPr>
          <w:rFonts w:ascii="arial" w:eastAsia="arial" w:hAnsi="arial" w:cs="arial"/>
          <w:color w:val="000000"/>
          <w:sz w:val="20"/>
          <w:lang w:val="en-US" w:eastAsia="en-US" w:bidi="ar-SA"/>
        </w:rPr>
        <w:t xml:space="preserve">. They also agree that it received at least US$81,564.10 in respect of </w:t>
      </w:r>
      <w:r>
        <w:rPr>
          <w:rFonts w:ascii="arial" w:eastAsia="arial" w:hAnsi="arial" w:cs="arial"/>
          <w:i/>
          <w:color w:val="000000"/>
          <w:sz w:val="20"/>
          <w:lang w:val="en-US" w:eastAsia="en-US" w:bidi="ar-SA"/>
        </w:rPr>
        <w:t>Against Her Will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There is a dispute as to whether an additional sum of US$13,795.50, attributed to a film called </w:t>
      </w:r>
      <w:r>
        <w:rPr>
          <w:rFonts w:ascii="arial" w:eastAsia="arial" w:hAnsi="arial" w:cs="arial"/>
          <w:i/>
          <w:color w:val="000000"/>
          <w:sz w:val="20"/>
          <w:lang w:val="en-US" w:eastAsia="en-US" w:bidi="ar-SA"/>
        </w:rPr>
        <w:t>Rage of Innocents</w:t>
      </w:r>
      <w:r>
        <w:rPr>
          <w:rFonts w:ascii="arial" w:eastAsia="arial" w:hAnsi="arial" w:cs="arial"/>
          <w:color w:val="000000"/>
          <w:sz w:val="20"/>
          <w:lang w:val="en-US" w:eastAsia="en-US" w:bidi="ar-SA"/>
        </w:rPr>
        <w:t xml:space="preserve"> is for the same film as </w:t>
      </w:r>
      <w:r>
        <w:rPr>
          <w:rFonts w:ascii="arial" w:eastAsia="arial" w:hAnsi="arial" w:cs="arial"/>
          <w:i/>
          <w:color w:val="000000"/>
          <w:sz w:val="20"/>
          <w:lang w:val="en-US" w:eastAsia="en-US" w:bidi="ar-SA"/>
        </w:rPr>
        <w:t>Against Her Will</w:t>
      </w:r>
      <w:r>
        <w:rPr>
          <w:rFonts w:ascii="arial" w:eastAsia="arial" w:hAnsi="arial" w:cs="arial"/>
          <w:color w:val="000000"/>
          <w:sz w:val="20"/>
          <w:lang w:val="en-US" w:eastAsia="en-US" w:bidi="ar-SA"/>
        </w:rPr>
        <w:t xml:space="preserve">. The evidence of the plaintiff is that certain internet websites describe the two as the same film under different titles. I agree with the defendants that this evidence is of a hearsay nature not coming within any established or principled exception to the hearsay rule. The plaintiffs also note that </w:t>
      </w:r>
      <w:r>
        <w:rPr>
          <w:rFonts w:ascii="arial" w:eastAsia="arial" w:hAnsi="arial" w:cs="arial"/>
          <w:i/>
          <w:color w:val="000000"/>
          <w:sz w:val="20"/>
          <w:lang w:val="en-US" w:eastAsia="en-US" w:bidi="ar-SA"/>
        </w:rPr>
        <w:t>Against Her Will</w:t>
      </w:r>
      <w:r>
        <w:rPr>
          <w:rFonts w:ascii="arial" w:eastAsia="arial" w:hAnsi="arial" w:cs="arial"/>
          <w:color w:val="000000"/>
          <w:sz w:val="20"/>
          <w:lang w:val="en-US" w:eastAsia="en-US" w:bidi="ar-SA"/>
        </w:rPr>
        <w:t xml:space="preserve"> was released under the alternate title </w:t>
      </w:r>
      <w:r>
        <w:rPr>
          <w:rFonts w:ascii="arial" w:eastAsia="arial" w:hAnsi="arial" w:cs="arial"/>
          <w:i/>
          <w:color w:val="000000"/>
          <w:sz w:val="20"/>
          <w:lang w:val="en-US" w:eastAsia="en-US" w:bidi="ar-SA"/>
        </w:rPr>
        <w:t>Cries of Innocence</w:t>
      </w:r>
      <w:r>
        <w:rPr>
          <w:rFonts w:ascii="arial" w:eastAsia="arial" w:hAnsi="arial" w:cs="arial"/>
          <w:color w:val="000000"/>
          <w:sz w:val="20"/>
          <w:lang w:val="en-US" w:eastAsia="en-US" w:bidi="ar-SA"/>
        </w:rPr>
        <w:t xml:space="preserve">, which, they point out, is similar to </w:t>
      </w:r>
      <w:r>
        <w:rPr>
          <w:rFonts w:ascii="arial" w:eastAsia="arial" w:hAnsi="arial" w:cs="arial"/>
          <w:i/>
          <w:color w:val="000000"/>
          <w:sz w:val="20"/>
          <w:lang w:val="en-US" w:eastAsia="en-US" w:bidi="ar-SA"/>
        </w:rPr>
        <w:t>Rage of Innocents.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In my view, the evidence falls short of establishing, on the balance of probabilities, that funds received in respect of </w:t>
      </w:r>
      <w:r>
        <w:rPr>
          <w:rFonts w:ascii="arial" w:eastAsia="arial" w:hAnsi="arial" w:cs="arial"/>
          <w:i/>
          <w:color w:val="000000"/>
          <w:sz w:val="20"/>
          <w:lang w:val="en-US" w:eastAsia="en-US" w:bidi="ar-SA"/>
        </w:rPr>
        <w:t>Rage of Innocents</w:t>
      </w:r>
      <w:r>
        <w:rPr>
          <w:rFonts w:ascii="arial" w:eastAsia="arial" w:hAnsi="arial" w:cs="arial"/>
          <w:color w:val="000000"/>
          <w:sz w:val="20"/>
          <w:lang w:val="en-US" w:eastAsia="en-US" w:bidi="ar-SA"/>
        </w:rPr>
        <w:t xml:space="preserve"> were for the same film as </w:t>
      </w:r>
      <w:r>
        <w:rPr>
          <w:rFonts w:ascii="arial" w:eastAsia="arial" w:hAnsi="arial" w:cs="arial"/>
          <w:i/>
          <w:color w:val="000000"/>
          <w:sz w:val="20"/>
          <w:lang w:val="en-US" w:eastAsia="en-US" w:bidi="ar-SA"/>
        </w:rPr>
        <w:t>Against Her Will</w:t>
      </w:r>
      <w:r>
        <w:rPr>
          <w:rFonts w:ascii="arial" w:eastAsia="arial" w:hAnsi="arial" w:cs="arial"/>
          <w:color w:val="000000"/>
          <w:sz w:val="20"/>
          <w:lang w:val="en-US" w:eastAsia="en-US" w:bidi="ar-SA"/>
        </w:rPr>
        <w:t>. I therefore find that the total revenue received by North American in respect of the assigned subdistribution contracts was US$254,046.70.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The </w:t>
      </w:r>
      <w:r>
        <w:rPr>
          <w:rFonts w:ascii="arial" w:eastAsia="arial" w:hAnsi="arial" w:cs="arial"/>
          <w:b/>
          <w:i/>
          <w:color w:val="000000"/>
          <w:sz w:val="20"/>
          <w:u w:val="single"/>
          <w:lang w:val="en-US" w:eastAsia="en-US" w:bidi="ar-SA"/>
        </w:rPr>
        <w:t>Chained Rage</w:t>
      </w:r>
      <w:r>
        <w:rPr>
          <w:rFonts w:ascii="arial" w:eastAsia="arial" w:hAnsi="arial" w:cs="arial"/>
          <w:b/>
          <w:color w:val="000000"/>
          <w:sz w:val="20"/>
          <w:u w:val="single"/>
          <w:lang w:val="en-US" w:eastAsia="en-US" w:bidi="ar-SA"/>
        </w:rPr>
        <w:t xml:space="preserve"> Revenues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It was recognized early on in negotiations that the assigned subdistribution contracts for the original three films would fall somewhat short of the full amount of the letters of credit that Sports Pool was required to post. As a result, North American agreed, as well, to assign certain proceeds of a fourth film, </w:t>
      </w:r>
      <w:r>
        <w:rPr>
          <w:rFonts w:ascii="arial" w:eastAsia="arial" w:hAnsi="arial" w:cs="arial"/>
          <w:i/>
          <w:color w:val="000000"/>
          <w:sz w:val="20"/>
          <w:lang w:val="en-US" w:eastAsia="en-US" w:bidi="ar-SA"/>
        </w:rPr>
        <w:t>Chained Rage</w:t>
      </w:r>
      <w:r>
        <w:rPr>
          <w:rFonts w:ascii="arial" w:eastAsia="arial" w:hAnsi="arial" w:cs="arial"/>
          <w:color w:val="000000"/>
          <w:sz w:val="20"/>
          <w:lang w:val="en-US" w:eastAsia="en-US" w:bidi="ar-SA"/>
        </w:rPr>
        <w:t>, to Sports Pool up to the amount of any difference between the revenues from the assigned subdistribution contracts and the amounts drawn on the letters of credit.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A total of US$356,228.96 was drawn on the letters of credit, and I have found the total revenues from the assigned subdistribution contracts to be US$254,046.70. The shortfall, therefore, was US$102,182.22. The parties agree that the total revenues that North American received from </w:t>
      </w:r>
      <w:r>
        <w:rPr>
          <w:rFonts w:ascii="arial" w:eastAsia="arial" w:hAnsi="arial" w:cs="arial"/>
          <w:i/>
          <w:color w:val="000000"/>
          <w:sz w:val="20"/>
          <w:lang w:val="en-US" w:eastAsia="en-US" w:bidi="ar-SA"/>
        </w:rPr>
        <w:t>Chained Rage</w:t>
      </w:r>
      <w:r>
        <w:rPr>
          <w:rFonts w:ascii="arial" w:eastAsia="arial" w:hAnsi="arial" w:cs="arial"/>
          <w:color w:val="000000"/>
          <w:sz w:val="20"/>
          <w:lang w:val="en-US" w:eastAsia="en-US" w:bidi="ar-SA"/>
        </w:rPr>
        <w:t xml:space="preserve"> were US$102,153.20.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Two issues arise with respect to Sports Pool's rights to revenues from </w:t>
      </w:r>
      <w:r>
        <w:rPr>
          <w:rFonts w:ascii="arial" w:eastAsia="arial" w:hAnsi="arial" w:cs="arial"/>
          <w:i/>
          <w:color w:val="000000"/>
          <w:sz w:val="20"/>
          <w:lang w:val="en-US" w:eastAsia="en-US" w:bidi="ar-SA"/>
        </w:rPr>
        <w:t>Chained Rage</w:t>
      </w:r>
      <w:r>
        <w:rPr>
          <w:rFonts w:ascii="arial" w:eastAsia="arial" w:hAnsi="arial" w:cs="arial"/>
          <w:color w:val="000000"/>
          <w:sz w:val="20"/>
          <w:lang w:val="en-US" w:eastAsia="en-US" w:bidi="ar-SA"/>
        </w:rPr>
        <w:t xml:space="preserve">. First, the parties differ on their interpretation of the "Assignment of Proceeds Agreement", which set out Sports Pool's entitlement to revenue from </w:t>
      </w:r>
      <w:r>
        <w:rPr>
          <w:rFonts w:ascii="arial" w:eastAsia="arial" w:hAnsi="arial" w:cs="arial"/>
          <w:i/>
          <w:color w:val="000000"/>
          <w:sz w:val="20"/>
          <w:lang w:val="en-US" w:eastAsia="en-US" w:bidi="ar-SA"/>
        </w:rPr>
        <w:t>Chained Rage</w:t>
      </w:r>
      <w:r>
        <w:rPr>
          <w:rFonts w:ascii="arial" w:eastAsia="arial" w:hAnsi="arial" w:cs="arial"/>
          <w:color w:val="000000"/>
          <w:sz w:val="20"/>
          <w:lang w:val="en-US" w:eastAsia="en-US" w:bidi="ar-SA"/>
        </w:rPr>
        <w:t xml:space="preserve">. Sports Pool says that it was entitled to 100% of the revenue that North American received for the film, while Mr. Dangerfield says that Sports Pool's entitlements were limited to profits. Second, there is a question as to whether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Dangerfield led to a loss of revenues in respect of </w:t>
      </w:r>
      <w:r>
        <w:rPr>
          <w:rFonts w:ascii="arial" w:eastAsia="arial" w:hAnsi="arial" w:cs="arial"/>
          <w:i/>
          <w:color w:val="000000"/>
          <w:sz w:val="20"/>
          <w:lang w:val="en-US" w:eastAsia="en-US" w:bidi="ar-SA"/>
        </w:rPr>
        <w:t>Chained Rage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Under the Assignment of Proceeds Agreement, Sports Pool was entitled to receive "Gross Profits" from </w:t>
      </w:r>
      <w:r>
        <w:rPr>
          <w:rFonts w:ascii="arial" w:eastAsia="arial" w:hAnsi="arial" w:cs="arial"/>
          <w:i/>
          <w:color w:val="000000"/>
          <w:sz w:val="20"/>
          <w:lang w:val="en-US" w:eastAsia="en-US" w:bidi="ar-SA"/>
        </w:rPr>
        <w:t>Chained Rage</w:t>
      </w:r>
      <w:r>
        <w:rPr>
          <w:rFonts w:ascii="arial" w:eastAsia="arial" w:hAnsi="arial" w:cs="arial"/>
          <w:color w:val="000000"/>
          <w:sz w:val="20"/>
          <w:lang w:val="en-US" w:eastAsia="en-US" w:bidi="ar-SA"/>
        </w:rPr>
        <w:t>. "Gross Profits" was defined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hundred percent of gross revenues actually received by [North American] less any amounts paid to third party financiers entitled to repayment of sums invested in the production of [</w:t>
      </w:r>
      <w:r>
        <w:rPr>
          <w:rFonts w:ascii="arial" w:eastAsia="arial" w:hAnsi="arial" w:cs="arial"/>
          <w:i/>
          <w:color w:val="000000"/>
          <w:sz w:val="20"/>
          <w:lang w:val="en-US" w:eastAsia="en-US" w:bidi="ar-SA"/>
        </w:rPr>
        <w:t>Chained Rage</w:t>
      </w:r>
      <w:r>
        <w:rPr>
          <w:rFonts w:ascii="arial" w:eastAsia="arial" w:hAnsi="arial" w:cs="arial"/>
          <w:color w:val="000000"/>
          <w:sz w:val="20"/>
          <w:lang w:val="en-US" w:eastAsia="en-US" w:bidi="ar-SA"/>
        </w:rPr>
        <w:t>] and thirty percent as [North American's] distribution fee inclusive of all expenses associated with the exploitation of [</w:t>
      </w:r>
      <w:r>
        <w:rPr>
          <w:rFonts w:ascii="arial" w:eastAsia="arial" w:hAnsi="arial" w:cs="arial"/>
          <w:i/>
          <w:color w:val="000000"/>
          <w:sz w:val="20"/>
          <w:lang w:val="en-US" w:eastAsia="en-US" w:bidi="ar-SA"/>
        </w:rPr>
        <w:t>Chained Rage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 agree with the defendants that this definition of Gross Profits is clear, and that it did not assign to Sports Pool all revenues from </w:t>
      </w:r>
      <w:r>
        <w:rPr>
          <w:rFonts w:ascii="arial" w:eastAsia="arial" w:hAnsi="arial" w:cs="arial"/>
          <w:i/>
          <w:color w:val="000000"/>
          <w:sz w:val="20"/>
          <w:lang w:val="en-US" w:eastAsia="en-US" w:bidi="ar-SA"/>
        </w:rPr>
        <w:t>Chained Rage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It is by no means clear that there were any "Gross Profits" from </w:t>
      </w:r>
      <w:r>
        <w:rPr>
          <w:rFonts w:ascii="arial" w:eastAsia="arial" w:hAnsi="arial" w:cs="arial"/>
          <w:i/>
          <w:color w:val="000000"/>
          <w:sz w:val="20"/>
          <w:lang w:val="en-US" w:eastAsia="en-US" w:bidi="ar-SA"/>
        </w:rPr>
        <w:t>Chained Rage</w:t>
      </w:r>
      <w:r>
        <w:rPr>
          <w:rFonts w:ascii="arial" w:eastAsia="arial" w:hAnsi="arial" w:cs="arial"/>
          <w:color w:val="000000"/>
          <w:sz w:val="20"/>
          <w:lang w:val="en-US" w:eastAsia="en-US" w:bidi="ar-SA"/>
        </w:rPr>
        <w:t xml:space="preserve">. The limited evidence on this issue suggests that as of September of 2002, there was a shortfall of some US$70,000 on the film. There is no evidence of any revenues on the film being received by North American after that date. It does not, therefore, appear that Sports Pool was entitled to any revenues in respect of </w:t>
      </w:r>
      <w:r>
        <w:rPr>
          <w:rFonts w:ascii="arial" w:eastAsia="arial" w:hAnsi="arial" w:cs="arial"/>
          <w:i/>
          <w:color w:val="000000"/>
          <w:sz w:val="20"/>
          <w:lang w:val="en-US" w:eastAsia="en-US" w:bidi="ar-SA"/>
        </w:rPr>
        <w:t>Chained Rage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Even if </w:t>
      </w:r>
      <w:r>
        <w:rPr>
          <w:rFonts w:ascii="arial" w:eastAsia="arial" w:hAnsi="arial" w:cs="arial"/>
          <w:i/>
          <w:color w:val="000000"/>
          <w:sz w:val="20"/>
          <w:lang w:val="en-US" w:eastAsia="en-US" w:bidi="ar-SA"/>
        </w:rPr>
        <w:t>Chained Rage</w:t>
      </w:r>
      <w:r>
        <w:rPr>
          <w:rFonts w:ascii="arial" w:eastAsia="arial" w:hAnsi="arial" w:cs="arial"/>
          <w:color w:val="000000"/>
          <w:sz w:val="20"/>
          <w:lang w:val="en-US" w:eastAsia="en-US" w:bidi="ar-SA"/>
        </w:rPr>
        <w:t xml:space="preserve"> had generated "Gross Profits", it is not apparent that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Dangerfield resulted in those profits not being paid to Sports Pool. Unlike the assignments with respect to the other three films, the assignment with respect to </w:t>
      </w:r>
      <w:r>
        <w:rPr>
          <w:rFonts w:ascii="arial" w:eastAsia="arial" w:hAnsi="arial" w:cs="arial"/>
          <w:i/>
          <w:color w:val="000000"/>
          <w:sz w:val="20"/>
          <w:lang w:val="en-US" w:eastAsia="en-US" w:bidi="ar-SA"/>
        </w:rPr>
        <w:t>Chained Rage</w:t>
      </w:r>
      <w:r>
        <w:rPr>
          <w:rFonts w:ascii="arial" w:eastAsia="arial" w:hAnsi="arial" w:cs="arial"/>
          <w:color w:val="000000"/>
          <w:sz w:val="20"/>
          <w:lang w:val="en-US" w:eastAsia="en-US" w:bidi="ar-SA"/>
        </w:rPr>
        <w:t xml:space="preserve"> was not an assignment of specific subdistribution contracts. Proceeds for </w:t>
      </w:r>
      <w:r>
        <w:rPr>
          <w:rFonts w:ascii="arial" w:eastAsia="arial" w:hAnsi="arial" w:cs="arial"/>
          <w:i/>
          <w:color w:val="000000"/>
          <w:sz w:val="20"/>
          <w:lang w:val="en-US" w:eastAsia="en-US" w:bidi="ar-SA"/>
        </w:rPr>
        <w:t>Chained Rage</w:t>
      </w:r>
      <w:r>
        <w:rPr>
          <w:rFonts w:ascii="arial" w:eastAsia="arial" w:hAnsi="arial" w:cs="arial"/>
          <w:color w:val="000000"/>
          <w:sz w:val="20"/>
          <w:lang w:val="en-US" w:eastAsia="en-US" w:bidi="ar-SA"/>
        </w:rPr>
        <w:t xml:space="preserve"> were never intended to be paid directly to Sports Pool. Rather, they were to be forwarded to Sports Pool by North American in accordance with the formula in the contract. There is, therefore, no issue of Notices of Assignments or Directions to Pay in respect of the Assignment of Proceeds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Sports Pool says that it understood, during negotiations, that North American was offering it 100% of the revenues in </w:t>
      </w:r>
      <w:r>
        <w:rPr>
          <w:rFonts w:ascii="arial" w:eastAsia="arial" w:hAnsi="arial" w:cs="arial"/>
          <w:i/>
          <w:color w:val="000000"/>
          <w:sz w:val="20"/>
          <w:lang w:val="en-US" w:eastAsia="en-US" w:bidi="ar-SA"/>
        </w:rPr>
        <w:t>Chained Rage</w:t>
      </w:r>
      <w:r>
        <w:rPr>
          <w:rFonts w:ascii="arial" w:eastAsia="arial" w:hAnsi="arial" w:cs="arial"/>
          <w:color w:val="000000"/>
          <w:sz w:val="20"/>
          <w:lang w:val="en-US" w:eastAsia="en-US" w:bidi="ar-SA"/>
        </w:rPr>
        <w:t xml:space="preserve">, and says that the failure of Mr. Dangerfield to negotiate and draft a contract in accordance with that understanding was negligent. Again, Sports Pool says that it would not have entered into the film financing deal had it been aware that it would not have a first call on all revenues from </w:t>
      </w:r>
      <w:r>
        <w:rPr>
          <w:rFonts w:ascii="arial" w:eastAsia="arial" w:hAnsi="arial" w:cs="arial"/>
          <w:i/>
          <w:color w:val="000000"/>
          <w:sz w:val="20"/>
          <w:lang w:val="en-US" w:eastAsia="en-US" w:bidi="ar-SA"/>
        </w:rPr>
        <w:t>Chained Rage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 reject Sports Pool's assertions. The assignment of the revenues from </w:t>
      </w:r>
      <w:r>
        <w:rPr>
          <w:rFonts w:ascii="arial" w:eastAsia="arial" w:hAnsi="arial" w:cs="arial"/>
          <w:i/>
          <w:color w:val="000000"/>
          <w:sz w:val="20"/>
          <w:lang w:val="en-US" w:eastAsia="en-US" w:bidi="ar-SA"/>
        </w:rPr>
        <w:t>Chained Rage</w:t>
      </w:r>
      <w:r>
        <w:rPr>
          <w:rFonts w:ascii="arial" w:eastAsia="arial" w:hAnsi="arial" w:cs="arial"/>
          <w:color w:val="000000"/>
          <w:sz w:val="20"/>
          <w:lang w:val="en-US" w:eastAsia="en-US" w:bidi="ar-SA"/>
        </w:rPr>
        <w:t xml:space="preserve"> was not a particularly important part of the deal, and it does not appear that much attention was paid to the assignment in the discussions leading up to the signing of contracts. The terms of the Assignment of Proceeds Agreement were not a factor in Mr. Murdoch deciding to enter into the deal. Further, I cannot accept Sports Pool's assertion that its instructions to Mr. Dangerfield were to negotiate only for 100% of gross revenues from the film.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Mr. Murdoch had full access to the Assignment of Proceeds Agreement as it was being drafted, and I find that if he was unaware of the definition of "Gross Profits" in the contract, it was solely as a result of his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Given the manner in which the deal unfolded, Mr. Dangerfield was entitled to assume that the Assignment of Proceeds Agreement, as drafted, properly reflected terms that Mr. Murdoch agreed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I find, therefore, that in negotiating and drafting the details of the Assignment of Proceeds Agreement, Mr. Dangerfield met the standard of the reasonably competent solicitor. Further, no error or omission on his part caused any loss to Sports Pool in respect of the revenues from </w:t>
      </w:r>
      <w:r>
        <w:rPr>
          <w:rFonts w:ascii="arial" w:eastAsia="arial" w:hAnsi="arial" w:cs="arial"/>
          <w:i/>
          <w:color w:val="000000"/>
          <w:sz w:val="20"/>
          <w:lang w:val="en-US" w:eastAsia="en-US" w:bidi="ar-SA"/>
        </w:rPr>
        <w:t>Chained Rage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Are the Damages those of Sports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The total loss attributable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Dangerfield, then, amounts to US$254,046.70.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defendants argue that Sports Pool has not, itself, suffered any damages at all. It says that the letters of credit were, in fact, put up by Timothy Duholke, and that Sports Pool did not take on any debt in respect of them, either to the bank or to Mr. Duholke.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evidence on this point is convoluted. There is no doubt that Sports Pool entered into an obligation to furnish the letters of credit, and that it contracted for benefits under the Guarantee Agreement and the other contracts. When it came time to put up the letter of credit, however, Mr. Duholke, a friend and business associate of Mr. Murdoch, arranged for them to be financed by the Duholke Family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accounting records of Sports Pool do not show any investment loss with respect to the film financing deal, nor any debt to Mr. Duholke or the Duholke Family Trust. The Duholke Family Trust accounting records do not record any loan to or investment in Sports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accounting records for the Duholke Family Trust are not entirely consistent, but those pre-dating this lawsuit suggest that the film venture was to be a 50:50 venture between Mr. Murdoch and Mr. Duholke, with each taking half the risk and each realizing half of the anticipated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Both Mr. Murdoch and Mr. Duholke gave evidence to the effect that those records do not accurately reflect the arrangements between them. They say that Mr. Murdoch is required to repay Mr. Duholke for all of the losses, with interest, though Mr. Duholke would have reaped on-half of the profit had a profit been realized.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do not accept that Mr. Murdoch alone suffered a loss in this case. It is evident that Mr. Murdoch was prepared to share the profits of this deal with Mr. Duholke. I find it most unlikely that the two men, who were frequent business partners, entered into an agreement where they were to share the profits, but only one would take the risk of the venture failing.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It may well be that the two had few discussions as to how losses might be divvied up, because they did not anticipate that any sizable losses could occur. Nonetheless, I find that the deal between the two men was that this would be a shared venture. The Duholke Family Trust financial statements - prepared by Mr. Duholke's wife, who is an accountant, and approved by Mr. Duholke, also an accountant - represent the reality that Mr. Duholke, through the Duholke Family Trust, was an equal partner with Mr. Murdoch in this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Given that the real losses have fallen on Mr. Duholke and Mr. Murdoch, are the defendants correct in arguing that Sports Pool cannot maintain this action? In my view, they are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Sports Pool, in this case, was essentially a shell company. Primarily for tax reasons, it was the entity through which Mr. Murdoch (and, ultimately, Mr. Duholke) chose to act. Because Sports Pool was not a going concern, it would never have a "real profit" or a "real loss" - any profit would ultimately be paid out to shareholders, and any loss would have to be made up through some sort of infusion of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film financing deal was genuinely a deal entered into by Sports Pool. That entity was used because it had significant existing tax losses that would absorb a substantial part of any profits that might be generated. Sports Pool had to obtain its funds from somewhere, since it had none of its own. It could obtain such funds by way of investment, loan, or (perhaps) gift. Despite the fact that there is no financial record showing a relationship between Mr. Duholke and Sports Pool, I have no doubt that the funds put up by the Duholke Family Trust should be characterized as having been routed through it. The funds ought to have been properly characterized and reflected on Sports Pool's books, but the fact that this has not (at least to date) been done does not mean that Sports Pool has not suffered a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It is Sports Pool which has been deprived of funds that it was entitled to under the Guarantee Agreement; the loss claimed in this case is, therefore, Sports Pool's loss. The fact that the loss may ultimately be borne by its shareholders or creditors does not mean that it is unable to pursue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Other Defences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The defendants put forward a number of other arguments, including arguments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 claim that Mr. Murdoch is liable to indemnify the defendants on a third party claim, and an argument that the plaintiff's case requires it to meet the requirements for an argument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I have considered each of these arguments, but do not find any of them to be sustainable or worthy of detailed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Conversion and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The loss to Sports Pool, then, consisted of revenues that it should have received from subdistributors in the amount of US$254,046.70. A question arises as to whether the award should be in American Dollars, pursuant to the </w:t>
      </w:r>
      <w:r>
        <w:rPr>
          <w:rFonts w:ascii="arial" w:eastAsia="arial" w:hAnsi="arial" w:cs="arial"/>
          <w:b/>
          <w:i/>
          <w:color w:val="000000"/>
          <w:sz w:val="20"/>
          <w:lang w:val="en-US" w:eastAsia="en-US" w:bidi="ar-SA"/>
        </w:rPr>
        <w:t>Foreign Money Claims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155</w:t>
      </w:r>
      <w:r>
        <w:rPr>
          <w:rFonts w:ascii="arial" w:eastAsia="arial" w:hAnsi="arial" w:cs="arial"/>
          <w:color w:val="000000"/>
          <w:sz w:val="20"/>
          <w:lang w:val="en-US" w:eastAsia="en-US" w:bidi="ar-SA"/>
        </w:rPr>
        <w:t>, or whether a different arrangement for conversion to Canadian Dollars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Section 1 of the </w:t>
      </w:r>
      <w:r>
        <w:rPr>
          <w:rFonts w:ascii="arial" w:eastAsia="arial" w:hAnsi="arial" w:cs="arial"/>
          <w:b/>
          <w:i/>
          <w:color w:val="000000"/>
          <w:sz w:val="20"/>
          <w:lang w:val="en-US" w:eastAsia="en-US" w:bidi="ar-SA"/>
        </w:rPr>
        <w:t>Foreign Money Claims Act</w:t>
      </w:r>
      <w:r>
        <w:rPr>
          <w:rFonts w:ascii="arial" w:eastAsia="arial" w:hAnsi="arial" w:cs="arial"/>
          <w:color w:val="000000"/>
          <w:sz w:val="20"/>
          <w:lang w:val="en-US" w:eastAsia="en-US" w:bidi="ar-SA"/>
        </w:rPr>
        <w:t xml:space="preserve"> provides as follows:</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before making an order for the payment of money arising out of a claim or loss, the court considers that the person in whose favour the order will be made will be most truly and exactly compensated if all or part of the money payable under the order is measured in a currency other than the currency of Canada, the court must order that the money payable under the order will be that amount of Canadian currency that is necessary to purchase the equivalent amount of the other currency at a chartered bank located in British Columbia at the close of business on the conversion date.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conversion date is the last day, before the day on which a payment under the order is made by the judgment debtor to the judgment creditor, that the bank referred to in subsection (1) quotes a Canadian dollar equivalent to the other currency.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question, then, is whether "the court considers that [Sports Pool] will be most truly and exactly compensated if all or part of the money payable under the order is measured in" American currency. On the face of it, that is the case here - Sports Pool's losses were in American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Sports Pool argues that it should be awarded damages in Canadian funds, based on the actual amounts of debt incurred by the Duholke Family Trust in respect of the letters of credit that it financed. It says that all interest paid by the Trust should be recovered, and that the conversion of the debt to Canadian dollars should use the exchange rates that prevailed on October 22, 2003, the date on which the Trust took out a loan, in Canadian Dollars, to pay out the amounts owed in respect of the letters of credit. The value of the Canadian dollar as against the American dollar has substantially increased since that date, so the issue is of some significance to the value of the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To accede to the plaintiff's suggestion, it seems to me, would be to assume that the plaintiff's loss is equal to that of the Duholke Family Trust. I am not prepared to make that assumption. I cannot, due to the absence of proper accounting records, properly characterize the relationship between the Duholke Family Trust and Sports Pool. The money borrowed by the Duholke Family Trust </w:t>
      </w:r>
      <w:r>
        <w:rPr>
          <w:rFonts w:ascii="arial" w:eastAsia="arial" w:hAnsi="arial" w:cs="arial"/>
          <w:i/>
          <w:color w:val="000000"/>
          <w:sz w:val="20"/>
          <w:lang w:val="en-US" w:eastAsia="en-US" w:bidi="ar-SA"/>
        </w:rPr>
        <w:t>might</w:t>
      </w:r>
      <w:r>
        <w:rPr>
          <w:rFonts w:ascii="arial" w:eastAsia="arial" w:hAnsi="arial" w:cs="arial"/>
          <w:color w:val="000000"/>
          <w:sz w:val="20"/>
          <w:lang w:val="en-US" w:eastAsia="en-US" w:bidi="ar-SA"/>
        </w:rPr>
        <w:t xml:space="preserve"> be a debt owed to it by Sports Pool (though that was specifically denied by Mr. Duholke in his evidence), but it might equally simply be an investment in Sports Pool that did not pan out. I am not prepared to assume that Sports Pool's losses are best measured by reference to the financing charges incurred by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In my view, all that can be said is that Sports Pool has suffered a loss of US$254,046.70 as a result of Mr. Dangerfield's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That loss arose on the dates that the letters of credit were drawn upon (up to the amount of US$254,046.70). The loss will most truly and exactly be measured in American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 find that the appropriate order is that the amount of US$254,046.70 is payable, together with interest, in accordance with the </w:t>
      </w:r>
      <w:r>
        <w:rPr>
          <w:rFonts w:ascii="arial" w:eastAsia="arial" w:hAnsi="arial" w:cs="arial"/>
          <w:b/>
          <w:i/>
          <w:color w:val="000000"/>
          <w:sz w:val="20"/>
          <w:lang w:val="en-US" w:eastAsia="en-US" w:bidi="ar-SA"/>
        </w:rPr>
        <w:t>Foreign Money Claims Act</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Foreign Money Claims Regulation</w:t>
      </w:r>
      <w:r>
        <w:rPr>
          <w:rFonts w:ascii="arial" w:eastAsia="arial" w:hAnsi="arial" w:cs="arial"/>
          <w:color w:val="000000"/>
          <w:sz w:val="20"/>
          <w:lang w:val="en-US" w:eastAsia="en-US" w:bidi="ar-SA"/>
        </w:rPr>
        <w:t xml:space="preserve">, </w:t>
      </w:r>
      <w:hyperlink r:id="rId975" w:history="1">
        <w:r>
          <w:rPr>
            <w:rFonts w:ascii="arial" w:eastAsia="arial" w:hAnsi="arial" w:cs="arial"/>
            <w:i/>
            <w:color w:val="0077CC"/>
            <w:sz w:val="20"/>
            <w:u w:val="single"/>
            <w:shd w:val="clear" w:color="auto" w:fill="FFFFFF"/>
            <w:lang w:val="en-US" w:eastAsia="en-US" w:bidi="ar-SA"/>
          </w:rPr>
          <w:t>B.C. Reg. 165/96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While the plaintiff has not been completely successful in this litigation, it has met with a substantial degree of success. The defendants will be required to pay the plaintiff's costs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 GROBERMAN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2" style="position:absolute;z-index:2518958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83"/>
          <w:headerReference w:type="default" r:id="rId984"/>
          <w:footerReference w:type="even" r:id="rId985"/>
          <w:footerReference w:type="default" r:id="rId986"/>
          <w:headerReference w:type="first" r:id="rId987"/>
          <w:footerReference w:type="first" r:id="rId98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89" w:history="1">
        <w:r>
          <w:rPr>
            <w:rFonts w:ascii="arial" w:eastAsia="arial" w:hAnsi="arial" w:cs="arial"/>
            <w:b/>
            <w:bCs/>
            <w:i/>
            <w:color w:val="0077CC"/>
            <w:kern w:val="32"/>
            <w:sz w:val="28"/>
            <w:szCs w:val="32"/>
            <w:u w:val="single"/>
            <w:shd w:val="clear" w:color="auto" w:fill="FFFFFF"/>
            <w:lang w:val="en-US" w:eastAsia="en-US" w:bidi="ar-SA"/>
          </w:rPr>
          <w:t>Unrau v. Canadian Northern Shield Insurance Co., [2004] B.C.J. No. 33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Shabbits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10,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8,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Nanaimo Registry No. 38465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90" w:history="1">
        <w:r>
          <w:rPr>
            <w:rFonts w:ascii="arial" w:eastAsia="arial" w:hAnsi="arial" w:cs="arial"/>
            <w:i/>
            <w:color w:val="0077CC"/>
            <w:sz w:val="20"/>
            <w:u w:val="single"/>
            <w:shd w:val="clear" w:color="auto" w:fill="FFFFFF"/>
            <w:lang w:val="en-US" w:eastAsia="en-US" w:bidi="ar-SA"/>
          </w:rPr>
          <w:t>2004 BCSC 13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90" w:history="1">
        <w:r>
          <w:rPr>
            <w:rFonts w:ascii="arial" w:eastAsia="arial" w:hAnsi="arial" w:cs="arial"/>
            <w:i/>
            <w:color w:val="0077CC"/>
            <w:sz w:val="20"/>
            <w:u w:val="single"/>
            <w:shd w:val="clear" w:color="auto" w:fill="FFFFFF"/>
            <w:lang w:val="en-US" w:eastAsia="en-US" w:bidi="ar-SA"/>
          </w:rPr>
          <w:t>11 C.C.L.I. (4th) 313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90" w:history="1">
        <w:r>
          <w:rPr>
            <w:rFonts w:ascii="arial" w:eastAsia="arial" w:hAnsi="arial" w:cs="arial"/>
            <w:i/>
            <w:color w:val="0077CC"/>
            <w:sz w:val="20"/>
            <w:u w:val="single"/>
            <w:shd w:val="clear" w:color="auto" w:fill="FFFFFF"/>
            <w:lang w:val="en-US" w:eastAsia="en-US" w:bidi="ar-SA"/>
          </w:rPr>
          <w:t>[2004] I.L.R. I-4272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90" w:history="1">
        <w:r>
          <w:rPr>
            <w:rFonts w:ascii="arial" w:eastAsia="arial" w:hAnsi="arial" w:cs="arial"/>
            <w:i/>
            <w:color w:val="0077CC"/>
            <w:sz w:val="20"/>
            <w:u w:val="single"/>
            <w:shd w:val="clear" w:color="auto" w:fill="FFFFFF"/>
            <w:lang w:val="en-US" w:eastAsia="en-US" w:bidi="ar-SA"/>
          </w:rPr>
          <w:t>128 A.C.W.S. (3d) 156</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Becky Leah Unrau and Amy Bonnie Unrau, petitioners, and Canadian Northern Shield Insurance Company,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3"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4" w:name="Keywords_46"/>
      <w:bookmarkEnd w:id="304"/>
      <w:r>
        <w:rPr>
          <w:rFonts w:ascii="arial" w:eastAsia="arial" w:hAnsi="arial" w:cs="arial"/>
          <w:b/>
          <w:color w:val="000000"/>
          <w:sz w:val="20"/>
          <w:lang w:val="en-US" w:eastAsia="en-US" w:bidi="ar-SA"/>
        </w:rPr>
        <w:t>Insurance — Insurers — Duties — Duty to defend.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5" w:name="Case Summary_43"/>
            <w:bookmarkEnd w:id="30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Petition by BU and AU for an order that the respondent Canadian Northern Shield Insurance Company had a duty to defend them in an action P brought against them. In the statement of claim, P claimed that when he complained about rowdy behaviour at a party, the defendants Jewell and Lord viciously beat him. He also claimed that, as attendees at the party, BU and AU negligently participated in encouraging and abetting Jewell and Lord, and failed to take steps to prevent the beating or seek help. By third party notice, Semple, the host of the party, made similar claims against BU and AU. BU and AU were insured under their parents' homeowners' policy with Canadian Northern. The policy covered damages for bodily injury, but excluded injury caused by intentional or criminal acts or the failure to act by or at the direction of insured persons. BU and AU denied participating in a mob and claimed that they attempted to intervene to stop the beating. Canadian Northern relied on the exclusion.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6" w:name="Holdings of Court_38"/>
            <w:bookmarkEnd w:id="306"/>
            <w:r>
              <w:rPr>
                <w:rFonts w:ascii="arial" w:eastAsia="arial" w:hAnsi="arial" w:cs="arial"/>
                <w:color w:val="000000"/>
                <w:sz w:val="20"/>
                <w:lang w:val="en-US" w:eastAsia="en-US" w:bidi="ar-SA"/>
              </w:rPr>
              <w:t>HELD: Petition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While the claims against BU and AU were for intentional torts, they were still excluded under the policy. They arose from bodily injury caused by intentional or criminal acts or the failure to act.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7" w:name="Legislation Cited_33"/>
      <w:bookmarkEnd w:id="30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4"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R.S.B.C., c. 333.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8" w:name="Counsel_45"/>
      <w:bookmarkEnd w:id="30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5" style="position:absolute;z-index:251808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R.G. Lamperson, for the petitioners. M. Coric, for the respondent.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9" w:name="Judgment_46"/>
      <w:bookmarkEnd w:id="309"/>
      <w:r>
        <w:pict>
          <v:line id="_x0000_s1256" style="position:absolute;z-index:25185894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0" w:name="SHABBITS J."/>
            <w:bookmarkEnd w:id="310"/>
            <w:r>
              <w:rPr>
                <w:rFonts w:ascii="arial" w:eastAsia="arial" w:hAnsi="arial" w:cs="arial"/>
                <w:b/>
                <w:color w:val="000000"/>
                <w:sz w:val="30"/>
                <w:lang w:val="en-US" w:eastAsia="en-US" w:bidi="ar-SA"/>
              </w:rPr>
              <w:t>SHABBITS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Nature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Beckey Leah Unrau and Amy Bonnie Unrau are the daughters of Dwight Bruce Unrau and Yolanda Bonnie Ann Unrau.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petitioners' parents were insured by Canadian Northern Shield Insurance Company under a home owners' policy. As residents of their parents' household, the petitioners were entitled to insurance under that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insurance coverage obligated the respondent to pay all sums which the petitioners became legally liable to pay as compensatory damages because of bodily injury or property damage. The insurer agreed to defend against any suit which alleged bodily injury or property damage and sought compensatory damages, even if the claim was groundless, false or fraudulent.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coverage, however, included this exclusion: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are not insured for claims arising from:</w:t>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bodily injury or property damage caused by the intentional or criminal acts or the failure to act, by or at the direction of any person insured by this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 claim has been brought against the petitioners for compensatory damages because of bodily injury by Nathaniel Gerald Heathcote (the "plaintiff") in an action commenced in the British Columbia Supreme Court, Nanaimo Registry, numbered 32522. A third party claim has been brought against the petitioners in that same proceeding by Ralph Semple, he being a defendant in that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With this application, the petitioners seek an order that the respondent defend them in respect of the plaintiff's claim and Mr. Semple's third party claim, and reimburse them for the defence costs that they have incurred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respondent denies coverage. It asserts that the exclusion clause is of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filed an amended statement of claim on June 4, 2003. He alleges that on June 6, 1999 he was attacked and viciously beaten with a baseball bat by Mr. Jonah Robert Jewell, and Mr. Shamus Lord. Mr. Jewell and Mr. Lord are defendants. The plaintiff alleges that the attack caused him severe personal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does not allege that either of the petitioners struck him or directly caused him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pleads that the petitioners engaged in the following conduct:</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they attended two graduation parties on June 5th., 1999, and into the morning of June 6th., 1999, and that, in the evening of June 5th., they "were in a motor vehicle, and with other motor vehicles driven by minors who had attended both parties, and were unlawfully racing the vehicles around the neighbourhood and trespassing in the driveway where the Plaintiff resided";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confronted the persons in the motor vehicle containing the petitioners and others "and asked them to quiet down and leave the neighbourhood, and the defendant Jeffery Campbell attacked the Plaintiff and briefly engaged in a verbal and physical confrontation", and that "after the physical and verbal confrontation" the petitioners and others "threatened the Plaintiff with physical harm and that they would return to the Plaintiff's residence with their friends from the party to carry out that harm";</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after that confrontation the petitioners "returned to the party at the Semples and collected many others", including the defendants, Jonah Robert Jewell and Shamus Lord . . . ." to return with them to the Plaintiff's residence for a physical confrontation";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petitioners and others "returned to the Plaintiff's residence with a mob of approximately 25 to 40 individuals", and that "the mob swarmed onto the Plaintiff's place of residence, screaming, shouting and yelling, "Let's kill them", and attacked the Plaintiff and two of his friends;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petitioners "and the mob of others, prevented the plaintiff's friends from assisting him and rescuing him from the vicious beating".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pleadings can be summarized as follows. He alleges that the petitioners were present when Mr. Campbell attacked him, and that the petitioners and others then threatened to go and get friends from the party in order to return and physically harm the plaintiff. He alleges that the petitioners and the others did go and get a mob of others from the party, and that they and the mob did return and that the mob then attacked him. He alleges that the petitioners and others prevented the plaintiff's friends from helping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pleads that the cause of his personal injuries included this:</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negligent conduct of the petitioners and others "in the mob who participated in formulating the plan to confront the Plaintiff and encouraged and incited the mob, and either directly or indirectly the assault upon the Plaintiff";</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negligent conduct of the petitioners and others "in inciting the mob and encouraging the assault and failing to take any steps to prevent the assault or intervene, and preventing the Plaintiff's friends from rescuing him from the vicious beating he was receiving";</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negligent conduct of the petitioners "and their careless participation in a group activity where there was foreseeable harm to the Plaintiff";</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negligent conduct of the petitioners "in failing to contact the police or any other persons in authority following the first incident and the incitement of the mob and others subsequently intending to return to the Plaintiff's residence to assault him";</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negligent conduct of the petitioners "in failing to take any reasonable measures, or any measures, to prevent the reasonably foreseeable assault from occurring to the Plaintiff or to prevent the reasonably foreseeable injuries from occurring to the Plaintiff during 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alleges that the petitioners "owed a duty of care not to assault him or to take reasonable steps to prevent assault upon the Plaintiff in the circumstances alleged.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Semple's third party proceedings against the petitioners arises under an amended third party notice filed January 22,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amended third party notice, Mr. Semple pleads that before the petitioners were at his residence on June 6th. 1999, they were at a party at a location unknown to him where they consumed alcohol and/or illegal drugs. Mr. Semple pleads that there was a brief verbal confrontation involving the plaintiff at the plaintiff's residence, following which those who were present at that brief verbal confrontation drove to Mr. Semple's residence and "collected" the petitioners and others who were at the Semple party "to return with them to the Plaintiff's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Semple alleges that the petitioner's "knew, or reasonably should have known of Jewell's prior history and/or propensity to commit physical acts of violence on other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Mr. Semple alleges that the particulars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petitioners to the plaintiff include, but are not limited to:</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"careless participation in a group activity" wherein they "could reasonably foresee harm being caused to the Plaintiff";</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warn the Plaintiff",. . before they went to his premises. . ."such that the Plaintiff could have taken reasonable measures to prevent the Assault from occurring";</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contact the police or any other persons of authority following the First Incident to advise that" they and others "intended to return to the Plaintiff's Premises and assault the Plaintiff";</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contact the neighbours or other persons in the vicinity of the Plaintiff's Premises following the First Incident and request that they contact the police", as the petitioners and others "intended to attend at the Plaintiff's Premises and assault the Plaintiff";</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take any reasonable measures, or any measures, to prevent reasonably foreseeable injury from occurring to the Plaintiff during 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Semple's third party claim can be summarized as follows. He alleges that the petitioners were at the party at his home when they learned of the plan to assault the plaintiff. He alleges that the petitioners gave no warning to any person in authority of what was going to happen, but joined the group and went to the plaintiff's residence intending to assault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Mr. Semple pleads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R.S.B.C., c. 333, and seeks a declaration that he is entitled to indemnity and/or contribution from the petitioners with respect to the plaintiff's claim. He seeks a declaration that liability, if any, be apportioned amongst the parties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duty to defend was considered by the Supreme Court of Canada in Nichols v. American Home Assurance Co., </w:t>
      </w:r>
      <w:hyperlink r:id="rId991" w:history="1">
        <w:r>
          <w:rPr>
            <w:rFonts w:ascii="arial" w:eastAsia="arial" w:hAnsi="arial" w:cs="arial"/>
            <w:i/>
            <w:color w:val="0077CC"/>
            <w:sz w:val="20"/>
            <w:u w:val="single"/>
            <w:shd w:val="clear" w:color="auto" w:fill="FFFFFF"/>
            <w:lang w:val="en-US" w:eastAsia="en-US" w:bidi="ar-SA"/>
          </w:rPr>
          <w:t>[1990] S.C.J. No. 33</w:t>
        </w:r>
      </w:hyperlink>
      <w:r>
        <w:rPr>
          <w:rFonts w:ascii="arial" w:eastAsia="arial" w:hAnsi="arial" w:cs="arial"/>
          <w:color w:val="000000"/>
          <w:sz w:val="20"/>
          <w:lang w:val="en-US" w:eastAsia="en-US" w:bidi="ar-SA"/>
        </w:rPr>
        <w:t xml:space="preserve"> (S.C.C.). Madam Justice McLachlin wrote this for the Supreme Court of Canada at paragraphs 16 and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Thus far, I have proceeded only by reference to the actual wording of the policy. However, general principles relating to the construction of insurance contracts support the conclusion that the duty to defend arises only where the pleadings raise claims which would be payable under the agreement to indemnify in the insurance contract. Courts have frequently stated that "[t]he pleadings govern the duty to defend": Bacon v. McBride </w:t>
            </w:r>
            <w:hyperlink r:id="rId696" w:history="1">
              <w:r>
                <w:rPr>
                  <w:rFonts w:ascii="arial" w:eastAsia="arial" w:hAnsi="arial" w:cs="arial"/>
                  <w:i/>
                  <w:color w:val="0077CC"/>
                  <w:sz w:val="18"/>
                  <w:u w:val="single"/>
                  <w:shd w:val="clear" w:color="auto" w:fill="FFFFFF"/>
                  <w:lang w:val="en-US" w:eastAsia="en-US" w:bidi="ar-SA"/>
                </w:rPr>
                <w:t>(1984), 6 D.L.R. (4th) 96</w:t>
              </w:r>
            </w:hyperlink>
            <w:r>
              <w:rPr>
                <w:rFonts w:ascii="arial" w:eastAsia="arial" w:hAnsi="arial" w:cs="arial"/>
                <w:color w:val="000000"/>
                <w:sz w:val="18"/>
                <w:lang w:val="en-US" w:eastAsia="en-US" w:bidi="ar-SA"/>
              </w:rPr>
              <w:t xml:space="preserve"> (B.C.S.C.), at p. 99. Where it is clear from the pleadings that the suit falls outside of the coverage of the policy by reason of an exclusion clause, the duty to defend has been held not to rise: Opron Maritimes Construction Ltd. v. Canadian Indemnity Co. </w:t>
            </w:r>
            <w:hyperlink r:id="rId697" w:history="1">
              <w:r>
                <w:rPr>
                  <w:rFonts w:ascii="arial" w:eastAsia="arial" w:hAnsi="arial" w:cs="arial"/>
                  <w:i/>
                  <w:color w:val="0077CC"/>
                  <w:sz w:val="18"/>
                  <w:u w:val="single"/>
                  <w:shd w:val="clear" w:color="auto" w:fill="FFFFFF"/>
                  <w:lang w:val="en-US" w:eastAsia="en-US" w:bidi="ar-SA"/>
                </w:rPr>
                <w:t>(1986), 19 C.C.L.I. 168</w:t>
              </w:r>
            </w:hyperlink>
            <w:r>
              <w:rPr>
                <w:rFonts w:ascii="arial" w:eastAsia="arial" w:hAnsi="arial" w:cs="arial"/>
                <w:color w:val="000000"/>
                <w:sz w:val="18"/>
                <w:lang w:val="en-US" w:eastAsia="en-US" w:bidi="ar-SA"/>
              </w:rPr>
              <w:t xml:space="preserve"> (N.B.C.A.), leave to appeal refused by this Court, </w:t>
            </w:r>
            <w:hyperlink r:id="rId992" w:history="1">
              <w:r>
                <w:rPr>
                  <w:rFonts w:ascii="arial" w:eastAsia="arial" w:hAnsi="arial" w:cs="arial"/>
                  <w:i/>
                  <w:color w:val="0077CC"/>
                  <w:sz w:val="18"/>
                  <w:u w:val="single"/>
                  <w:shd w:val="clear" w:color="auto" w:fill="FFFFFF"/>
                  <w:lang w:val="en-US" w:eastAsia="en-US" w:bidi="ar-SA"/>
                </w:rPr>
                <w:t>[1987] S.C.C.A. No. 65</w:t>
              </w:r>
            </w:hyperlink>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At the same time, it is not necessary to prove that the obligation to indemnify will in fact arise in order to trigger the duty to defend. The mere possibility that a claim within the policy may succeed suffices. In this sense, as noted earlier, the duty to defend is broader than the duty to indemnify. O'Sullivan J.A. wrote in Prudential Life Insurance Co. v. Manitoba Public Insurance Corp. </w:t>
            </w:r>
            <w:hyperlink r:id="rId993" w:history="1">
              <w:r>
                <w:rPr>
                  <w:rFonts w:ascii="arial" w:eastAsia="arial" w:hAnsi="arial" w:cs="arial"/>
                  <w:i/>
                  <w:color w:val="0077CC"/>
                  <w:sz w:val="18"/>
                  <w:u w:val="single"/>
                  <w:shd w:val="clear" w:color="auto" w:fill="FFFFFF"/>
                  <w:lang w:val="en-US" w:eastAsia="en-US" w:bidi="ar-SA"/>
                </w:rPr>
                <w:t>(1976), 67 D.L.R. (3d) 521</w:t>
              </w:r>
            </w:hyperlink>
            <w:r>
              <w:rPr>
                <w:rFonts w:ascii="arial" w:eastAsia="arial" w:hAnsi="arial" w:cs="arial"/>
                <w:color w:val="000000"/>
                <w:sz w:val="18"/>
                <w:lang w:val="en-US" w:eastAsia="en-US" w:bidi="ar-SA"/>
              </w:rPr>
              <w:t xml:space="preserve"> (Man. C.A.), at p. 524:</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Furthermore, the duty to indemnify against the costs of an action and to defend does not depend on the judgment obtained in the action. The existence of the duty to defend depends on the nature of the claim made, not on the judgment that results from the claim. The duty to defend is normally much broader than the duty to indemnify against a judgment. [Emphasis added.]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that case it was unclear whether the insurer might be liable to indemnify under the policy, so the duty to defend was held to apply. In the court's view it would have been unjust for the insurers to be able to assert that "the claim is probably groundless, or will probably end up falling outside of the indemnity coverage. Since we have no proof [page 811] that we owe an indemnity in this case, we take the position that we owe no duty to defend.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Bacon (Guardian ad litem of) v. McBride, </w:t>
      </w:r>
      <w:hyperlink r:id="rId696" w:history="1">
        <w:r>
          <w:rPr>
            <w:rFonts w:ascii="arial" w:eastAsia="arial" w:hAnsi="arial" w:cs="arial"/>
            <w:i/>
            <w:color w:val="0077CC"/>
            <w:sz w:val="20"/>
            <w:u w:val="single"/>
            <w:shd w:val="clear" w:color="auto" w:fill="FFFFFF"/>
            <w:lang w:val="en-US" w:eastAsia="en-US" w:bidi="ar-SA"/>
          </w:rPr>
          <w:t>[1984] B.C.J. No. 2813</w:t>
        </w:r>
      </w:hyperlink>
      <w:r>
        <w:rPr>
          <w:rFonts w:ascii="arial" w:eastAsia="arial" w:hAnsi="arial" w:cs="arial"/>
          <w:color w:val="000000"/>
          <w:sz w:val="20"/>
          <w:lang w:val="en-US" w:eastAsia="en-US" w:bidi="ar-SA"/>
        </w:rPr>
        <w:t xml:space="preserve"> (B.C.S.C.), Mr. Justice Wallace wrote this at para.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pleadings govern the duty to defend - not the insurer's view of the validity or nature of the claim, or of the possible outcome of the litigation. If the claim alleges a state of facts, which, if proven, would fall with the coverage of the policy the insurer is obliged to defend the suit regardless of the truth or falsity of such allegations. If the allegations do not come within the policy coverage the insurer has no such obligation: see Couch on Insurance, 2nd revised ed., (1982), vol. 14, p. 706 para. 51:149. In this respect the duty to defend may be broader than the insurer's obligation to indemnify the insurer for liability imposed by law. The insurer's obligation to defend arises when notice of the claim is received and continues as long as it is outstanding even though the insurer may consider the allegation to be groundless.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Non-Marine Underwriters, Lloyd's of London v. Scalera, </w:t>
      </w:r>
      <w:hyperlink r:id="rId994" w:history="1">
        <w:r>
          <w:rPr>
            <w:rFonts w:ascii="arial" w:eastAsia="arial" w:hAnsi="arial" w:cs="arial"/>
            <w:i/>
            <w:color w:val="0077CC"/>
            <w:sz w:val="20"/>
            <w:u w:val="single"/>
            <w:shd w:val="clear" w:color="auto" w:fill="FFFFFF"/>
            <w:lang w:val="en-US" w:eastAsia="en-US" w:bidi="ar-SA"/>
          </w:rPr>
          <w:t>[2000] 1 S.C.R. 551</w:t>
        </w:r>
      </w:hyperlink>
      <w:r>
        <w:rPr>
          <w:rFonts w:ascii="arial" w:eastAsia="arial" w:hAnsi="arial" w:cs="arial"/>
          <w:color w:val="000000"/>
          <w:sz w:val="20"/>
          <w:lang w:val="en-US" w:eastAsia="en-US" w:bidi="ar-SA"/>
        </w:rPr>
        <w:t xml:space="preserve"> (S.C.C.), Mr. Justice Iacobucci wrote this at paras. 49 to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49</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 insurance company's duty to defend is related to its duty to indemnify. A homeowner's insurance policy entitles the holder to have the insurer indemnify any liability falling within the policy's terms. Since the insurance company will be paying these costs, it has also developed the right -- now a duty -- to conduct the defence of such claims. However, the duty to defend is not so great that it is presumed to be independent of the duty to indemnify. Absent express language to the contrary, the duty to defend extends only to claims that could potentially trigger indemnity under the policy. Therefore if an insurance policy, like the one in this case, excludes liability arising from intentionally caused injuries, there will be no duty to defend intentional torts.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Determining whether or not a given claim could trigger indemnity is a three-step process. First, a court should determine which of the plaintiff's legal allegations are properly pleaded. In doing so, courts are not bound by the legal labels chosen by the plaintiff. A plaintiff cannot change an intentional tort into a negligent one simply by choice of words, or vice versa. Therefore, when ascertaining the scope of the duty to defend, a court must look beyond the choice of labels, and examine the substance of the allegations contained in the pleadings. This does not involve deciding whether the claims have any merit; all a court must do is decide, based on the pleadings, the true nature of the claims.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At the second stage, having determined what claims are properly pleaded, the court should determine if any claims are entirely derivative in nature. The duty to defend will not be triggered simply because a claim can be cast in terms of both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and intentional tort. If the alleged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is based on the same harm as the intentional tort, it will not allow the insured to avoid the exclusion clause for intentionally caused injuries.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Finally, at the third stage the court must decide whether any of the properly pleaded, non-derivative claims could potentially trigger the insurer's duty to defend.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Justice Iacobucci wrote this at paras. 83 to 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83</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be somewhat more prosaic, when determining the scope of the duty to defend, courts must take the factual allegations as pleaded, but then ask which of the plaintiff's legal claims could potentially be supported by those factual allegations. This is clear from Bacon, supra, at p. 99, where the court limited the duty to defend to cases where the "claim alleges a state of facts which, if proven, would fall within . . . coverage" (emphasis added). Similarly, in Nichols, supra, at p. 810, McLachlin J. cited with approval O'Sullivan J.A.'s direction to look at "the nature of the claim made".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84</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 note that this approach can assist the insured, and not just the insurer. For example, as the California Supreme Court noted in Gray, 419 P.2d 168 at p. 176,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complainant in the third party action drafts his complaint in the broadest terms; he may very well stretch the action which lies in only non-intentional conduct to the dramatic complaint that alleges intentional misconduct. In light of the likely overstatement of the complaint and of the plasticity of modern pleading, we should hardly designate the third party as the arbiter of the policy's coverage.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Conversely, a plaintiff may draft a statement of claim in a way that seeks to turn intention into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order to gain access to an insurer's deep pockets. See E. S. Pryor, "The Stories We Tell: Intentional Harm and the Quest for Insurance Funding" (1997), 75 Tex. L. Rev. 1721, at p. 1735. A court must therefore look beyond the labels used by the plaintiff, and determine the true nature of the claim pleaded. It is important to emphasize that at this stage a court must not attempt to determine the merit of any of the plaintiff's claims. Instead, it should simply determine whether, assuming the verity of all of the plaintiff's factual allegations, the pleadings could possibly support the plaintiff's legal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85</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Having construed the pleadings, there may be properly pleaded allegations of both intentional and non-intentional tort. When faced with this situation, a court construing an insurer's duty to defend must decide whether the harm allegedly inflicted by the negligent conduct is derivative of that caused by the intentional conduct. In this context, a claim for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will not be derivative if the underlying elements of the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and of the intentional tort are sufficiently disparate to render the two claims unrelated. If both the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and intentional tort claims arise from the same actions and cause the same harm, the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claim is derivative, and it will be subsumed into the intentional tort for the purposes of the exclusion clause analysis. If, on the other hand, neither claim is derivative, the claim of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will survive and the duty to defend will apply. Parenthetically, I note that the foregoing should not preclude a duty to defend simply because the plaintiff has pleaded in the alternative. As Pryor, "The Stories We Tell: Intentional Harm and the Quest for Insurance Funding", supra, points out at p. 1752, "[p]laintiffs must have the freedom to plead in the alternative, to develop alternative theories, and even to submit alternative theories to the jury". A claim should only be treated as "derivative", for the purposes of this analysis, if it is an ostensibly separate claim which nonetheless is clearly inseparable from a claim of intentional tort.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86</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reasons for this conclusion are twofold. First, as discussed above, one must always remember that insurance is presumed to cover only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not intentional injuries. Second, this approach will discourage manipulative pleadings by making it fruitless for plaintiffs to try to convert intentional torts into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or vice versa. While courts should not concern themselves with whether or not pleadings are designed to generate insurance coverage, following the guidelines set out above will provide insurers with sufficient protections against manipulative pleadings.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87</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These concepts may seem rather complicated in the abstract, but they are more straightforward to apply in practice. While this issue is relatively new to Canadian law, it has been extensively canvassed in the United States, where courts have denied insurance coverage for claims of negligent battery, negligent misrepresentation, negligent infliction of emotional distress, negligent interference with familial relations, and any other claim of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where it is derivative of an intentional sexual assault. For example, in Houg v. State Farm Fire and Casualty Co., 481 N.W.2d 393 (Minn. Ct. App. 1992), a parishioner sued a priest who had been counselling her for sexual assault. In addition to intentional sexual battery, the plaintiff alleged negligent counselling by the defendant.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whole of the Court agreed with those parts of Mr. Justice Iacobucci's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Buchanan v. GAN Canada Insurance Co. </w:t>
      </w:r>
      <w:hyperlink r:id="rId995" w:history="1">
        <w:r>
          <w:rPr>
            <w:rFonts w:ascii="arial" w:eastAsia="arial" w:hAnsi="arial" w:cs="arial"/>
            <w:i/>
            <w:color w:val="0077CC"/>
            <w:sz w:val="20"/>
            <w:u w:val="single"/>
            <w:shd w:val="clear" w:color="auto" w:fill="FFFFFF"/>
            <w:lang w:val="en-US" w:eastAsia="en-US" w:bidi="ar-SA"/>
          </w:rPr>
          <w:t>(2000), 50 O.R. (3d) 89</w:t>
        </w:r>
      </w:hyperlink>
      <w:r>
        <w:rPr>
          <w:rFonts w:ascii="arial" w:eastAsia="arial" w:hAnsi="arial" w:cs="arial"/>
          <w:color w:val="000000"/>
          <w:sz w:val="20"/>
          <w:lang w:val="en-US" w:eastAsia="en-US" w:bidi="ar-SA"/>
        </w:rPr>
        <w:t xml:space="preserve"> (O.C.A.), Mr. Justice MacPherson, writing for the Ontario Court of Appeal, concluded that a clause excluding coverage for deliberate acts applies where an insured committed a deliberate act that was the dominant cause of a plaintiff's injuries where injury was foreseeable, and that the fact that a deliberate act had more serious consequences than the insured might have intended was immaterial.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Duty to Defend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pleads that his personal injuries were caused by the negligent conduct of the petitioners. This pleading is based on allegations of fact that after the petitioners and others threatened the plaintiff with assault, the petitioners and the others instigated and participated in the assault that caused the plaintiff serious personal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 am of the opinion that notwithstanding the manner in which the plaintiff chose to categorize his claim, the whole of the plaintiff's claims against the petitioners sound in intentional tort, and not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plaintiff's use of the word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is not determinative of the nature of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has pleaded that the petitioners were negligent in failing to give the plaintiff warning that they and others meant to harm him. In my opinion, this pleading is derivative to the pleading of intentional tort. It is disingenuous to plead that the petitioners were negligent in failing to give warning that they intended to assault the plaintiff. In any event, the exclusion clause of the policy excludes claims based on failure to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my opinion, the exact same reasoning applies to the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by Mr. Semple against the petitioners in the amended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third party notice alleges that the petitioners and others "intended to attend at the Plaintiff's Premises and assault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It alleges that after the first incident, the petitioners and others were "negligent" in failing to contact the police or other persons of authority or neighbours of the plaintiff or other persons in the vicinity of the plaintiff's residence to give warning that they themselves and others intended to assault the plaintiff. Those are allegations derivative of intentional tort, or allegations of failure to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third party notice does plead that the petitioners, knowing of Mr. Jewell's propensity to commit acts of violence, carelessly participated in a group activity that they knew or ought to have known would cause the plaintiff harm. This pleading does not, by itself, plead facts that could impose liability upon the petitioners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non-intentional acts. Mr. Justice Iacobucci said at para. 82 of Scalera supra, "courts must take the factual allegations as pleaded, but then ask which of the plaintiff's legal claims could potentially be supported by those factual allegations". This pleading must be related to the facts that are pleaded. The facts pleaded in both the amended statement of claim and the third party notice are that the petitioners participated with others in an assault upon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Semple seeks contribution and indemnity from the petitioners. Those claims are based on the plaintiff's pleading of facts that the petitioners were participants in the assault, and on Mr. Semple's pleading of facts that the petitioners joined a group of others intending to assault the plaintiff, and that they went to the plaintiff's premises in order to assault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It must be clearly understood that with their statement of defence, the petitioners deny that they committed any acts that could render them liable to either the plaintiff or to Mr. Semple, either in intentional tort, or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petitioners deny that they were in a motor vehicle that was unlawfully racing around the neighbourhood and trespassing in the driveway where the plaintiff resided, and they deny that they were involved in the initial confrontation with the plaintiff. The petitioners say that they did intervene in the confrontation between the plaintiff and others, but that it was only in an effort to end the confrontation. They say that it was the plaintiff who then assaulted one of them, and that following that assault the defendant Mr. Jewell struck the plaintiff with a baseball bat. The petitioners deny that they prevented anybody from assisting the plaintiff. They deny that they had any knowledge of a plan to confront the plaintiff, and they deny that they encouraged or incited others to assault the plaintiff. They submit that the claims against them are groundless. They point out that the policy of insurance obligates the insured to defend them against groundless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However, as noted by Mr. Justice Iacobucci in Scalera, the duty to defend is not independent of the duty to indemnify. The duty to defend extends only to claims that could potentially trigger indemnity under the policy. In my opinion, the claims of the plaintiff and third party could not trigger liability under the policy of insurance. There could be no obligation to indemnify, whether the facts are as pleaded by the plaintiff or as pleaded by Mr. Semple. As noted by McLachlin J. (as she then was) in Nichols supra, the duty to defend arises only where the pleadings raise claims that would be payable under the agreement to indemnify.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my opinion, the claims brought against the petitioners by both the amended statement of claim and the amended third party notice are claims arising from bodily injury caused by intentional or criminal acts or the failure to act, and are claims for which insurance coverage is excluded by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petition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respondent is entitled to its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SHABBITS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7" style="position:absolute;z-index:2518968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96"/>
          <w:headerReference w:type="default" r:id="rId997"/>
          <w:footerReference w:type="even" r:id="rId998"/>
          <w:footerReference w:type="default" r:id="rId999"/>
          <w:headerReference w:type="first" r:id="rId1000"/>
          <w:footerReference w:type="first" r:id="rId100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02" w:history="1">
        <w:r>
          <w:rPr>
            <w:rFonts w:ascii="arial" w:eastAsia="arial" w:hAnsi="arial" w:cs="arial"/>
            <w:b/>
            <w:bCs/>
            <w:i/>
            <w:color w:val="0077CC"/>
            <w:kern w:val="32"/>
            <w:sz w:val="28"/>
            <w:szCs w:val="32"/>
            <w:u w:val="single"/>
            <w:shd w:val="clear" w:color="auto" w:fill="FFFFFF"/>
            <w:lang w:val="en-US" w:eastAsia="en-US" w:bidi="ar-SA"/>
          </w:rPr>
          <w:t>Anderson v. Minhas, [2011] B.C.J. No. 259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L.W. Bernard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26-30, August 4 and 5,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18,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M118919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259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203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268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198 A.C.W.S. (3d) 991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Patricia Elizabeth Anderson, also known as Patricia Elizabeth Harris, Plaintiff, and Nardip Minhas,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8"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1" w:name="Keywords_47"/>
      <w:bookmarkEnd w:id="311"/>
      <w:r>
        <w:rPr>
          <w:rFonts w:ascii="arial" w:eastAsia="arial" w:hAnsi="arial" w:cs="arial"/>
          <w:b/>
          <w:color w:val="000000"/>
          <w:sz w:val="20"/>
          <w:lang w:val="en-US" w:eastAsia="en-US" w:bidi="ar-SA"/>
        </w:rPr>
        <w:t>Damages — Physical and psychological injuries — Physical injuries — Body injuries — Neck — Whiplash — Fibromyalgia or chronic pain — Considerations impacting on award — Pre-existing injury — Credibility — Action by plaintiff for damages for injuries incurred in motor vehicle accident allowed in part — Plaintiff, age 29, was involved in rear-end collision with defendant — She contended that whiplash injuries evolved into fibromyalgia, resulting in significant disability — Plaintiff failed to prove causal link between accident and fibromyalgia — Plaintiff failed to state extent of pre-accident pain issues to her expert witnesses — Temporal link between collision and onset of fibromyalgia symptoms was inconsistent with causal link — Plaintiff awarded general damages of $6,000 and special damages of $120.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Duration of loss — Special damages — Non-pecuniary loss — Action by plaintiff for damages for injuries incurred in motor vehicle accident allowed in part — Plaintiff, age 29, was involved in rear-end collision with defendant — She contended that whiplash injuries evolved into fibromyalgia, resulting in significant disability — Plaintiff failed to prove causal link between accident and fibromyalgia — Plaintiff failed to state extent of pre-accident pain issues to her expert witnesses — Temporal link between collision and onset of fibromyalgia symptoms was inconsistent with causal link — Plaintiff awarded general damages of $6,000 and special damages of $120.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Application of principles — Action by plaintiff for damages for injuries incurred in motor vehicle accident allowed in part — Plaintiff, age 29, was involved in rear-end collision with defendant — She contended that whiplash injuries evolved into fibromyalgia, resulting in significant disability — Plaintiff failed to prove causal link between accident and fibromyalgia — Plaintiff failed to state extent of pre-accident pain issues to her expert witnesses — Temporal link between collision and onset of fibromyalgia symptoms was inconsistent with causal link — Plaintiff awarded general damages of $6,000 and special damages of $120.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2" w:name="Case Summary_44"/>
            <w:bookmarkEnd w:id="31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Anderson, against the defendant, Minhas, for damages to compensate for injuries suffered in a motor vehicle accident. In April 2007, the defendant's vehicle rear-ended the plaintiff's vehicle. The impact was described as minor. The defendant admitted liability for the collision. Prior to the accident, the plaintiff, age 29, had ongoing episodes of back, neck and chest pain. She worked at a dog grooming business, earning approximately $8,000 per year, and engaged in a variety of recreational activities. The plaintiff testified that the impact caused her chest to strike the steering wheel and her head to strike the headrest. She heard her neck crack and was dazed by the impact. She left work after a few hours to seek medical attention at a clinic and attended her family physician the following day. She attended physiotherapy and took medication, but her condition worsened throughout 2007. She developed lower back pain, leg pain, hand pain, pain and numbness in her face, and blurry vision. In 2008, she developed headaches. However, she did not report her symptoms to her physician until April 2008, because she believed they would resolve with time. The plaintiff was diagnosed with fibromyalgia in January 2009. The plaintiff claimed that her whiplash injuries evolved into fibromyalgia, resulting in a significant physical disability. The defendant submitted that the plaintiff failed to prove a sufficient causal link between the collision and fibromyalgia. Expert witnesses for the parties differed on the extent or existence of the causal link.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13" w:name="Holdings of Court_39"/>
            <w:bookmarkEnd w:id="313"/>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established that the collision caused some degree of whiplash injury or re-injury that caused ongoing symptoms for six weeks. Inconsistencies with the plaintiff's evidence regarding her pre-accident health were overcome by consistencies in the medical evidence. The plaintiff established that she had fibromyalgia, but failed to establish that her condition was caused by the collision with the defendant. The plaintiff's expert evidence did not sufficiently address the cause of her condition. To the extent that a causal link was stated in the plaintiff's expert evidence, it was undermined by the plaintiff's failure to accurately report her medical history to the expert. In addition, the plaintiff's development of fibromyalgia was not within six months of the collision as was typically the case where trauma was the suspected cause. The conclusion regarding causation was further buttressed by evidence that the plaintiff's symptoms had resolved within two months and the significant hiatus in her doctor visits during a critical post-collision period. The plaintiff was awarded general damages of $6,000 and special damages of $120. Her remaining claims were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4" w:name="Counsel_46"/>
      <w:bookmarkEnd w:id="31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9"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 Gandham and A.H. Mohamedali.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B.D. Home.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5" w:name="Judgment_47"/>
      <w:bookmarkEnd w:id="315"/>
      <w:r>
        <w:pict>
          <v:line id="_x0000_s1260" style="position:absolute;z-index:2518097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6" w:name="L.W. BERNARD J."/>
            <w:bookmarkEnd w:id="316"/>
            <w:r>
              <w:rPr>
                <w:rFonts w:ascii="arial" w:eastAsia="arial" w:hAnsi="arial" w:cs="arial"/>
                <w:b/>
                <w:color w:val="000000"/>
                <w:sz w:val="30"/>
                <w:lang w:val="en-US" w:eastAsia="en-US" w:bidi="ar-SA"/>
              </w:rPr>
              <w:t>L.W. BERNARD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April 24, 2007, the parties were involved in a low-impact motor vehicle collision; the defendant "rear-ended" the plaintiff. He has admitted his liability for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principal issues in dispute relate to the extent of the personal injuries caused by the defendant. The plaintiff claims that she sustained whiplash injuries which evolved into fibromyalgia: the debilitating condition which is the foundation for her significant damages claim. The essence of the defendant's position is that the plaintiff has failed to prove the necessary causal link between the collision and fibromyalgia.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 Evidentiary Synopsis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collision occurred at approximately 8:00 a.m., at the intersection of 88th Avenue and Fraser Highway, in Surrey, B.C. The parties were the sole occupants of their respective vehicles. The plaintiff, Ms Anderson, was turning right onto Fraser Highway from 88th Avenue when her vehicle, a Toyota Forerunner, was struck from behind by the defendant's vehicle, a Honda Civic. Ms Anderson and the defendant, Mr. Minhas, were travelling the same route and, just prior to the collision, Mr. Minhas had stopped behind Ms Anderson, to wait for her to move forward and merge onto Fraser Highway. As Ms Anderson began to merge, Mr. Minhas followed; however, Ms Anderson braked unexpectedly and the Civic's front bumper struck the trailer hitch of the Forerunner.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Minhas estimated that he had moved forward approximately ten feet from a stationary position when his vehicle struck the Forerunner. He described the impact as minor; one which did not cause the Forerunner to be pushed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After the collision the parties drove into a nearby parking lot to inspect for damage and to exchange information. It was noted that the impact caused no damage to the Forerunner and that the Civic sustained a small circular indentation to its front bumper, where it came into contact with the protruding metal ball of the trailer hitch. During the information exchange Ms Anderson held her neck but made no verbal complaints. Mr. Minhas sustained no personal injuries. Both parties continued on to their respective workplaces after the short encounter.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Anderson testified that, at the time of the collision, she was looking over her shoulder. She said that the impact forced her body forward and back, during which her chest struck the steering wheel and her head struck the headrest "hard". She said that she felt and heard her neck "crack". She said that the force of the impact caused her cigarettes and cell-phone to fly out of the centre console. She said she was immediately rendered "very dazed and confused". When questioned about whether she lost consciousness she said that she could not say with certainty that she did not; however, she recalled driving to the nearby parking lot at the suggestion of Mr. Minhas.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Minhas testified that the plaintiff did not appear dazed or confused during the information exchange.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Anderson's husband, Shane Anderson, testified that he spoke to Ms Anderson shortly after the collision. He said that she informed him that she thought she lost consciousness in the collision, and that her neck had cracked.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Collision Aftermath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After the collision, Ms Anderson drove to the pet grooming shop where she worked as a casual employee. She carried out her duties in the morning, but she left work mid-afternoon to attend a nearby medical clinic because her neck and upper back were sore and she felt disoriented and shaken. She saw a clinic physician but nothing was prescribed for her. The next day she attended to her family physician, Dr. Dang, and she complained to him of having a sore back and neck. Dr. Dang recommended that Ms Anderson relax for a few days, take physiotherapy, and use muscle-relaxant and anti-inflammatory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Anderson followed Dr. Dang's advice but testified that throughout the balance of 2007 and beyond, she "got worse"; developing lower back pain, leg pain, hand pain, foot pain and numbness, pressure and pain on the left side of her face, blurry vision, headaches, and generalized pain throughout her body. She claims that most of these symptoms have not subsided and that she is now significantly physically disabled by the effects of fibromyalgia. More specifically, Ms Anderson said that within two weeks of the collision she was suffering from leg pains; that within a month she was suffering lower back pain; that during and after her physiotherapy treatments she suffered hand pain; that she suffered pain and tingling down her legs and into her feet within two months of the collision; that her health started to go "dramatically downhill" in the fall of 2007; and, that her headaches began approximately one year after the collision. She said that she did not report these pains to her doctor until April 2008 because she thought and understood she would recover merely with the passage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Anderson has had little success with various prescribed medicines to treat her symptoms. At present she claims to find some relief from vitamin B12 injections.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Post-collision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Sanjeev Bodwal</w:t>
      </w:r>
      <w:r>
        <w:rPr>
          <w:rFonts w:ascii="arial" w:eastAsia="arial" w:hAnsi="arial" w:cs="arial"/>
          <w:color w:val="000000"/>
          <w:sz w:val="20"/>
          <w:lang w:val="en-US" w:eastAsia="en-US" w:bidi="ar-SA"/>
        </w:rPr>
        <w:t xml:space="preserve"> is a physiotherapist who saw Ms Anderson on May 7, 2007 (approximately two weeks after the collision). On this date Ms Anderson complained of pain in her neck and mid-back. She reported that she was a self-employed dog-groomer who had worked "on and off since the collision, depending on her pain level". She said that she was also suffering from sleep disturbance, acid reflux, and an ulcer. He said that she described having "a chronic lumbar spine problem since the age of 12 or 13" and chronic pain in her left spine. (Ms Anderson denied that she told Mr. Bodwal that she had a chronic back problem since the age of 13. She said that she was simply relating what "a lady" had said to her when she was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Anderson saw Mr. Bodwal for ten sessions, which ended on June 8, 2007. Ms Anderson progressed through these sessions as follows: on May 7 she reported pain with all neck movements; on May 16 she reported that her neck "felt good"; on May 18 she reported that she had "minimal" pain in her neck, but still suffered with pain in her back; on May 22 Mr. Bodwal noted 90% improvement in the cervical spine and 60% improvement in the thoracic spine; and, on May 24 Ms Anderson had no complaints. On June 8 Mr. Bodwal noted that Ms Anderson's pain was "back to pre-MVA levels" but that she continued to have "chronic spinal problems since childhood". Physiotherapy concluded and Mr. Bodwal recommended core-strength training and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cross-examination, Mr. Bodwal agreed that while relapse was possible "usually patients stay better once they are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Norman Dang</w:t>
      </w:r>
      <w:r>
        <w:rPr>
          <w:rFonts w:ascii="arial" w:eastAsia="arial" w:hAnsi="arial" w:cs="arial"/>
          <w:color w:val="000000"/>
          <w:sz w:val="20"/>
          <w:lang w:val="en-US" w:eastAsia="en-US" w:bidi="ar-SA"/>
        </w:rPr>
        <w:t xml:space="preserve"> is Ms Anderson's family physician. He examined Ms Anderson on April 25, 2007, one day after the collision. Ms Anderson complained of neck pain radiating to her mid-back. Dr. Dang diagnosed neck and back strain, prescribed medication and recommended physiotherapy. Dr. Dang saw Ms Anderson, again, on April 30, May 14, July 13 and July 27, 2007. In this period Ms Anderson reported abdominal pain, bilateral leg cramps, and calf pain, but Dr. Dang attributed only her neck and back complaints to the collision. For example, on July 27 he believed her complaints of leg pains and cramps were related to work. He noted: "She indicated that she was working a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Dang next saw Ms Anderson about various physical pains and complaints (other than gastroesophegeal reflux disease, ("GERD")) on April 24, 2008 (one year after the collision). At this visit she reported neck, mid-back, and lower back pain, hand stiffness, weak legs, and a lack of energy. On April 30, 2008, she complained of bilateral dysesthesia ("like being stung by a bee") in her gluteal and anterior-to-posterior legs. A CT scan of her lumbar spine showed a small disc protrusion and minimal disc bulge.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By July 9, 2008, Ms Anderson was complaining to Dr. Dang of suffering from hot flashes, neck and upper back pain, right forearm throbbing pain, and low energy. In September 2008 Ms Anderson reported swollen hands, bilateral blurry vision and headaches, difficulty in standing for more than five minutes, increased pain all over her legs, back and arms, and "worsening mental slowness with reduced memory and concentration". In December 2008 Ms Anderson reported left-side facial discomfort and a burning left eye. Ms Anderson was referred to a neurologist, an ophthalmologist, and a rheumatologist.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cross-examination, Dr. Dang said that he was quite certain that Ms Anderson did not, until July 2008, inform him that her head and neck cracked in the collision. This information that caused him to order an MRI, which he did not do until July 2008. Of Ms Anderson's myriad complaints Dr. Dang attributed only her neck and upper back pains to the collision "because they were not there in a persistent way prior to the motor vehicle accident". He added that this diagnosis pertained to a 1.5 month period immediately post-collision; more specifically, he said "I can't, based on the physiotherapist's report, attribute these pains to the motor vehicle accident after that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Alan Yorke</w:t>
      </w:r>
      <w:r>
        <w:rPr>
          <w:rFonts w:ascii="arial" w:eastAsia="arial" w:hAnsi="arial" w:cs="arial"/>
          <w:color w:val="000000"/>
          <w:sz w:val="20"/>
          <w:lang w:val="en-US" w:eastAsia="en-US" w:bidi="ar-SA"/>
        </w:rPr>
        <w:t xml:space="preserve"> is a rheumatologist who examined Ms Anderson in January 2009. Dr. Yorke was the first to diagnose Ms Anderson with fibromyalgia. On examination he found Ms Anderson to have full and pain-free range of motion in her neck, with some increased pain at the suprascapular area; however, he also found positive pain responses to 12 pressure points - enough to support a fibromyalgia diagnosis. He noted that Ms Anderson's history of "atypical chest pain", GERD, and L4-5 disc protrusion was "most useful". He said that lack of restful sleep may compound a motor vehicle accident injury and lead to fibromyalgia. Dr. Yorke noted that Ms Anderson did not suffer from rheumatoid arthritis. He recommended a medication called Tradozone to help Ms Anderson sleep. When Ms Anderson said she did not wish to take this drug, Chamomile tea and over-the-counter sleep aids were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cross-examination, Dr. Yorke agreed that he examined Ms Anderson only once; that the examination took 30 minutes; and, that it was not "a detailed medical assessment". He agreed that his report was incorrect when it stated that Ms Anderson was "well" before the collision; in this regard he said "the records show that this was not the case". He agreed that the records revealed similar neck and upper back pains prior to the collision, and he opined that the disc protrusion could have been the cause of Ms Anderson's pre-accident back pain, because if it had been caused by the collision then he would have expected immediate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relation to the medical condition known as fibromyalgia, Dr. Yorke stated: that the medical community does not know what causes it, but noted that some common triggers are sleep deprivation, psycho-social stress, and physical trauma; that the symptoms are musculoskeletal pains in the four quarters of the body which are not otherwise explained; that fibromyalgia often develops slowly after an event because of continued sleep disruption; and that whiplash causes internal swelling of muscles which may result in sleep deprivation.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relation to a causal link between the collision and Ms Anderson's fibromyalgia, Dr. Yorke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can't say that the fibromyalgia was from the MVA, or that Ms Anderson's symptoms in the fall are from the MVA - a firm diagnosis was not made until January 2009. It is a reasonable expectation that fibromyalgia symptoms will arise within six months [if the MVA is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Rhonda Shuckett</w:t>
      </w:r>
      <w:r>
        <w:rPr>
          <w:rFonts w:ascii="arial" w:eastAsia="arial" w:hAnsi="arial" w:cs="arial"/>
          <w:color w:val="000000"/>
          <w:sz w:val="20"/>
          <w:lang w:val="en-US" w:eastAsia="en-US" w:bidi="ar-SA"/>
        </w:rPr>
        <w:t xml:space="preserve"> is a rheumatologist who examined Ms Anderson on May 24, 2010. She diagnosed Ms Anderson with fibromyalgia. Dr. Shuckett found that Ms Anderson had "sleep challenges" and a positive pain response in 16 fibromyalgia tenderness points. She said it was her experience that it was not unusual for patients to evolve into fibromyalgia after a motor vehicle accident trauma; more precisely, she said "patients descend into fibromyalgia from deconditioning and lack of sleep in the aftermath".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addition to fibromyalgia, Dr. Shuckett also diagnosed (1) neck and upper back injury; (2) cervicogenic headaches; (3) bilateral shoulder tendonitis; and (4) mechanical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for a causal link between the collision and Ms Anderson's diagnoses, Dr. Shuckett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Her diagnoses are the types of diagnoses that can be linked to a motor vehicle accident. Her symptoms came on soon after the subject MVA. It must be recognized that she had a L shoulder/shoulder girdle problem with pain taking her off work before the subject MVA. She was not working leading to the subject MVA although she says her L shoulder girdle symptoms had regressed shortly before the subject MVA. Her L shoulder girdle symptoms would have rendered her more susceptible to L neck and shoulder girdle pain following the subject MVA. It should be noted that she underwent a neck Xray March 30, 2007 some month before the subject MVA so it seems her doctor was wanting to r/o neck changes on Xray (which was normal); the L trapezius pain could have been referred from the neck. She had a remote "whiplash" while play fighting with a friend but this was about 8 years [later]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[ago] and I do not implicate this old injury in her post MVA symptoms. She says her low back was sensitive to pressure by touch before the subject MVA and she did have a low back Xray the day before the subject MVA which makes one wonder if she had some low back symptoms at that time. She says she just wondered about her back and requested an Xray because at age 13 she was told her back would collapse on her. Her low back Xray and sacroiliac joints were said to be normal the day before the subject MVA.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that the subject MVA materially contributed to all her diagnoses although I will discuss fibromyalgia separately below. Her diagnoses are the sorts of conditions that can occur in the aftermath of an MVA. However, I believe that there were predisposing symptoms which rendered her more susceptible to effects of the MVA, namely her L shoulder girdle and shoulder symptoms that had her off work and some pre existing low back tenderness which she reports to me. The current conditions are, I feel, materially contributed to by the subject MVA as well as pre MVA factors.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was tried on anti depressants after the MVA and I cannot rule out psychosocial issues contributing to her pain and particularly her fibromyalgia syndrome. Psychosocial factors are not unusual in patients with chronic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Fibromyalgia post traumatic injury is a debated topic. There are a number of published papers in the medical literature which support a relationship between injury and fibromyalgia syndrome. However there are some which counter this association. In my extensive experience dealing with fibromyalgia I find it not unusual for it to emerge in the aftermath of an injury. Theories of what co-factors may underlie evolution to fibromyalgia syndrome post injury include regional areas of pain leading to pain referral, sleep disturbance, deconditioning and psychosocial issues; I believe all of these issues are factors in her. Thus, I believe the MVA significantly materially contributed to her fibromyalgia syndrome although some pre MVA factors such as her pre MVA pains may have been operative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cross-examination, Dr. Shuckett agreed that a patient's history - specifically, the accuracy of any pre-existing symptoms - is key to the validity of a diagnosis. In this vein, Dr. Shuckett agreed: that Ms Anderson did not inform her that she suffered from neck pain prior to the collision; that Ms Anderson did not inform her that she had attended to an emergency ward for leg pains within a month prior to the collision; that despite learning from Ms Anderson that she had been informed, at age 13, that her spine would eventually collapse, Dr. Shuckett made no further inquiries because Ms Anderson said she was not suffering from back pain; that a physiotherapist's comment indicating that Ms Anderson had returned to pre-accident pain levels as of June 8, 2007, was noteworthy (albeit not noted) and contrary to Ms Anderson's claim that she had experienced no post-accident improvement; and, that an 11-month gap in visits to Dr. Dang was noteworthy ("one would like to see more continuity").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Shuckett said that she did not review Ms Anderson's medical records until after the examination, in Ms Anderson's absence (as is her practice with all patients); accordingly, she had no opportunity to question Ms Anderson about any inconsistent or additional information provided. She did not elect to contact Ms Anderson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Notwithstanding the foregoing, Dr. Shuckett defended her opinion regarding causation, with the following comments scattered throughout her cross-examination: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Having read these comments and Dr. Telfer's report, I say that [Ms Anderson] had some chronic problems which could have put her at greater risk; however, I still believe that the MVA materially contributed to the fibromyalgia. Material contribution simply means it played some potential role. It is true that I do not know what caused the fibromyalgia. I can't say with certainty that the MVA played a role in the symptoms which developed in 2008. The injury may have placed her at greater risk; but, it is multi-factorial. It is challenging to ascertain possibility vs. probability. I believe the MVA has materially contributed; but, fibromyalgia can happen spontaneously. I can't say it is the sole causing factor. Stress can be a significant contributing factor. Poor sleep, alone, can bring it on. Psycho-social stressors can play a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relation to the biomechanics of the collision, Dr. Shuckett stated that she was unable to say anything about the nature and effect of the impact upon Ms Anderson because she was not a biomechanical engineer; nonetheless, she testified that all aspects of the collision were germane to her assessment and opinion (hence, the full documentation of such in her report). When questioned about the relevance of the circumstances of the collision to her causation opinion, she was unable to articulate a helpful response. She conceded that most persons in low-impact "rear-ender" collisions do not develop fibromyalgia in the aftermath.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Pre-collision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Anderson testified that prior to the collision she suffered from the common "everyday aches and pains" caused by daily activities. She added that she had a specific problem with her left shoulder which made it difficult for her to hold dogs while she groomed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Hospital records showed that on March 21, 2007, Ms Anderson attended to the emergency ward of the Langley Memorial Hospital for pains in her right calf. In cross-examination about this visit, Ms Anderson said she could not recall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Medical records showed that on April 23, 2007 (one day prior to the collision), Ms Anderson sought medical advice about her back and what effect it might have on bearing children, as she was contemplating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Norman Dang</w:t>
      </w:r>
      <w:r>
        <w:rPr>
          <w:rFonts w:ascii="arial" w:eastAsia="arial" w:hAnsi="arial" w:cs="arial"/>
          <w:color w:val="000000"/>
          <w:sz w:val="20"/>
          <w:lang w:val="en-US" w:eastAsia="en-US" w:bidi="ar-SA"/>
        </w:rPr>
        <w:t xml:space="preserve"> summarized Ms Anderson's pre-collision health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 to this MVA, Ms Anderson had past episodes of neck, back, and chest pain. She complained of her shoulder feeling loose and grinding during her September 18, 2006 office visit. She mentioned that she had a previous whiplash type injury from horseplay several years prior and she had been tight in the upper trapezius since but she had no persisting neck pain. One day prior to her MVA she was reviewed, concerning her shoulder assessment, by Dr. Tim King, sports medicine. She noted her pain in her legs and recurrent leg swelling. She was tender in her lower thoracic and upper lumbar spine area. XR lumbar spine was ordered on that visit.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She had various neck and shoulder musculoskeletal complaints prior to the MVA, and she had a small L4-5 disc protrusion, documented on CT May 27,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cross-examination, Dr. Dang agreed that Ms Anderson suffered from "ongoing chest-wall pain" prior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Charles Telfer</w:t>
      </w:r>
      <w:r>
        <w:rPr>
          <w:rFonts w:ascii="arial" w:eastAsia="arial" w:hAnsi="arial" w:cs="arial"/>
          <w:color w:val="000000"/>
          <w:sz w:val="20"/>
          <w:lang w:val="en-US" w:eastAsia="en-US" w:bidi="ar-SA"/>
        </w:rPr>
        <w:t xml:space="preserve"> is an orthopaedic surgeon who saw Ms Anderson on March 30, 2007 (approximately three weeks prior to the collision), about a complaint of "pain in her neck going into her left scapular shoulder" for the past four years. He reported that Ms Anderson said that she was having ongoing trouble with discomfort in the base of her neck, bilaterally, but predominately to the left, radiating in towards the scapula and upper arm, without distal radiation, numbness, tingling, or other neurological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Upon examination, Dr. Telfer concluded that Ms Anderson did not have any shoulder pathology and he specifically ruled out bursitis; rather, he opined that she likely suffered from soft-tissue discomfort and cervical spine-related discomfort. He noted more pain symptoms to the left side of the neck than to the right, radiating to the scapula. He found mild decreased range of motion in her neck and a little tenderness in her trapezius.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Telfer believed that Ms Anderson was wrongly describing her pain as emanating from the shoulder; he noted "she was pointing to the side of her neck, not her shoulder". He said that Ms Anderson attributed the neck injury to a "rough-housing" incident during which her head snapped back in a whiplash-type of mechanism: "She immediately developed lots of muscle spasm on both sides of her neck into her shoulder areas and since that time has had ongoing trouble."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Anderson reported to Dr. Telfer that she had quit her dog-grooming job because of her pain; however, Dr. Telfer found no physiological reason for Ms Anderson not working. He said that she could manage her mild soft-tissue discomfort with over-the-counter medications, stretching, and strengthening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cross-examination, Dr. Telfer agreed that Ms Anderson was probably more susceptible to a neck injury because of her prior neck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Natalie Wade</w:t>
      </w:r>
      <w:r>
        <w:rPr>
          <w:rFonts w:ascii="arial" w:eastAsia="arial" w:hAnsi="arial" w:cs="arial"/>
          <w:color w:val="000000"/>
          <w:sz w:val="20"/>
          <w:lang w:val="en-US" w:eastAsia="en-US" w:bidi="ar-SA"/>
        </w:rPr>
        <w:t xml:space="preserve"> is a registered massage therapist who first saw Ms Anderson on December 15, 2006. On this date Ms Anderson reported the following: (1) "can't carry a purse"; (2) "hard time breathing"; (3) "uses anti-inflammatory gel/cream"; (4) "pain travels from left neck to left back"; (5) "whiplash three-to-four years ago"; (6) "neck-brace as a child"; and, (7) "bursitis". Ms Wade performed six massage treatments upon Ms Anderson, ending on January 4, 2007. During these treatments Ms Wade said that she felt neck tenderness in Ms Anderson, noted that her pelvis was in paradox (the two sides going in opposite directions), observed that Ms Anderson's right hip protruded more than the left hip, and believed that she had spondylolysis (one vertebra more inward than the others, causing ligamental strain around it) at T12 of her spine. In her December 30 treatment session, Ms Anderson reported incidents of lost vision, dizziness, and difficulty in breathing.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Sanjeev Bodwal</w:t>
      </w:r>
      <w:r>
        <w:rPr>
          <w:rFonts w:ascii="arial" w:eastAsia="arial" w:hAnsi="arial" w:cs="arial"/>
          <w:color w:val="000000"/>
          <w:sz w:val="20"/>
          <w:lang w:val="en-US" w:eastAsia="en-US" w:bidi="ar-SA"/>
        </w:rPr>
        <w:t>, physiotherapist, first treated Ms Anderson on September 25, 2006 (seven months prior to the collision). On this date Ms Anderson sought treatment for "pain and grinding in the left shoulder". She reported that she was "off work, currently"; that she had suffered from chest pain since the age of 12; and, that she had, at some time in the past, torn the left-side neck muscles while playing.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Bodwal's first observations were that Ms Anderson's left shoulder blade was elevated and her head was forward. He found full range of motion in the neck, but pain in flexion, abduction, and extension.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Anderson had eight therapy sessions with Mr. Bodwal, ending on October 25, 2006. At the September 28 session, Ms Anderson complained of pain behind one of her eyes, in addition to left-side neck pain. On October 20 she complained of "pinching" in the left upper back, and on October 25 she reported "limited participation in normal activities" and experiencing a "popping/rubbing" feeling.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Personal History; Employment and Leisure Pursuits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Anderson is 29 years of age. She married Shane Anderson in November 2007, about six months after the collision. She and her husband reside in Surrey, B.C. Ms Anderson is the step-mother to her husband's two teenage children. In December 2007, Mr. Anderson injured his back and now collects a disability 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Anderson left high school before completing grade 11. Her primary gainful employment (albeit casual and part-time) has been as a pet groomer. In 2004 she earned $7,976; in 2005 she earned $7,609; and, in 2006 she earned $136. In explanation for her very low income in 2006, Ms Anderson said she was a self-employed pet groomer, but "barely did anything" work-wise,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Anderson testified that she has, since the date of the collision, been unable to work as a pet groomer; more precisely, she said "I don't have the strength to lift and hold a dog." When she was questioned about a job resume (prepared in 2009) which claimed that she worked at Langley Dog Grooming in the years 2006-2008, Ms Anderson explained that this was a "typo" - that it should have read "2004-2005". (The resume also stated that Ms Anderson completed grade 11; an admitted falsehood.)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Vicki Danaz</w:t>
      </w:r>
      <w:r>
        <w:rPr>
          <w:rFonts w:ascii="arial" w:eastAsia="arial" w:hAnsi="arial" w:cs="arial"/>
          <w:color w:val="000000"/>
          <w:sz w:val="20"/>
          <w:lang w:val="en-US" w:eastAsia="en-US" w:bidi="ar-SA"/>
        </w:rPr>
        <w:t xml:space="preserve"> owned Langley Dog Grooming in 2007. She was Ms Anderson's employer at the time of the collision. She testified that Ms Anderson was a casual worker who was paid mostly in cash. She recalled Ms Anderson working on the day of the collision. In relation to the employment period prior to the collision, Ms Danaz said that Ms Anderson complained about back, neck and shoulder pains, and that these complaints persisted in the post-collision period. Ms Danaz testified that Ms Anderson continued to work for her throughout 2007, as a casual employee doing pet grooming. She recalled that Ms Anderson quit in early January 2008 because she was contemplating pregnancy and wanted employment which would entitle her to maternity leave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Trina Harris</w:t>
      </w:r>
      <w:r>
        <w:rPr>
          <w:rFonts w:ascii="arial" w:eastAsia="arial" w:hAnsi="arial" w:cs="arial"/>
          <w:color w:val="000000"/>
          <w:sz w:val="20"/>
          <w:lang w:val="en-US" w:eastAsia="en-US" w:bidi="ar-SA"/>
        </w:rPr>
        <w:t xml:space="preserve"> is Vicki Danaz's adult daughter (and Ms Anderson's sister-in-law). In 2007 Ms Harris worked at Waggin' Tails, a pet grooming salon owned by Ms Danaz's then husband. Ms Harris testified that Ms Anderson worked throughout 2007 as a casual employee at both Waggin' Tails and Langley Pet Grooming. She estimated that Ms Anderson worked a total of 20-30 hours per week "fairly consistently" throughout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Harris recalled Ms Anderson on the day of the collision: she said "she was a little shaken up, spoke to ICBC, and left about 2:30 p.m." She testified that Ms Anderson continued to work for both pet grooming salons throughout the remainder of 2007. Her recollection was that Ms Anderson "took the summer off" and returned to work in September. She specifically recalled that she attended Ms Anderson's wedding in November 2007, that Ms Anderson worked during the busy 2007 Christmas season; and, that Ms Anderson quit in early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Harris said that Ms Anderson's post-collision work complaints were no greater than those prior to the collision, when she often complained of a sore back, neck, and wrist, and of having pneumonia. Ms Harris did not observe Ms Anderson having greater difficulty performing her job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cross-examination, Ms Harris agreed that she and Ms Anderson "got into a fight" when Ms Anderson quit; however, she asserted that her evidence was truthful, that she had no interest in the outcome of the trial, and that she was upset when she learned that she might have to testify against her sister-in-law.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late 2009 Ms Anderson was briefly employed as a dog groomer at Ildy's Dog Grooming Spa; however, Ms Anderson testified that she quit this job within a month because of her pains: she said "I was going home everyday crying, and cried on the way to work every morning." Ms Anderson's employer, Ildyko Novak, testified that Ms Anderson was "always sick with respiratory problems" but did not complain about pains.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Prior to the collision Ms Anderson enjoyed "ATV-ing" with friends, camping, "4x4-ing", hiking, swimming, playing with her step-children, and going on long walks with her husband. Since the collision she has been unable to participate in most of these activities and her aches and pains have strained her personal relationships. Ms Anderson's husband corroborated her testimony in relation to post-collision pain, the inability to participate in activities and household chores, and the negative impact the collision has had on their marital relationship. Mr. Anderson testified that he bought his wife a motorcycle in 2009 in an attempt to re-introduce some fun into her life and distract her from her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Ms Anderson is enrolled in a training course to qualify her as a Resident Care Attendant: an occupation in which one works with persons needing,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considerable physical assistance. Ms Anderson confirmed that she was aware of the physical demands of this job when she chose it as a new career. When questioned about why she would do so she said: "I know it requires transferring patients from toilets to beds, etc., but I don't know I can't do it until I try it." Shane Anderson testified that when he discussed his wife's future job options, no consideration was given to ones less physically demanding than care attendant to the infirm.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Shuckett expressed reservations about whether Ms Anderson's fibromyalgia symptoms would regress in the future, given her view that they have endured for three years. She commented that vitamin B12 injections presently favoured by Ms Anderson are not a "well evidenced" form of treatment; however, she noted that Ms Anderson seems to find some relief with them. She thought Ms Anderson would have to "pace herself" in the future. She professed to be unaware of the job description of a care aide; however, she thought that assisting in the physical transfer of patients from one spot to another "would likely be challenging for [Ms Anderson]". She added: "I cannot predict whether or not she will do full time work successfully in her chosen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 Findings and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Whiplash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defendant has not suggested that Ms Anderson has fabricated a whiplash injury,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Notwithstanding that Ms Anderson is an admittedly poor historian, and that the impact from the collision was relatively minor, I am satisfied the plaintiff has proved she sustained some degree of whiplash injury, or re-injury, when the defendant's vehicle collided with hers. Whiplash injuries are a relatively common consequence of a "rear-ender" collision, and Ms Anderson's complaints and actions, proximate to the collision, are consistent with having such an injury; in particular, she held her neck at the scene of the collision, she sought immediate medical attention, she made complaints consistent with a whiplash injury, she was diagnosed with neck and back strain in the immediate aftermath of the collision; and she underwent physiotherapy for whiplash.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am also satisfied that the plaintiff has proved that she suffered the effects of her whiplash injury until, at least, June 8, 2007. There is no real dispute in this regard. In this six-week post-collision period, Ms Anderson attended ten physiotherapy sessions. Mr. Bodwal, the physiotherapist who treated Ms Anderson reported that Ms Anderson responded to treatment for whiplash.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period following June 8, 2007, is much more troublesome in relation to proof by the plaintiff that she continued to suffer whiplash symptoms or other ailments caused by the collision. In this regard, it is (a) the state of the plaintiff's pre-collision health and (b) the inconsistencies between the plaintiff's testimony and other evidence which loom large.</w:t>
      </w:r>
      <w:r>
        <w:rPr>
          <w:rFonts w:ascii="arial" w:eastAsia="arial" w:hAnsi="arial" w:cs="arial"/>
          <w:sz w:val="20"/>
          <w:lang w:val="en-US" w:eastAsia="en-US" w:bidi="ar-SA"/>
        </w:rPr>
        <w:cr/>
      </w:r>
    </w:p>
    <w:p>
      <w:pPr>
        <w:numPr>
          <w:numId w:val="1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Pre-collision health</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establishes that Ms Anderson had many health complaints prior to the collision; moreover, in the pre-collision period proximate to the collision, she had experienced physical pains and symptoms well beyond the "everyday aches and pains" to which she admitted.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April 23, 2007 (one day prior to the collision), Ms Anderson attended to Dr. Dang about her shoulder and back. On this visit Ms Anderson was sufficiently concerned about her back that she asked if it might be an issue during a pregnancy. At this visit she complained of pain in her legs and recurrent leg swelling. Dr. Dang found that Ms Anderson was "tender in her lower thoracic and upper lumbar spine area" and he ordered an X-ray of her lumbar spine. Shortly prior to this doctor visit, Ms Anderson had twice (Feb. 13 and March 21, 2007) sought treatment at emergency wards; the latter for complaints of pain in her right calf.</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30, 2007 (25 days prior to the collision), Ms Anderson saw Dr. Telfer about ongoing neck, trapezium, and upper back pain; symptoms she attributed to a rough-housing incident, four years earlier, in which she injured her neck.</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December 15, 2006 (approximately four months prior to the collision), Ms Anderson reported various health problems and complaints to her massage therapist: "can't carry a purse", "trouble breathing", "pain traveling from left neck to left back" and "bursitis". As she had done with other health professionals, Ms Anderson indicated a history of whiplash and childhood back problems. At her December 30, 2006 treatment, Ms Anderson reported incidents of lost vision, dizziness, and difficulty in breathing. Ms Wade, the treating massage therapist, noted that Ms Anderson's pelvis was in paradox, her right hip protruded, and she had spondylolysis in her back.</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September and October 2006 physiotherapy sessions, Ms Anderson complained of left-side neck pain, pinching in her left upper back, pain behind one of her eyes, a "popping/rubbing feeling", and limitations on participating in normal activities. She reported that she had suffered chest pain since the age of 12 and had torn her neck muscles in a rough-housing incident [about four years earlier]. Mr. Bodwal, the treating physiotherapist, noted that Ms Anderson's left shoulder and shoulder blade were elevated and that her head was forward. He found neck pain with flexion, abduction, and extension.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Anderson also reported aspects of her pre-collision health to Mr. Bodwal when he treated her, again, in the post-collision period. On May 7, 2007, Ms Anderson reported a pre-collision health history which included acid reflux, a stomach ulcer, and chronic lumbar spine problems and pain since the age of 12.</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Inconsistencies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Anderson testified that her symptoms worsened, rather than improved, during the course of her physiotherapy. This was contrary to the testimony of the physiotherapist. In the immediate post-collision period Ms Anderson said she developed lower back, leg, and hand pain but did not mention it because she thought "it was part of getting better". Mr. Bodwal testified that Ms Anderson responded positively to therapy and that she had, by June 8, recovered to her pre-collision state. When questioned about Mr. Bodwal's records, Ms Anderson did not deny that she had told Mr. Bodwal that she was "significantly better"; rather, she said that it was not true - that she said it because she "wanted the pain to stop". She was unable to explain how misleading the physiotherapist about her recovery would have helped stop her pain.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Anderson testified that since the collision she has been unable to work. This is contrary to the testimony of Ms Danaz and Ms Harris who said that Ms Anderson worked as a pet groomer for Langley Dog Grooming and Waggin' Tails throughout 2007. It was also contrary to the notations of Mr. Bodwal, Dr. Dang, and a physician named Marcia Prest in clinical visits in the 2007 post-collision period of 2007. In relation to the doctors' notes Ms Anderson explained that each must have misunderstood her. Finally, Ms Anderson's own work resume reported that she worked at Langley Dog Grooming from 2006 to 2008, and her explanation that both dates were typographical errors was less than convincing.</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Ms Anderson's first visit to Dr. Dang after the collision, Dr. Dang made note of the collision circumstances as related by Ms Anderson. In relation to the impact he noted that she was rear-ended; that her head struck the headrest; and that there was no loss of consciousness. At trial Ms Anderson testified to a much more dramatic event; one in which her chest struck the steering wheel, her head struck the headrest "hard"; her head and neck cracked, and she may have lost consciousness. Dr. Dang testified that Ms Anderson first advised him that she experienced a cracking sensation in her head and neck one year after the collision. Ms Anderson agreed that she did not "mention" the head and neck cracking to Dr. Dang until this time, and she offered no reasonable explanation for such a significant omission. It is noteworthy that if Mr. Anderson's testimony is correct then Ms Anderson was well aware of the cracking and her suspected loss of consciousness immediately after the collision, yet she failed to mention it to her doctor the next day, or at any time in the ensuing year.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Anderson claims that there was no hiatus in her symptoms after the collision, despite a lengthy gap between doctor visits (from July 14, 2007, to February 25, 2008). On February 25, 2008, she saw Dr. Dang only for GERD complaints. On April 24, 2008, she complained of neck and back pain and other symptoms. In her testimony Ms Anderson claimed that she developed back, leg and hand pain, and tingling in her feet within two months of the collision. She said that the onset of "entire body" pain started very soon after the collision; however, she was unable to be specific about the timing and explained that she did not report it because she thought it would "go away" - that it was "all part of getting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Where the evidence of Ms Anderson is at variation with that of the aforementioned health professionals, I accept their testimony as accurate and truthful. As previously noted, the plaintiff concedes that Ms Anderson is a poor historian; moreover, there is considerable consistency among the medical professionals in relation to Ms Anderson's pre-collision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am satisfied that the reliable evidence establishes that at the time of the collision Ms Anderson was suffering from: (a) chronic back problems; (b) chronic neck and back pain; (c) chronic chest pain with attendant breathing difficulties; and (d) periodic severe leg pains. It also shows that Ms Anderson had relatively recent incidents of leg swelling, blurry vision, and dizziness, and a history of GERD and a stomach ulcer.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relation to the question of whether Ms Anderson continued to work after the collision, the preponderant evidence is that she did so, and in a similar fashion to before the collision. Her employer and a co-worker gave convincing testimony in this regard; moreover, Ms Anderson's own statements to various medical professionals and in her employment resume suggested that this was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relation to the collision's immediate effect upon her, I find Ms Anderson's trial version quite troubling. It is inconsistent with the account she gave the day following the collision to her family physician; in particular, she did not report that her head and neck cracked or that she thought she might have lost consciousness. Shane Anderson's testimony that Ms Anderson said these very things to him on the day of the collision is similarly vexing; it suggests, regrettably, that he may be stretching the truth to assist his wife in her claim. I am satisfied that the impact from this very minor collision was relatively slight: consistent with the version Ms Anderson related to her physician the day following the collision and not with that given at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Fibromyalgia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It falls to the plaintiff to prove not only that she has fibromyalgia, but also that it was caused by the collision. In relation to the former, I am so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tendered the opinions of two rheumatologists, Drs. Yorke and Shuckett, who examined Ms Anderson and tested her for fibromyalgia. Each formed the opinion that Ms Anderson has this unfortunate medical condition. No evidence of a contrary expert opinion was tendered. A diagnosis of fibromyalgia is well within the expertise of Drs. Yorke and Shuckett; there was no suggestion otherwise. On January 28, 2009, Dr. Yorke tested Ms Anderson and found "a total fibromyalgia positive score of 12/18 (a minimum of 11 responses are required to support the diagnosis)". Dr. Shuckett examined Ms Anderson on May 24, 2010, and found "she had 16-18 out of 18 painful fibromyalgia tender points distributed in all four quadrants of the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more challenging evidentiary hurdle for the plaintiff is proof of a causal link between her fibromyalgia and the defendant's negligent act. In this regard, I must conclude that the plaintiff has failed.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Yorke did not address the cause of the plaintiff's fibromyalgia in his report, and in his testimony he was unable to say that Ms Anderson's fibromyalgia was caused by the collision. In relation to the cause(s) of fibromyalgia, generally, Dr. Yorke said that the medical community does not know what causes it. He said that in cases where trauma is the suspected cause, it is reasonable to expect that symptoms of fibromyalgia will develop within six months. Dr. Yorke was questioned about the cause of Ms Anderson's fibromyalgia,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believe that she recovered from her accident injuries within two-to-three months?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She was substantially better two-to-three months afterwards, 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the flare-up of complaints months later is - you cannot attribute that to the accident?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Um, I don't know why her complaints began later. There may have been other circumstances in her life. There may be other events that - that are attributable to that worsening; but, no, I don't attribute those to the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Shuckett specifically addressed causation in her report, and wrote: "I believe the MVA significantly materially contributed to [Ms Anderson's] fibromyalgia syndrome, although some pre MVA factors such as her pre MVA pains may have been operative here." In cross-examination, Dr. Shuckett said that her words "materially contributed" meant "played some potential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Shuckett testified that a patient's history is key to the diagnosis, and she described Ms Anderson as "a clear and bright historian"; however, when several apparent inconsistencies and omissions in Ms Anderson's stated history were brought to Dr. Shuckett's attention, she agreed that they were relevant and noteworthy. Dr. Shuckett then revised her description of Ms Anderson to one of "pretty fluent historian, whether everything was correct or not". Dr. Shuckett stated that it was her practice not to read medical histories until after her examination. In this instance, Dr. Shuckett failed, post-examination, to identify relevant inconsistencies and accepted Ms Anderson's selective oral history as the primary foundation for her reported opinions. For example, Dr. Shuckett agreed that Ms Anderson did not inform her that she had neck or back pain before the collision; or, that she had leg pains the day before the collision; or, that she had attended to the emergency ward in relation to leg pain within the month prior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Shuckett agreed that it was noteworthy that Ms Anderson's physiotherapy records for June 8, 2007, stated she was "back to pre-MVA levels" whereas Ms Anderson informed her that she had experienced no improvement with physiotherapy. She was not aware of this inconsistency when she wrote her report. Dr. Shuckett knew that Ms Anderson was told, at age 13, that her spine would eventually collapse; however, Dr. Shuckett did not question this rather alarming historical prognosis. Similarly surprising was Dr. Shuckett's failure to question Ms Anderson's plans to become a care aide, given her diagnosis and prognosis. When Dr. Shuckett's attention was drawn to the protracted gap in doctor visits in 2007-2008, Dr. Shuckett agreed that it was noteworthy and said "one would like to see more continuity".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addition to the foregoing which, collectively, significantly undermines Dr. Shuckett's opinions, she was unable to articulate why she believed that the collision, given its very minor nature, "significantly materially contributed" to Ms Anderson's fibromyalgia. On the one hand she asserted that it was "very important to document all aspects of the MVA"; on the other, she said "I can't say anything about the importance of impact - I am not a biomechanical engineer."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Test for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test for causation is succinctly stated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003" w:history="1">
        <w:r>
          <w:rPr>
            <w:rFonts w:ascii="arial" w:eastAsia="arial" w:hAnsi="arial" w:cs="arial"/>
            <w:i/>
            <w:color w:val="0077CC"/>
            <w:sz w:val="20"/>
            <w:u w:val="single"/>
            <w:shd w:val="clear" w:color="auto" w:fill="FFFFFF"/>
            <w:lang w:val="en-US" w:eastAsia="en-US" w:bidi="ar-SA"/>
          </w:rPr>
          <w:t>[2007] S.C.J. No. 7</w:t>
        </w:r>
      </w:hyperlink>
      <w:r>
        <w:rPr>
          <w:rFonts w:ascii="arial" w:eastAsia="arial" w:hAnsi="arial" w:cs="arial"/>
          <w:color w:val="000000"/>
          <w:sz w:val="20"/>
          <w:lang w:val="en-US" w:eastAsia="en-US" w:bidi="ar-SA"/>
        </w:rPr>
        <w:t>, by McLachlin C.J.C., delivering the judgment of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First, the basic test for determining causation remains the "but for" test. This applies to multi-cause injuries. The plaintiff bears the burden of showing that "but for" the negligent act or omission of each defendant, the injury would not have occurred. Having done this,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apportioned, as permitted by statute.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This fundamental rule has never been displaced and remains the primary test for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As stated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14, per Major J.,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Similarly, as I noted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at para. 78, "[t]he rules of causation consider generally whether 'but for' the defendant's acts, the plaintiff's damages would have been incurred on a balance of probabilities."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"but for" test recognizes that compensation for negligent conduct should only be made "where a substantial connection between the injury and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at p. 327, per Sopinka 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However, in special circumstances, the law has recognized exceptions to the basic "but for" test, and applied a "material contribution" test. Broadly speaking, the cases in which the "material contribution" test is properly applied involve two requirements.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First, it must be impossible for the plaintiff to prove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plaintiff's injury using the "but for" test. The impossibility must be due to factors that are outside of the plaintiff's control; for example, current limits of scientific knowledge. Second, it must be clear that the defendant breached a duty of care owed to the plaintiff, thereby exposing the plaintiff to an unreasonable risk of injury, and the plaintiff must have suffered that form of injury. In other words, the plaintiff's injury must fall within the ambit of the risk created by the defendant's breach. In those exceptional cases where these two requirements are satisfied, liability may be imposed, even though the "but for" test is not satisfied, because it would offend basic notions of fairness and justice to deny liability by applying a "but for" approach.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These two requirements are helpful in defining the situations in which an exception to the "but for" approach ought to be permitted. Without dealing exhaustively with the jurisprudence, a few examples may assist in demonstrating the twin principles just asserted.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One situation requiring an exception to the "but for" test is the situation where it is impossible to say which of two tortious sources caused the injury, as where two shots are carelessly fired at the victim, but it is impossible to say which shot injured him: </w:t>
      </w:r>
      <w:r>
        <w:rPr>
          <w:rFonts w:ascii="arial" w:eastAsia="arial" w:hAnsi="arial" w:cs="arial"/>
          <w:i/>
          <w:color w:val="000000"/>
          <w:sz w:val="20"/>
          <w:lang w:val="en-US" w:eastAsia="en-US" w:bidi="ar-SA"/>
        </w:rPr>
        <w:t>Cook v. Lewis</w:t>
      </w:r>
      <w:r>
        <w:rPr>
          <w:rFonts w:ascii="arial" w:eastAsia="arial" w:hAnsi="arial" w:cs="arial"/>
          <w:color w:val="000000"/>
          <w:sz w:val="20"/>
          <w:lang w:val="en-US" w:eastAsia="en-US" w:bidi="ar-SA"/>
        </w:rPr>
        <w:t xml:space="preserve">, </w:t>
      </w:r>
      <w:hyperlink r:id="rId782" w:history="1">
        <w:r>
          <w:rPr>
            <w:rFonts w:ascii="arial" w:eastAsia="arial" w:hAnsi="arial" w:cs="arial"/>
            <w:i/>
            <w:color w:val="0077CC"/>
            <w:sz w:val="20"/>
            <w:u w:val="single"/>
            <w:shd w:val="clear" w:color="auto" w:fill="FFFFFF"/>
            <w:lang w:val="en-US" w:eastAsia="en-US" w:bidi="ar-SA"/>
          </w:rPr>
          <w:t>[1951] S.C.R. 830</w:t>
        </w:r>
      </w:hyperlink>
      <w:r>
        <w:rPr>
          <w:rFonts w:ascii="arial" w:eastAsia="arial" w:hAnsi="arial" w:cs="arial"/>
          <w:color w:val="000000"/>
          <w:sz w:val="20"/>
          <w:lang w:val="en-US" w:eastAsia="en-US" w:bidi="ar-SA"/>
        </w:rPr>
        <w:t>. Provided that it is established that each of the defendants carelessly or negligently created an unreasonable risk of that type of injury that the plaintiff in fact suffered (i.e. carelessly or negligently fired a shot that could have caused the injury), a material contribution test may be appropriately applied.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A second situation requiring an exception to the "but for" test may be where it is impossible to prove what a particular person in the causal chain would have done had the defendant not committed a negligent act or omission, thus breaking the "but for" chain of causation. For example, although there was no need to rely on the "material contribution" test in </w:t>
      </w:r>
      <w:r>
        <w:rPr>
          <w:rFonts w:ascii="arial" w:eastAsia="arial" w:hAnsi="arial" w:cs="arial"/>
          <w:i/>
          <w:color w:val="000000"/>
          <w:sz w:val="20"/>
          <w:lang w:val="en-US" w:eastAsia="en-US" w:bidi="ar-SA"/>
        </w:rPr>
        <w:t>Walker Estate v. York Finch Hospital</w:t>
      </w:r>
      <w:r>
        <w:rPr>
          <w:rFonts w:ascii="arial" w:eastAsia="arial" w:hAnsi="arial" w:cs="arial"/>
          <w:color w:val="000000"/>
          <w:sz w:val="20"/>
          <w:lang w:val="en-US" w:eastAsia="en-US" w:bidi="ar-SA"/>
        </w:rPr>
        <w:t xml:space="preserve">, </w:t>
      </w:r>
      <w:hyperlink r:id="rId773" w:history="1">
        <w:r>
          <w:rPr>
            <w:rFonts w:ascii="arial" w:eastAsia="arial" w:hAnsi="arial" w:cs="arial"/>
            <w:i/>
            <w:color w:val="0077CC"/>
            <w:sz w:val="20"/>
            <w:u w:val="single"/>
            <w:shd w:val="clear" w:color="auto" w:fill="FFFFFF"/>
            <w:lang w:val="en-US" w:eastAsia="en-US" w:bidi="ar-SA"/>
          </w:rPr>
          <w:t>[2001] 1 S.C.R. 647</w:t>
        </w:r>
      </w:hyperlink>
      <w:r>
        <w:rPr>
          <w:rFonts w:ascii="arial" w:eastAsia="arial" w:hAnsi="arial" w:cs="arial"/>
          <w:color w:val="000000"/>
          <w:sz w:val="20"/>
          <w:lang w:val="en-US" w:eastAsia="en-US" w:bidi="ar-SA"/>
        </w:rPr>
        <w:t>, this Court indicated that it could be used where it was impossible to prove that the donor whose tainted blood infected the plaintiff would not have given blood if the defendant had properly warned him against donating blood. Once again, the impossibility of establishing causation and the element of injury-related risk created by the defendant are central.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Recently, the "but for" test was re-affirmed in </w:t>
      </w:r>
      <w:r>
        <w:rPr>
          <w:rFonts w:ascii="arial" w:eastAsia="arial" w:hAnsi="arial" w:cs="arial"/>
          <w:i/>
          <w:color w:val="000000"/>
          <w:sz w:val="20"/>
          <w:lang w:val="en-US" w:eastAsia="en-US" w:bidi="ar-SA"/>
        </w:rPr>
        <w:t>Clements (Litigation guardian of) v. Clements</w:t>
      </w:r>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2010 BCCA 581</w:t>
        </w:r>
      </w:hyperlink>
      <w:r>
        <w:rPr>
          <w:rFonts w:ascii="arial" w:eastAsia="arial" w:hAnsi="arial" w:cs="arial"/>
          <w:color w:val="000000"/>
          <w:sz w:val="20"/>
          <w:lang w:val="en-US" w:eastAsia="en-US" w:bidi="ar-SA"/>
        </w:rPr>
        <w:t>. Frankel J.A., delivering the judgment of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Although the discussion of the material-contribution test in </w:t>
      </w:r>
      <w:r>
        <w:rPr>
          <w:rFonts w:ascii="arial" w:eastAsia="arial" w:hAnsi="arial" w:cs="arial"/>
          <w:i/>
          <w:color w:val="000000"/>
          <w:sz w:val="20"/>
          <w:lang w:val="en-US" w:eastAsia="en-US" w:bidi="ar-SA"/>
        </w:rPr>
        <w:t>Resurfice Corp.</w:t>
      </w:r>
      <w:r>
        <w:rPr>
          <w:rFonts w:ascii="arial" w:eastAsia="arial" w:hAnsi="arial" w:cs="arial"/>
          <w:color w:val="000000"/>
          <w:sz w:val="20"/>
          <w:lang w:val="en-US" w:eastAsia="en-US" w:bidi="ar-SA"/>
        </w:rPr>
        <w:t xml:space="preserve"> is </w:t>
      </w:r>
      <w:r>
        <w:rPr>
          <w:rFonts w:ascii="arial" w:eastAsia="arial" w:hAnsi="arial" w:cs="arial"/>
          <w:i/>
          <w:color w:val="000000"/>
          <w:sz w:val="20"/>
          <w:lang w:val="en-US" w:eastAsia="en-US" w:bidi="ar-SA"/>
        </w:rPr>
        <w:t>obiter dicta</w:t>
      </w:r>
      <w:r>
        <w:rPr>
          <w:rFonts w:ascii="arial" w:eastAsia="arial" w:hAnsi="arial" w:cs="arial"/>
          <w:color w:val="000000"/>
          <w:sz w:val="20"/>
          <w:lang w:val="en-US" w:eastAsia="en-US" w:bidi="ar-SA"/>
        </w:rPr>
        <w:t xml:space="preserve"> -- the appeal was allowed on the basis that the Court of Appeal should not have interfered with the finding of the trial judge that the manner in which the plaintiff was injured was not reasonably foreseeable -- the Supreme Court of Canada clearly intended to provide guidance with respect to the issue of causation. Accordingly, what it said must be accepted as authoritative in that regard: </w:t>
      </w:r>
      <w:r>
        <w:rPr>
          <w:rFonts w:ascii="arial" w:eastAsia="arial" w:hAnsi="arial" w:cs="arial"/>
          <w:i/>
          <w:color w:val="000000"/>
          <w:sz w:val="20"/>
          <w:lang w:val="en-US" w:eastAsia="en-US" w:bidi="ar-SA"/>
        </w:rPr>
        <w:t>Reilly v. Canada (Attorney General)</w:t>
      </w:r>
      <w:r>
        <w:rPr>
          <w:rFonts w:ascii="arial" w:eastAsia="arial" w:hAnsi="arial" w:cs="arial"/>
          <w:color w:val="000000"/>
          <w:sz w:val="20"/>
          <w:lang w:val="en-US" w:eastAsia="en-US" w:bidi="ar-SA"/>
        </w:rPr>
        <w:t xml:space="preserve">, </w:t>
      </w:r>
      <w:hyperlink r:id="rId1004" w:history="1">
        <w:r>
          <w:rPr>
            <w:rFonts w:ascii="arial" w:eastAsia="arial" w:hAnsi="arial" w:cs="arial"/>
            <w:i/>
            <w:color w:val="0077CC"/>
            <w:sz w:val="20"/>
            <w:u w:val="single"/>
            <w:shd w:val="clear" w:color="auto" w:fill="FFFFFF"/>
            <w:lang w:val="en-US" w:eastAsia="en-US" w:bidi="ar-SA"/>
          </w:rPr>
          <w:t>2008 BCCA 167</w:t>
        </w:r>
      </w:hyperlink>
      <w:r>
        <w:rPr>
          <w:rFonts w:ascii="arial" w:eastAsia="arial" w:hAnsi="arial" w:cs="arial"/>
          <w:color w:val="000000"/>
          <w:sz w:val="20"/>
          <w:lang w:val="en-US" w:eastAsia="en-US" w:bidi="ar-SA"/>
        </w:rPr>
        <w:t xml:space="preserve">, </w:t>
      </w:r>
      <w:hyperlink r:id="rId1004" w:history="1">
        <w:r>
          <w:rPr>
            <w:rFonts w:ascii="arial" w:eastAsia="arial" w:hAnsi="arial" w:cs="arial"/>
            <w:i/>
            <w:color w:val="0077CC"/>
            <w:sz w:val="20"/>
            <w:u w:val="single"/>
            <w:shd w:val="clear" w:color="auto" w:fill="FFFFFF"/>
            <w:lang w:val="en-US" w:eastAsia="en-US" w:bidi="ar-SA"/>
          </w:rPr>
          <w:t>77 B.C.L.R. (4th) 230</w:t>
        </w:r>
      </w:hyperlink>
      <w:r>
        <w:rPr>
          <w:rFonts w:ascii="arial" w:eastAsia="arial" w:hAnsi="arial" w:cs="arial"/>
          <w:color w:val="000000"/>
          <w:sz w:val="20"/>
          <w:lang w:val="en-US" w:eastAsia="en-US" w:bidi="ar-SA"/>
        </w:rPr>
        <w:t xml:space="preserve"> at paras. 69, 70, applying </w:t>
      </w:r>
      <w:r>
        <w:rPr>
          <w:rFonts w:ascii="arial" w:eastAsia="arial" w:hAnsi="arial" w:cs="arial"/>
          <w:i/>
          <w:color w:val="000000"/>
          <w:sz w:val="20"/>
          <w:lang w:val="en-US" w:eastAsia="en-US" w:bidi="ar-SA"/>
        </w:rPr>
        <w:t>R. v. Henry</w:t>
      </w:r>
      <w:r>
        <w:rPr>
          <w:rFonts w:ascii="arial" w:eastAsia="arial" w:hAnsi="arial" w:cs="arial"/>
          <w:color w:val="000000"/>
          <w:sz w:val="20"/>
          <w:lang w:val="en-US" w:eastAsia="en-US" w:bidi="ar-SA"/>
        </w:rPr>
        <w:t xml:space="preserve">, </w:t>
      </w:r>
      <w:hyperlink r:id="rId1005" w:history="1">
        <w:r>
          <w:rPr>
            <w:rFonts w:ascii="arial" w:eastAsia="arial" w:hAnsi="arial" w:cs="arial"/>
            <w:i/>
            <w:color w:val="0077CC"/>
            <w:sz w:val="20"/>
            <w:u w:val="single"/>
            <w:shd w:val="clear" w:color="auto" w:fill="FFFFFF"/>
            <w:lang w:val="en-US" w:eastAsia="en-US" w:bidi="ar-SA"/>
          </w:rPr>
          <w:t>2005 SCC 76</w:t>
        </w:r>
      </w:hyperlink>
      <w:r>
        <w:rPr>
          <w:rFonts w:ascii="arial" w:eastAsia="arial" w:hAnsi="arial" w:cs="arial"/>
          <w:color w:val="000000"/>
          <w:sz w:val="20"/>
          <w:lang w:val="en-US" w:eastAsia="en-US" w:bidi="ar-SA"/>
        </w:rPr>
        <w:t xml:space="preserve">, </w:t>
      </w:r>
      <w:hyperlink r:id="rId1005" w:history="1">
        <w:r>
          <w:rPr>
            <w:rFonts w:ascii="arial" w:eastAsia="arial" w:hAnsi="arial" w:cs="arial"/>
            <w:i/>
            <w:color w:val="0077CC"/>
            <w:sz w:val="20"/>
            <w:u w:val="single"/>
            <w:shd w:val="clear" w:color="auto" w:fill="FFFFFF"/>
            <w:lang w:val="en-US" w:eastAsia="en-US" w:bidi="ar-SA"/>
          </w:rPr>
          <w:t>[2005] 3 S.C.R. 609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However, I do not read </w:t>
      </w:r>
      <w:r>
        <w:rPr>
          <w:rFonts w:ascii="arial" w:eastAsia="arial" w:hAnsi="arial" w:cs="arial"/>
          <w:i/>
          <w:color w:val="000000"/>
          <w:sz w:val="20"/>
          <w:lang w:val="en-US" w:eastAsia="en-US" w:bidi="ar-SA"/>
        </w:rPr>
        <w:t>Resurfice Corp.</w:t>
      </w:r>
      <w:r>
        <w:rPr>
          <w:rFonts w:ascii="arial" w:eastAsia="arial" w:hAnsi="arial" w:cs="arial"/>
          <w:color w:val="000000"/>
          <w:sz w:val="20"/>
          <w:lang w:val="en-US" w:eastAsia="en-US" w:bidi="ar-SA"/>
        </w:rPr>
        <w:t xml:space="preserve"> as supporting resort to the material-contribution test whenever a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materially increased a plaintiff's risk of injury and it is impossible for the plaintiff to prove that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factual cause of the injury. To do so would substantially alter the existing law and would have the effect of displacing but-for as the primary test for determining causation. It is only in exceptional circumstances that resort to the material-contribution test will, as a matter of policy, be appropriate.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It is important to keep in mind that in </w:t>
      </w:r>
      <w:r>
        <w:rPr>
          <w:rFonts w:ascii="arial" w:eastAsia="arial" w:hAnsi="arial" w:cs="arial"/>
          <w:i/>
          <w:color w:val="000000"/>
          <w:sz w:val="20"/>
          <w:lang w:val="en-US" w:eastAsia="en-US" w:bidi="ar-SA"/>
        </w:rPr>
        <w:t>Resurfice Corp.</w:t>
      </w:r>
      <w:r>
        <w:rPr>
          <w:rFonts w:ascii="arial" w:eastAsia="arial" w:hAnsi="arial" w:cs="arial"/>
          <w:color w:val="000000"/>
          <w:sz w:val="20"/>
          <w:lang w:val="en-US" w:eastAsia="en-US" w:bidi="ar-SA"/>
        </w:rPr>
        <w:t>, the Court was not purporting to change the law but, rather, was reaffirming existing principles. This is evinced by the fact that McLachlin C.J. referred to two of the Court's previous decisions as examples of when the material-contribution test could properly be used to find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Having regard to the foregoing and the issues raised by the circumstances herein, I must conclude that the case at bar is not one for which the "but for" test is unworkable, and for which resort to the "material contribution" is appropriate, as if it were available as a mere alternative if proof of causation failed on application of the "but for"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Applying, then, the "but for" test, I conclude that the evidence falls far short of proving, on a balance of probabilities, that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Ms Anderson would not have developed fibromyalgia. In reaching this conclusion I take into account,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the absence of convincing medical opinion in this regard, the minor nature of the collision, the absence of credible evidence of a temporal nexus between the collision and the onset of symptoms, the reliable evidence of the plaintiff's return to her pre-collision state within two months of the collision, the chronic and acute pre-collision health complaints of the plaintiff, and the significant hiatus in doctor visits in a critical post-collision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suffered a whiplash injury in the collision. The evidence suggests that it was most likely an exacerbation of an existing complaint. Shortly after the injury she began a course of physiotherapy. Reliable evidence in this regard shows that she responded well to treatment and was substantially recovered within six weeks. The defendant submits that the injuries, or any exacerbation of a pre-existing injury, attributable to the defendant were fully resolved within three months, at most. I agree. A generous view of the evidence establishes, at most, a three-month period to full recovery to Ms Anderson's pre-collision state. The plaintiff's losses must be assessed accordingly.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defendant submits that the appropriate range for non-pecuniary damages is $2,000 to $5,000. In support of this position, the defendant cites: </w:t>
      </w:r>
      <w:r>
        <w:rPr>
          <w:rFonts w:ascii="arial" w:eastAsia="arial" w:hAnsi="arial" w:cs="arial"/>
          <w:i/>
          <w:color w:val="000000"/>
          <w:sz w:val="20"/>
          <w:lang w:val="en-US" w:eastAsia="en-US" w:bidi="ar-SA"/>
        </w:rPr>
        <w:t>Kain v. Kirkman</w:t>
      </w:r>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[2006] B.C.J. No. 3084</w:t>
        </w:r>
      </w:hyperlink>
      <w:r>
        <w:rPr>
          <w:rFonts w:ascii="arial" w:eastAsia="arial" w:hAnsi="arial" w:cs="arial"/>
          <w:color w:val="000000"/>
          <w:sz w:val="20"/>
          <w:lang w:val="en-US" w:eastAsia="en-US" w:bidi="ar-SA"/>
        </w:rPr>
        <w:t xml:space="preserve"> (B.C.S.C.), ($6,000); </w:t>
      </w:r>
      <w:r>
        <w:rPr>
          <w:rFonts w:ascii="arial" w:eastAsia="arial" w:hAnsi="arial" w:cs="arial"/>
          <w:i/>
          <w:color w:val="000000"/>
          <w:sz w:val="20"/>
          <w:lang w:val="en-US" w:eastAsia="en-US" w:bidi="ar-SA"/>
        </w:rPr>
        <w:t>Mohammed v. Rai</w:t>
      </w:r>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[2005] B.C.J. No. 3166</w:t>
        </w:r>
      </w:hyperlink>
      <w:r>
        <w:rPr>
          <w:rFonts w:ascii="arial" w:eastAsia="arial" w:hAnsi="arial" w:cs="arial"/>
          <w:color w:val="000000"/>
          <w:sz w:val="20"/>
          <w:lang w:val="en-US" w:eastAsia="en-US" w:bidi="ar-SA"/>
        </w:rPr>
        <w:t xml:space="preserve"> (B.C.S.C.), ($3,000 and $5,000); </w:t>
      </w:r>
      <w:r>
        <w:rPr>
          <w:rFonts w:ascii="arial" w:eastAsia="arial" w:hAnsi="arial" w:cs="arial"/>
          <w:i/>
          <w:color w:val="000000"/>
          <w:sz w:val="20"/>
          <w:lang w:val="en-US" w:eastAsia="en-US" w:bidi="ar-SA"/>
        </w:rPr>
        <w:t>Bagasbas v. Atwal</w:t>
      </w:r>
      <w:r>
        <w:rPr>
          <w:rFonts w:ascii="arial" w:eastAsia="arial" w:hAnsi="arial" w:cs="arial"/>
          <w:color w:val="000000"/>
          <w:sz w:val="20"/>
          <w:lang w:val="en-US" w:eastAsia="en-US" w:bidi="ar-SA"/>
        </w:rPr>
        <w:t xml:space="preserve">, </w:t>
      </w:r>
      <w:hyperlink r:id="rId1006" w:history="1">
        <w:r>
          <w:rPr>
            <w:rFonts w:ascii="arial" w:eastAsia="arial" w:hAnsi="arial" w:cs="arial"/>
            <w:i/>
            <w:color w:val="0077CC"/>
            <w:sz w:val="20"/>
            <w:u w:val="single"/>
            <w:shd w:val="clear" w:color="auto" w:fill="FFFFFF"/>
            <w:lang w:val="en-US" w:eastAsia="en-US" w:bidi="ar-SA"/>
          </w:rPr>
          <w:t>[2009] B.C.J. No. 758</w:t>
        </w:r>
      </w:hyperlink>
      <w:r>
        <w:rPr>
          <w:rFonts w:ascii="arial" w:eastAsia="arial" w:hAnsi="arial" w:cs="arial"/>
          <w:color w:val="000000"/>
          <w:sz w:val="20"/>
          <w:lang w:val="en-US" w:eastAsia="en-US" w:bidi="ar-SA"/>
        </w:rPr>
        <w:t xml:space="preserve"> (B.C.S.C.), ($3,500); </w:t>
      </w:r>
      <w:r>
        <w:rPr>
          <w:rFonts w:ascii="arial" w:eastAsia="arial" w:hAnsi="arial" w:cs="arial"/>
          <w:i/>
          <w:color w:val="000000"/>
          <w:sz w:val="20"/>
          <w:lang w:val="en-US" w:eastAsia="en-US" w:bidi="ar-SA"/>
        </w:rPr>
        <w:t>Knauff v. Gower</w:t>
      </w:r>
      <w:r>
        <w:rPr>
          <w:rFonts w:ascii="arial" w:eastAsia="arial" w:hAnsi="arial" w:cs="arial"/>
          <w:color w:val="000000"/>
          <w:sz w:val="20"/>
          <w:lang w:val="en-US" w:eastAsia="en-US" w:bidi="ar-SA"/>
        </w:rPr>
        <w:t xml:space="preserve">, </w:t>
      </w:r>
      <w:hyperlink r:id="rId1007" w:history="1">
        <w:r>
          <w:rPr>
            <w:rFonts w:ascii="arial" w:eastAsia="arial" w:hAnsi="arial" w:cs="arial"/>
            <w:i/>
            <w:color w:val="0077CC"/>
            <w:sz w:val="20"/>
            <w:u w:val="single"/>
            <w:shd w:val="clear" w:color="auto" w:fill="FFFFFF"/>
            <w:lang w:val="en-US" w:eastAsia="en-US" w:bidi="ar-SA"/>
          </w:rPr>
          <w:t>[2005] B.C.J. No. 2296</w:t>
        </w:r>
      </w:hyperlink>
      <w:r>
        <w:rPr>
          <w:rFonts w:ascii="arial" w:eastAsia="arial" w:hAnsi="arial" w:cs="arial"/>
          <w:color w:val="000000"/>
          <w:sz w:val="20"/>
          <w:lang w:val="en-US" w:eastAsia="en-US" w:bidi="ar-SA"/>
        </w:rPr>
        <w:t xml:space="preserve"> (B.C.P.C.), ($1,500); and, </w:t>
      </w:r>
      <w:r>
        <w:rPr>
          <w:rFonts w:ascii="arial" w:eastAsia="arial" w:hAnsi="arial" w:cs="arial"/>
          <w:i/>
          <w:color w:val="000000"/>
          <w:sz w:val="20"/>
          <w:lang w:val="en-US" w:eastAsia="en-US" w:bidi="ar-SA"/>
        </w:rPr>
        <w:t>Siddoo v. Michael</w:t>
      </w:r>
      <w:r>
        <w:rPr>
          <w:rFonts w:ascii="arial" w:eastAsia="arial" w:hAnsi="arial" w:cs="arial"/>
          <w:color w:val="000000"/>
          <w:sz w:val="20"/>
          <w:lang w:val="en-US" w:eastAsia="en-US" w:bidi="ar-SA"/>
        </w:rPr>
        <w:t xml:space="preserve">, </w:t>
      </w:r>
      <w:hyperlink r:id="rId1008" w:history="1">
        <w:r>
          <w:rPr>
            <w:rFonts w:ascii="arial" w:eastAsia="arial" w:hAnsi="arial" w:cs="arial"/>
            <w:i/>
            <w:color w:val="0077CC"/>
            <w:sz w:val="20"/>
            <w:u w:val="single"/>
            <w:shd w:val="clear" w:color="auto" w:fill="FFFFFF"/>
            <w:lang w:val="en-US" w:eastAsia="en-US" w:bidi="ar-SA"/>
          </w:rPr>
          <w:t>[2006] B.C.J. No. 77</w:t>
        </w:r>
      </w:hyperlink>
      <w:r>
        <w:rPr>
          <w:rFonts w:ascii="arial" w:eastAsia="arial" w:hAnsi="arial" w:cs="arial"/>
          <w:color w:val="000000"/>
          <w:sz w:val="20"/>
          <w:lang w:val="en-US" w:eastAsia="en-US" w:bidi="ar-SA"/>
        </w:rPr>
        <w:t xml:space="preserve"> (B.C.P.C.), ($1,500).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 submits that the appropriate range is $40,000 to $90,000, and cited several cases in support thereof; however, her position rested upon a trial finding that the defendant caused Ms Anderson's fibromyalgia and such was not the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assessing the non-pecuniary damages for Ms Anderson, I am unable to distinguish her losses from the ordinary sort of losses most suffer from a minor whiplash injury. I am, however, satisfied that the plaintiff was more fragile than many others would have been at the time of the collision and that, therefore, her post-collision aches and pains may well have been greater than those experienced by an otherwise strong and healthy person. I am satisfied that Ms Anderson's life was negatively affected by the injury, or re-injury, and that during the three-month recovery period her relationships suffered to some degree, she endured some pain and discomfort, she lost some sleep, she opted out of some leisure and sport activities, and she was put to various inconveniences. For this three-month period of pain and suffering, with due regard to the cases cited, I assess her damages at $6,000. Any lost homemaking capacity in this period is subsumed into this award.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 claims $206.91 for various medications, $120 for physiotherapy "user fees", and $49.90 for a Guildford gym pass. The defendant opposes these claims, other than the physiotherapy user fees, on the basis that they are unrelated to the injury caused by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proof of the pharmaceuticals claim the plaintiff tendered a pharmacy invoice; however, for the three-month period in question (April 24-July 24, 2007) the only pharmaceuticals purchased were birth control pills. Similarly, the record of payments for a gym pass shows no payments related to the period in question - they do not commence until August 17, 2007. The evidence does not, therefore, support the opposed claims. Special damages are fixed at $120.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 has failed to prove that she suffered income loss in the three-month period in question. In relation to post-collision employment, the evidence of Ms Anderson is unreliable. It is inconsistent with her resume and her statements to several medical professionals, and contrary to the testimony of Ms Danaz and Ms Harris, who said that Ms Anderson's employment was unaffected by the collision. For these reasons, the claim for past income loss is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Losses/Costs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These claims were premised upon Ms Anderson proving that fibromyalgia, which rendered her partially disabled, was caused by the defendant. For reasons given, she has failed to do so. The evidence establishes that Ms Anderson returned to her pre-collision state (albeit a compromised one) within three months of the collision; accordingly, these claims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plaintiff's claims for non-pecuniary damages ($6,000) and special damages ($120) are allowed; the remaining damages claims are dismissed. If the parties are unable to resolve the issue of costs then they may submit written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L.W. BERNARD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61" style="position:absolute;z-index:2518599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09"/>
          <w:headerReference w:type="default" r:id="rId1010"/>
          <w:footerReference w:type="even" r:id="rId1011"/>
          <w:footerReference w:type="default" r:id="rId1012"/>
          <w:headerReference w:type="first" r:id="rId1013"/>
          <w:footerReference w:type="first" r:id="rId101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15" w:history="1">
        <w:r>
          <w:rPr>
            <w:rFonts w:ascii="arial" w:eastAsia="arial" w:hAnsi="arial" w:cs="arial"/>
            <w:b/>
            <w:bCs/>
            <w:i/>
            <w:color w:val="0077CC"/>
            <w:kern w:val="32"/>
            <w:sz w:val="28"/>
            <w:szCs w:val="32"/>
            <w:u w:val="single"/>
            <w:shd w:val="clear" w:color="auto" w:fill="FFFFFF"/>
            <w:lang w:val="en-US" w:eastAsia="en-US" w:bidi="ar-SA"/>
          </w:rPr>
          <w:t>Andrusko v. Alexander, [2013] B.C.J. No. 1161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S.C. Fitzpatrick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11-14, 2012 (Fort St. John); February 28,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2013 (Vancouver).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4,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09-5631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1161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985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Christopher Andrusko, Plaintiff, and Alison Ellen Alexander and Lee Renforth Hickman,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62"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7" w:name="Keywords_48"/>
      <w:bookmarkEnd w:id="317"/>
      <w:r>
        <w:rPr>
          <w:rFonts w:ascii="arial" w:eastAsia="arial" w:hAnsi="arial" w:cs="arial"/>
          <w:b/>
          <w:color w:val="000000"/>
          <w:sz w:val="20"/>
          <w:lang w:val="en-US" w:eastAsia="en-US" w:bidi="ar-SA"/>
        </w:rPr>
        <w:t>Damages — Physical and psychological injuries — Physical injuries — Body injuries — Back and spine — Neck — Soft tissue — Fibromyalgia or chronic pain — Considerations impacting on award — Age of claimant — Action by plaintiff for damages for injuries arising from motor vehicle accident allowed — Parties' vehicles collided while defendant was making left turn as they were driving in opposite directions — Plaintiff suffered soft tissue injuries resulting in chronic back pain and neck and shoulder pain — He was 26, with Grade 10 education, and had history of jobs involving physical labour — Defendant was solely responsible for accident — Plaintiff was awarded $80,000 in non-pecuniary damages, $250,000 for loss of future earning capacity, $10,000 for cost of future care and $1721 in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earning capacity — Special damages — Non-pecuniary loss — Action by plaintiff for damages for injuries arising from motor vehicle accident allowed — Parties' vehicles collided while defendant was making left turn as they were driving in opposite directions — Plaintiff suffered soft tissue injuries resulting in chronic back pain and neck and shoulder pain — He was 26, with Grade 10 education, and had history of jobs involving physical labour — Defendant was solely responsible for accident — Plaintiff was awarded $80,000 in non-pecuniary damages, $250,000 for loss of future earning capacity, $10,000 for cost of future care and $1721 in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8" w:name="Case Summary_45"/>
            <w:bookmarkEnd w:id="31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damages for injuries arising from a motor vehicle accident. The parties were driving in opposite directions on a major thoroughfare. Their vehicles collided while the defendant was making a left turn. Each party blamed the other. The plaintiff suffered soft tissue injuries that resulted in chronic back pain and neck and shoulder pain. He was 26, with a Grade 10 education, and had a history of jobs involving physical labour. He continued to be employed.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19" w:name="Holdings of Court_40"/>
            <w:bookmarkEnd w:id="319"/>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was solely responsible for the accident. The plaintiff's vehicle was an immediate hazard when the defendant began her turn. The defendant did not have a clear view of the plaintiff's vehicle. The plaintiff was not speeding, having started from a dead stop at the previous intersection, and there was no basis upon which to assert that he was driving without due care and attention. The plaintiff was a more reliable witness as to the events leading up to the accident. The plaintiff's injuries were caused by the accident. The plaintiff was awarded $80,000 in non-pecuniary damages, $250,000 for loss of future earning capacity, $10,000 for the cost of future care and $1721 in special damages. The plaintiff had constant back pain, which was at times severe; persistent numbness in his left leg on a regular basis; and neck and shoulder pain that largely resolved within a year, although it continued to flare up approximately once per week. His condition was chronic. It mostly impacted his working life, but also his personal life. He established a real and substantial possibility of a future event that would lead to an income loss. He was extremely limited in his career options. He had to rely on his physical strength to make a living. To the extent that his physical abilities were compromised, there was an issue as to whether he would be able to work at labour-intensive jobs into the future. Retraining was not a realistic option, given his limited education. The capital approach to quantifying damages was appropriate, given his young age, his present employment and the uncertainties arising from his future career path. His work ethic suggested that he would continue to work through the pain, but the reality was that employers looked for healthy employees.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20" w:name="Legislation Cited_34"/>
      <w:bookmarkEnd w:id="32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63"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808" w:history="1">
        <w:r>
          <w:rPr>
            <w:rFonts w:ascii="arial" w:eastAsia="arial" w:hAnsi="arial" w:cs="arial"/>
            <w:i/>
            <w:color w:val="0077CC"/>
            <w:sz w:val="20"/>
            <w:u w:val="single"/>
            <w:shd w:val="clear" w:color="auto" w:fill="FFFFFF"/>
            <w:lang w:val="en-US" w:eastAsia="en-US" w:bidi="ar-SA"/>
          </w:rPr>
          <w:t>RSBC 1996, CHAPTER 318, s. 144</w:t>
        </w:r>
      </w:hyperlink>
      <w:r>
        <w:rPr>
          <w:rFonts w:ascii="arial" w:eastAsia="arial" w:hAnsi="arial" w:cs="arial"/>
          <w:color w:val="000000"/>
          <w:sz w:val="20"/>
          <w:lang w:val="en-US" w:eastAsia="en-US" w:bidi="ar-SA"/>
        </w:rPr>
        <w:t>, s. 159, s. 179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1016" w:history="1">
        <w:r>
          <w:rPr>
            <w:rFonts w:ascii="arial" w:eastAsia="arial" w:hAnsi="arial" w:cs="arial"/>
            <w:i/>
            <w:color w:val="0077CC"/>
            <w:sz w:val="20"/>
            <w:u w:val="single"/>
            <w:shd w:val="clear" w:color="auto" w:fill="FFFFFF"/>
            <w:lang w:val="en-US" w:eastAsia="en-US" w:bidi="ar-SA"/>
          </w:rPr>
          <w:t>RSBC 1996, CHAPTER 333, s. 4</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21" w:name="Counsel_47"/>
      <w:bookmarkEnd w:id="32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4" style="position:absolute;z-index:251810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B.J. Flewelling.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S.P. Casey.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2" w:name="Judgment_48"/>
      <w:bookmarkEnd w:id="322"/>
      <w:r>
        <w:pict>
          <v:line id="_x0000_s1265" style="position:absolute;z-index:2518609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3" w:name="S.C. FITZPATRICK J."/>
            <w:bookmarkEnd w:id="323"/>
            <w:r>
              <w:rPr>
                <w:rFonts w:ascii="arial" w:eastAsia="arial" w:hAnsi="arial" w:cs="arial"/>
                <w:b/>
                <w:color w:val="000000"/>
                <w:sz w:val="30"/>
                <w:lang w:val="en-US" w:eastAsia="en-US" w:bidi="ar-SA"/>
              </w:rPr>
              <w:t>S.C. FITZPATRICK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Christopher Andrusko, was involved in a motor vehicle accident on January 3, 2008 in Fort St. John. His vehicle collided with the vehicle driven by the defendant, Alison Alexander, and owned by her husband, the defendant Lee Hickman. Both were driving on a wintry afternoon and approaching each other from opposite directions on the same street. Mr. Andrusko hit Ms. Alexander's car while she was trying to make a left-hand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Both parties blame the accident on the other, so liability or degrees of liability are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Andrusko claims injuries arising from the accident relating to his neck, left shoulder, leg and low back. The low back pain is said now to be chronic. He claims non-pecuniary losses, loss of earning capacity, cost of future care,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Therefore, the issues for determination are:</w:t>
      </w:r>
      <w:r>
        <w:rPr>
          <w:rFonts w:ascii="arial" w:eastAsia="arial" w:hAnsi="arial" w:cs="arial"/>
          <w:sz w:val="20"/>
          <w:lang w:val="en-US" w:eastAsia="en-US" w:bidi="ar-SA"/>
        </w:rPr>
        <w:cr/>
      </w:r>
    </w:p>
    <w:p>
      <w:pPr>
        <w:numPr>
          <w:numId w:val="1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is liable for the accident?</w:t>
      </w:r>
    </w:p>
    <w:p>
      <w:pPr>
        <w:numPr>
          <w:numId w:val="1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liability on the part of the defendants is established, what are the proper damages to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Andrusko is currently 26 years old. He has limited education, having only completed Grade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Since he left school at the age of 16 years, he has had a number of jobs, mostly involving physical labour. He started as a fry cook at Kentucky Fried Chicken. From 2002 to 2004, he was employed in Edmonton, Alberta as a labourer doing basic carpentry work. From 2004 to 2006, he was employed in Gibsons, B.C. as a car detailer, which job involved cleaning and washing cars.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He returned to Fort St. John in 2006 and obtained employment at Joy Propane earning $16 per hour. Joy Propane does some bulk sales of propane, but it is largely a retail supplier of fuel. It conducts its business in two areas. Firstly, it operates a commercial side where commercial vehicles will pull up and load the propane. In addition, customers will come and fill up the normal type of cylinders that you see on barbecues. Secondly, there is a vehicle division where a fuel attendant will fill up a vehicle just as you would normally do at a gas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Andrusko was a fuel attendant and labourer. He worked on both sides of the business. As part of the commercial side, he was involved in pumping fuel and dealing with all types and sizes of propane tanks, from small 20 pound ones for the barbecue going up to 100 pound tanks for commercial purposes. When full, these tanks would be almost double the weight as when empty. Thus, dealing with these tanks required physical effort. There was less physical effort required while working on the vehicle side of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Andrusko was employed by Joy Propane at the time of the accident. His boss, Steven Stanway, described Mr. Andrusko as a reliable and hard worker. He also described an incident involving Mr. Andrusko that caused him to conclude that Mr. Andrusko was honest and forthright. Mr. Stanway indicates that prior to the accident, Mr. Andrusko had no difficulty in completing his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Andrusko has been in a long-term relationship with Jody Stroud for about eight years. She is also 26 years old and employed as a receptionist. They met in 2004 and began living together shortly thereafter. They currently live in Fort St. John, and at the time of the trial, they were engaged to be married in the spring of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Andrusko described himself as having no difficulty in completing his physically demanding jobs prior to the accident. In particular, he says that he had no neck, shoulder or low back pain. This evidence is confirmed by Ms. Stroud, who also said that Mr. Andrusko was in good health. She did not observe any neck, left shoulder or low back pain, or any numbness in his left leg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Although Mr. Andrusko was involved in a motor vehicle accident in 2003, there were no injuries to his neck and back in that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100th Street in Fort St. John is a major thoroughfare. It has two lanes of travel in both the north and southbound directions. It also has parking lanes on each side. The cross streets are Avenues similarly numbered such that the numbers increase as you move northbound. There is no traffic light at the intersection of 100th Street and 102nd Avenue where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accident occurred a little after 4 p.m. on January 3, 2008. Dusk was approaching and it was a snowy day in Fort St. John. The roads were slippery and covered in compact snow.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Andrusko was 21 years old at the time of the accident. He had borrowed Ms. Stroud's 1990 Chevrolet Cavalier to go to work. He had left his job at Joy Propane around 4 p.m. and was driving to the Tim Horton's to get Ms. Stroud a coffee. He was wearing his seatbelt. He denies that he was tired after a day at work or that he was in a hurry to get to Tim Horton's. He turned onto 100th Street around 93rd Avenue and was proceeding northbound on 100th Street in the lane nearest to the centre line. At the stop light at 101st Avenue, Mr. Andrusko stopped at a red light and was first in line with no cars ahead of him. Accordingly, he had a clear unobstructed view along 100th Street. He then proceeded on the next green light, approaching the intersection at 102nd Avenue. He was familiar with the intersection, having driven it many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the same time, Ms. Alexander was driving southbound on 100th Street in a 1995 Dodge Neon owned by her spouse, Mr. Hickman. She was approaching the intersection at 102nd Avenue, where she intended to make a left turn. She was also in the lane of travel nearest to the centre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From this time forward, the evidence from Mr. Andrusko and Ms. Alexander widely differs.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What is uncontroversial, however, is that Mr. Andrusko's vehicle struck the right back passenger side of Ms. Alexander's vehicle with the front right passenger side of his vehicle as Ms. Alexander attempted her left hand turn in front of Mr. Andrusko. Ms. Alexander's vehicle spun and ended up facing west on 102nd Avenue, the opposite direction from her path of travel. Mr. Andrusko also veered off and spun around, coming to a stop in the lane of oncoming southbound traffic about three to four car lengths beyond the intersection. He managed to pull the vehicle back into the northbound lane and then parked further up on 100th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Andrusko described the impact as "pretty severe". Both of the airbags in Mr. Andrusko's vehicle deployed. His vehicle sustained damage at the front passenger side estimated at a value of $4,227.93, causing ICBC to write it off.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Immediately after the accident, Mr. Andrusko was attended to by paramedics, but he declined to receive medical treatment at the time. The paramedics did notice a seatbelt line on Mr. Andrusko, presumably from the impact, and they suggested that he would probably be sore. A paramedic recommended that he visit the emergency room at the hospital. Mr. Andrusko did not do so, although he says that his neck, left shoulder and back started to bother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RCMP also attended the scene, and Mr. Andrusko gave the police a statement. No traffic infractions were ticketed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After giving his statement, Mr. Andrusko found a camera in his car and went about taking various pictures of the vehicles. He also cleaned out his car while waiting for his friend, Josh Woods, to pick him up. Immediately afterwards, Mr. Andrusko and Mr. Woods went to Wal-Mart to get the photographs developed. He then went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Over the next few days, Mr. Andrusko had a sore and stiff neck and left shoulder. After a day or two, he started to feel lower back pain. Again, this evidence was confirmed by Ms. Stroud, who observed him experiencing pain in his neck, shoulder, low back and left leg. Ms. Stroud also observed that the neck and left shoulder pain would come at the same time, as would the low back pain and left leg numbness.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Andrusko went to a walk-in clinic in the first few days after the accident and saw Dr. Brussow. Later, he would see his family doctor, Dr. Van Zyl. Dr. Van Zyl prescribed various medications, including sleeping pills, muscle relaxants and anti-inflammatory drugs. He began taking this prescription medication in January 2008 and continues to take this medication as needed to this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Andrusko has tried certain treatments over the years to address his injuries. Shortly after the accident, beginning on January 11, 2008, he started to see a chiropractor at North Peace Chiropractic. He regularly saw a chiropractor during 2008 and into early 2009. He obtained some relief but found that the pain returned about a week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After being disappointed with the results from the chiropractor, Mr. Andrusko was referred by Dr. Van Zyl to a physiotherapist for treatment. He began treatment at Fort St. John Physio Clinic on January 30, 2009 and regularly saw a physiotherapist during 2009 (eleven visits), 2010 (three visits), 2011 (four visits), and 2012 (three visits). He was continuing to see a physiotherapist at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Andrusko also tried massage therapy one time in August 2008 but decided that it did not assist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Fortunately, Mr. Andrusko only missed one day off work. He returned to his job at Joy Propane, although he was put on lighter duties on the vehicle side. He did, from time to time, lift 20 or 30 pound tanks after that time, but he was no longer involved in lifting the larger 100 pound (when empty) tanks as he had previously done. His new duties involved filling propane tanks in vehicles, which required some bending and turning for smaller cars. Generally, these lighter duties did not stress his lower back. Nevertheless, he still indicated that his back was irritated and would bother him from time to time as a result of his job at Joy Propane.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March 2009, Mr. Andrusko was let go from Joy Propane for fighting with a customer. He then obtained a temporary job as a labourer for about a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Later, in 2009, he obtained a job at H2Oasis as a delivery driver and bottle washer. He indicates that his job involved twisting, turning and bending, so his back was irritated again. As part of his job, he was required to work with five gallon tanks of water. He left his job at H2Oasis after a change in management and after an issue developed with his employer about a repair bill.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 summer of 2010, Mr. Andrusko obtained a labourer position at DGS Astro Paving ("DGS"). His friend, Jeffrey Higgins, who was working as a foreman there, got him the job. DGS is involved in the construction of roads, parking lots and driveways. This is a seasonal job which requires a rigorous schedule from the spring (April/May) to the time the snow flies (usually November). Mr. Andrusko was required to work 12 to 16 hour days about six to seven days a week. Many of his initial duties included very physical work, including working with heavy materials and manual shovelling. In addition, he operated various pieces of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Higgins was aware of Mr. Andrusko's low back problems when he was hired at DGS. He gave Mr. Andrusko certain lighter duties as a worker in his crew, but he did not play favourites. Mr. Higgins confirmed that Mr. Andrusko would complain about his back from time to time, although he did not consider Mr. Andrusko to be a complainer.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Andrusko was later promoted to the position of lead hand at DGS in early 2011, which resulted in him doing less labour work and more supervisory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Andrusko says that often his neck, shoulder and low back will bother him after work at DGS such that he has to medicate with muscle relaxants when he gets home. He often experiences pain when running equipment that requires him to look behind. When this happens, his shoulder and neck stiffen up and he gets intermittent pain. This happens more frequently by the end of the working season, but it improves over the winter months when he collects employment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Andrusko continued with his seasonal job at DGS for the 2011 and 2012 seasons. In November 2012, at the end of this season, he obtained a temporary job for about two weeks at Haycove Contracting, where he did snow removal using a bobcat. He indicates that his back bothered him while operating the bobcat.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 the time of the trial, Mr. Andrusko had applied for employment insurance and was waiting to hear back from the government. In the meantime, Mr. Andrusko was also studying to get his Class 3 driver's license.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Andrusko's evidence is that he has continued with his employment duties since the accident, but that he has had pain and numbness since that time. His evidence is corroborated by that of Ms. Stroud, who observed him coming home from work at Joy Propane, H2Oasis and DGS in pain from completing his duties. Ms. Stroud also confirmed that his pain was more severe at the end of the season with DGS. She said that the pain was severe at least once a week. She also confirmed that while his injuries have improved since the accident, the level of those injuries has stayed the same for the last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Andrusko's injuries have affected his day-to-day activities. He appears to have help doing the more physical chores at their home, including snow shovelling and lawn mowing. On long drives, he experiences pain and has to stop and stretch to alleviate the pain. He cannot sit long to play video games or work in his music studio. He also has trouble starting the lawnmower. Finally, he is more irritable and cranky in his relationship with Ms. Stroud.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terms of the duration of his injuries, Mr. Andrusko indicates that his neck and shoulder bother him at least twice a week. He indicates that his neck and shoulder are staying the same at this point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Andrusko's complaints about his lower back are more serious. He says that he has low back pain or soreness just below his beltline every day. Some days are worse than others when he experiences sharp pain. He has also had some numbness in his left leg since the accident, which is present all the time. Twisting and bending aggravates the pain. He indicates that on a bad day, about once or twice per week, the pain is 10 out of 10. On average, he rates his pain as 6/7 out of 10. He tries to use sleeping pills, muscle relaxants and anti-inflammatories when the pain is too bad, but he finds that they can make him very drowsy. He says that he cannot function at work when he is drowsy, and given his line of work, he understandably has safety concerns if he is less than alert.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Andrusko does not use any aid for his injuries. He did buy a back belt, but he was advised some years ago not to use it. Although he is not an avid exerciser, he regularly completes exercises for his core and his left leg about three times a week in his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Andrusko is also an avid music lover. In 2009, he started a small business named "Too Die for Recordz", in which he operates as a mobile disc jockey for small events. He also constructed his own music studio, where he likes to make, mix, record and produce music. He has invested quite a sum of money purchasing equipment for this venture, although his gross profit from this venture has been nominal: 2009 - $4,242; 2010 - $1,085; and 2011 - $1,008. He describes this more as a hobby, which is evident when he calculates his net income losses for these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Andrusko spends considerable time working on his music business, particularly during the off-season from his job at DGS. He can work for eight to ten hours a day up to seven days a week. While he was questioned regarding his ability to sit for so long, he indicated that he was able to get up and move around to alleviate the pain caused by sitting for prolonged periods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Andrusko is very interested in developing his music business to the point of making more money. He has not taken any music engineering courses, nor does he have any plans to do so. He describes himself as more self-taught.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Andrusko is fairly uncertain about his future. He currently plans to continue to live in Fort St. John and stay in the employ of DGS where he makes what he calls "good money" (about $52,000 per year). He may apply to be a foreman at DGS in the future. He wants to try to get his Class 3 driver's license, which would allow him to operate larger trucks.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He is not sure how he could continue with either his present position or as a truck driver if his low back condition worsened, given the physical requirements of both jobs. He does not see a sedentary office job in his future given his educational limitations. In addition, given his somewhat prickly personality, he quite candidly admits that he would prefer not working in a job where he would have to deal with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 and Reliability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Credibility arose on two points: firstly, the evidence of Mr. Andrusko and Ms. Alexander in respect of liability; and secondly, Mr. Andrusko's evidence on the damage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factors to be considered when assessing credibility were summarized by Dillon J.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1017"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1018"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1019"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1020" w:history="1">
        <w:r>
          <w:rPr>
            <w:rFonts w:ascii="arial" w:eastAsia="arial" w:hAnsi="arial" w:cs="arial"/>
            <w:i/>
            <w:color w:val="0077CC"/>
            <w:sz w:val="20"/>
            <w:u w:val="single"/>
            <w:shd w:val="clear" w:color="auto" w:fill="FFFFFF"/>
            <w:lang w:val="en-US" w:eastAsia="en-US" w:bidi="ar-SA"/>
          </w:rPr>
          <w:t>31 O.W.N. 202</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1021"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1022"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If the plaintiff's account of his or her change in physical, mental, or emotional state as a result of the accident is not convincing, then the hypothesis upon which any expert opinions rest will be undermined: </w:t>
      </w:r>
      <w:r>
        <w:rPr>
          <w:rFonts w:ascii="arial" w:eastAsia="arial" w:hAnsi="arial" w:cs="arial"/>
          <w:i/>
          <w:color w:val="000000"/>
          <w:sz w:val="20"/>
          <w:lang w:val="en-US" w:eastAsia="en-US" w:bidi="ar-SA"/>
        </w:rPr>
        <w:t>Samuel v. Chrysler Credit Canada Ltd.</w:t>
      </w:r>
      <w:r>
        <w:rPr>
          <w:rFonts w:ascii="arial" w:eastAsia="arial" w:hAnsi="arial" w:cs="arial"/>
          <w:color w:val="000000"/>
          <w:sz w:val="20"/>
          <w:lang w:val="en-US" w:eastAsia="en-US" w:bidi="ar-SA"/>
        </w:rPr>
        <w:t xml:space="preserve">, </w:t>
      </w:r>
      <w:hyperlink r:id="rId1023" w:history="1">
        <w:r>
          <w:rPr>
            <w:rFonts w:ascii="arial" w:eastAsia="arial" w:hAnsi="arial" w:cs="arial"/>
            <w:i/>
            <w:color w:val="0077CC"/>
            <w:sz w:val="20"/>
            <w:u w:val="single"/>
            <w:shd w:val="clear" w:color="auto" w:fill="FFFFFF"/>
            <w:lang w:val="en-US" w:eastAsia="en-US" w:bidi="ar-SA"/>
          </w:rPr>
          <w:t>2007 BCCA 431</w:t>
        </w:r>
      </w:hyperlink>
      <w:r>
        <w:rPr>
          <w:rFonts w:ascii="arial" w:eastAsia="arial" w:hAnsi="arial" w:cs="arial"/>
          <w:color w:val="000000"/>
          <w:sz w:val="20"/>
          <w:lang w:val="en-US" w:eastAsia="en-US" w:bidi="ar-SA"/>
        </w:rPr>
        <w:t xml:space="preserve"> at paras. 15, 49-50.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will address the credibility issues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stated above, Mr. Andrusko was driving along 100th Street after the light had turned green at the intersection of 101st Avenue. Mr. Andrusko estimated his speed at 35-40 km/hour although he was not particularly sure of his speed. He indicated in his evidence that he was driving at an appropriate speed and definitely below the speed limit of 50 km/hour.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As he was proceeding toward 102nd Avenue, he noticed Ms. Alexander coming into the intersection and that her car started to slide. He could not say for sure whether he saw a turn signal on her car, but he said that this left turn by Ms. Alexander was unexpected and that it occurred just before the crosswalk as he was entering the intersection. He estimated that he was only a car or one-and-a-half car lengths away when she started to turn into the intersection. Mr. Andrusko said that he applied the brakes, but they locked up and he hit her vehicle on the back of the passenger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There is a significant divergence in the parties' evidence about how the accident happened, and in particular, what other vehicles or pedestrians were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Alexander is 55 years old and lives in Fort St. John with Mr. Hickman. She has lived there for 23 years and she is very familiar with the intersection. She says that she was returning home from the bank. She confirmed Mr. Andrusko's evidence about the weather, in that it was overcast and the roads were snow-covered and icy underneath.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Alexander's evidence is that she turned right onto 100th Street at 106th Avenue, pulling into the right lane (beside the curb) and proceeding south down the street. At about 3/4 of a block before 102nd Avenue, she moved into the left lane so that she could turn left onto 102nd Avenue. At about the same time, she put her left turn signal on. She says that she was travelling behind an SUV, which eventually slowed and stopped just into the intersection. She stopped behind the SUV. From there she says that she observed a vehicle stopped in the northbound curb lane. She also says that she saw a woman stopped and standing on the far corner near to where the northbound vehicle was stopped. She waited to turn onto 102nd Avenue. She says that she looked around the SUV and did not see anything coming. In her words, she said that she had room to move around the SUV, so she proceeded to turn left. As she pulled out, she saw Mr. Andrusko's vehicle coming toward the intersection. She tried to get out of his way; as she put it, she "stepped on" the gas to accelerate her vehicle out of the way. She estimates that she was in the middle of the intersection when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Andrusko says that there was no SUV in the southbound lane, as Ms. Alexander suggests, or any pedestrian standing on the street corner. Further, he does not recall any vehicle alongside his vehicle going northbound.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After the collision, Mr. Andrusko got out of his vehicle and ran over to see if Ms. Alexander was all right. He said that she was getting hysterical and that she insinuated that he was speeding and to blame for the accident. Mr. Andrusko said that he replied that she had made an illegal turn in front of him. Ms. Alexander says that Mr. Andrusko said that he was sorry and that he was going too fast, which he denies. She denies that she said anything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Alexander also says that right after the accident, a woman came up to her and said something to the effect, "if you need a witness, you can call me". She says that this woman gave her a business card. On cross-examination, Ms. Alexander said that this woman was the driver of the vehicle stopped just before the intersection in the northbound lane of travel. She put the card in her pocket. Ms. Alexander does not recall or did not relate the specifics of this conversation later in her conversation with Constable Grainger of the RCMP, but she does say that she gave him the business card and that he later returned it to her. She then put it back in her coat pocket. She has no idea what happened to that business card. She never looked at it, so she has no idea what it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Alexander's husband picked her up, as her car was not driveable. She was stiff and sore the next day with some bruising, although she did not seek any medical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Constable Grainger attended at the scene shortly after the accident. He interviewed both Mr. Andrusko and Ms. Alexander. It is notable that the Constable's records, including the near contemporaneous notes taken just after the accident and the interviews, confirm what Ms. Alexander told him about the accident. He says that Ms. Alexander informed him that she was making a left turn onto 102nd Avenue when she was struck by Mr. Andrusko's vehicle. She made no mention of Mr. Andrusko allegedly speeding into the intersection. Nor did she mention anything about a pedestrian stopped on the corner or any other vehicles stopped at the intersection at the time. Finally, the Constable had no recollection or note of Ms. Alexander having given him a business card of a witness. His Occurrence Report, which was provided to the parties, indicates that no witnesses were "carded". He indicates that if he had been so informed, that person or witness would have been contacted.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Constable Grainger filled in his report while in his police cruiser immediately after he had interviewed the parties and cleared the scene. While he indicated during cross-examination that it is possible that he misplaced this business card, I believe it is unlikely. The Constable was the most objective and calm person on the scene and clearly would have recognized the need to identify a witness to the accident as an important detail of his investigation, particularly if Ms. Alexander had made a point of giving this card to him. Ms. Alexander was in shock and by her own admission, not thinking straight.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find that Ms. Alexander's evidence concerning this card is confusing and suspect. I find as a fact that even if Ms. Alexander had received a card from someone at the scene, she did not give it to Constable Grainger.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Constable Grainger indicated that if he can form an opinion of fault arising from his investigation at the accident, he would do so. His report indicates that "Alexander failed to yield the right of way to Andrusko in this collision".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addresses the rules of the road while making left hand turns: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Yielding right of way on left turn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leading decision on assigning liability arising from a collision where a vehicle is exercising a right of way and the other vehicle does not yield is found in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at 461 (S.C.C.). There, Cartwright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decision of every motor vehicle collision case must depend on its particular facts, I am of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 mali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test from </w:t>
      </w:r>
      <w:r>
        <w:rPr>
          <w:rFonts w:ascii="arial" w:eastAsia="arial" w:hAnsi="arial" w:cs="arial"/>
          <w:i/>
          <w:color w:val="000000"/>
          <w:sz w:val="20"/>
          <w:lang w:val="en-US" w:eastAsia="en-US" w:bidi="ar-SA"/>
        </w:rPr>
        <w:t>Walker</w:t>
      </w:r>
      <w:r>
        <w:rPr>
          <w:rFonts w:ascii="arial" w:eastAsia="arial" w:hAnsi="arial" w:cs="arial"/>
          <w:color w:val="000000"/>
          <w:sz w:val="20"/>
          <w:lang w:val="en-US" w:eastAsia="en-US" w:bidi="ar-SA"/>
        </w:rPr>
        <w:t xml:space="preserve"> was followed in </w:t>
      </w:r>
      <w:r>
        <w:rPr>
          <w:rFonts w:ascii="arial" w:eastAsia="arial" w:hAnsi="arial" w:cs="arial"/>
          <w:i/>
          <w:color w:val="000000"/>
          <w:sz w:val="20"/>
          <w:lang w:val="en-US" w:eastAsia="en-US" w:bidi="ar-SA"/>
        </w:rPr>
        <w:t>Pacheco (Guardian ad litem of) v. Robinson</w:t>
      </w:r>
      <w:r>
        <w:rPr>
          <w:rFonts w:ascii="arial" w:eastAsia="arial" w:hAnsi="arial" w:cs="arial"/>
          <w:color w:val="000000"/>
          <w:sz w:val="20"/>
          <w:lang w:val="en-US" w:eastAsia="en-US" w:bidi="ar-SA"/>
        </w:rPr>
        <w:t xml:space="preserve"> </w:t>
      </w:r>
      <w:hyperlink r:id="rId1024" w:history="1">
        <w:r>
          <w:rPr>
            <w:rFonts w:ascii="arial" w:eastAsia="arial" w:hAnsi="arial" w:cs="arial"/>
            <w:i/>
            <w:color w:val="0077CC"/>
            <w:sz w:val="20"/>
            <w:u w:val="single"/>
            <w:shd w:val="clear" w:color="auto" w:fill="FFFFFF"/>
            <w:lang w:val="en-US" w:eastAsia="en-US" w:bidi="ar-SA"/>
          </w:rPr>
          <w:t>(1993), 75 B.C.L.R. (2d) 273</w:t>
        </w:r>
      </w:hyperlink>
      <w:r>
        <w:rPr>
          <w:rFonts w:ascii="arial" w:eastAsia="arial" w:hAnsi="arial" w:cs="arial"/>
          <w:color w:val="000000"/>
          <w:sz w:val="20"/>
          <w:lang w:val="en-US" w:eastAsia="en-US" w:bidi="ar-SA"/>
        </w:rPr>
        <w:t xml:space="preserve"> (C.A.). In that case, a plaintiff cyclist had entered the intersection and then the defendant commenced a left-hand turn with her vehicle. The trial judge found that the defendant had failed to yield the right of way and that the plaintiff cyclist was "obviously and clearly so close so as to constitute an immediate hazard". The Court of Appeal overturned the trial judge's finding that the cyclist was contributorily negligent. The Court, adopting the comments in </w:t>
      </w:r>
      <w:r>
        <w:rPr>
          <w:rFonts w:ascii="arial" w:eastAsia="arial" w:hAnsi="arial" w:cs="arial"/>
          <w:i/>
          <w:color w:val="000000"/>
          <w:sz w:val="20"/>
          <w:lang w:val="en-US" w:eastAsia="en-US" w:bidi="ar-SA"/>
        </w:rPr>
        <w:t>Walker</w:t>
      </w:r>
      <w:r>
        <w:rPr>
          <w:rFonts w:ascii="arial" w:eastAsia="arial" w:hAnsi="arial" w:cs="arial"/>
          <w:color w:val="000000"/>
          <w:sz w:val="20"/>
          <w:lang w:val="en-US" w:eastAsia="en-US" w:bidi="ar-SA"/>
        </w:rPr>
        <w:t xml:space="preserve"> above,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...A defendant who wishes to make a left hand turn in an intersection has an obligation to yield to oncoming traffic which is in the intersection under the provision of s. 176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The plaintiff was not bound to guard against every conceivable eventuality but only against such eventualities as a reasonable person ought to have foreseen as being within the ordinary range of human experience. The plaintiff was entitled to proceed on the assumption that all other vehicles will do what it is their duty to do, namely observe the rules regulating traffic.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In my opinion, a driver who wishes to make a left hand turn at an intersection has an obligation not to proceed unless it can be done safely. Where each party's vision of the other is blocked by traffic, the dominant driver who is proceeding through the intersection is generally entitled to continue and the servient left-turning driver must yield the right of way. The existence of a left-turning vehicle does not raise a presumption that something unexpected might happen and cast a duty on the dominant driver to take extra care. Where the defendant, as here, has totally failed to determine whether a turn can be made safely, the defendant should be held 100 percent at fault for a collision which occurs.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In my opinion, when a driver in a servient position disregards his statutory duty to yield the right of way and a collision results, then to fix any blame on the dominant driver, the servient driver must establish that after the dominant driver became aware, or by the exercise of reasonable care should have become aware, of the servient driver's own disregard of the law, the dominant driver had a sufficient opportunity to avoid the accident of which a reasonably careful and skilful driver would have availed himself. In such circumstance any doubt should be resolved in favour of the dominant driver.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principles from the above cases were recently affirmed in </w:t>
      </w:r>
      <w:r>
        <w:rPr>
          <w:rFonts w:ascii="arial" w:eastAsia="arial" w:hAnsi="arial" w:cs="arial"/>
          <w:i/>
          <w:color w:val="000000"/>
          <w:sz w:val="20"/>
          <w:lang w:val="en-US" w:eastAsia="en-US" w:bidi="ar-SA"/>
        </w:rPr>
        <w:t>Nerval v. Kehra</w:t>
      </w:r>
      <w:r>
        <w:rPr>
          <w:rFonts w:ascii="arial" w:eastAsia="arial" w:hAnsi="arial" w:cs="arial"/>
          <w:color w:val="000000"/>
          <w:sz w:val="20"/>
          <w:lang w:val="en-US" w:eastAsia="en-US" w:bidi="ar-SA"/>
        </w:rPr>
        <w:t xml:space="preserve">, </w:t>
      </w:r>
      <w:hyperlink r:id="rId1025" w:history="1">
        <w:r>
          <w:rPr>
            <w:rFonts w:ascii="arial" w:eastAsia="arial" w:hAnsi="arial" w:cs="arial"/>
            <w:i/>
            <w:color w:val="0077CC"/>
            <w:sz w:val="20"/>
            <w:u w:val="single"/>
            <w:shd w:val="clear" w:color="auto" w:fill="FFFFFF"/>
            <w:lang w:val="en-US" w:eastAsia="en-US" w:bidi="ar-SA"/>
          </w:rPr>
          <w:t>2012 BCCA 436</w:t>
        </w:r>
      </w:hyperlink>
      <w:r>
        <w:rPr>
          <w:rFonts w:ascii="arial" w:eastAsia="arial" w:hAnsi="arial" w:cs="arial"/>
          <w:color w:val="000000"/>
          <w:sz w:val="20"/>
          <w:lang w:val="en-US" w:eastAsia="en-US" w:bidi="ar-SA"/>
        </w:rPr>
        <w:t>. Harris J.A. found that the analysis begins with determining whether the left-turning driver has satisfied the onus of proving that the oncoming vehicle was not an "immediate hazard":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w:t>
      </w:r>
      <w:r>
        <w:rPr>
          <w:rFonts w:ascii="arial" w:eastAsia="arial" w:hAnsi="arial" w:cs="arial"/>
          <w:color w:val="000000"/>
          <w:sz w:val="20"/>
          <w:u w:val="single"/>
          <w:lang w:val="en-US" w:eastAsia="en-US" w:bidi="ar-SA"/>
        </w:rPr>
        <w:t xml:space="preserve">The principles laid down in </w:t>
      </w:r>
      <w:r>
        <w:rPr>
          <w:rFonts w:ascii="arial" w:eastAsia="arial" w:hAnsi="arial" w:cs="arial"/>
          <w:i/>
          <w:color w:val="000000"/>
          <w:sz w:val="20"/>
          <w:u w:val="single"/>
          <w:lang w:val="en-US" w:eastAsia="en-US" w:bidi="ar-SA"/>
        </w:rPr>
        <w:t>Pacheco</w:t>
      </w:r>
      <w:r>
        <w:rPr>
          <w:rFonts w:ascii="arial" w:eastAsia="arial" w:hAnsi="arial" w:cs="arial"/>
          <w:color w:val="000000"/>
          <w:sz w:val="20"/>
          <w:u w:val="single"/>
          <w:lang w:val="en-US" w:eastAsia="en-US" w:bidi="ar-SA"/>
        </w:rPr>
        <w:t xml:space="preserve"> lead to the conclusion that the starting point of the analysis is that when a left turning driver is assessing making a left turn in an intersection he or she must yield the right of way to oncoming traffic unless it is not an immediate hazard</w:t>
      </w:r>
      <w:r>
        <w:rPr>
          <w:rFonts w:ascii="arial" w:eastAsia="arial" w:hAnsi="arial" w:cs="arial"/>
          <w:color w:val="000000"/>
          <w:sz w:val="20"/>
          <w:lang w:val="en-US" w:eastAsia="en-US" w:bidi="ar-SA"/>
        </w:rPr>
        <w:t xml:space="preserve">. Describing a driver as dominant means no more than that driver has the right of way, whereas the servient driver has the obligation to yield the right of way. </w:t>
      </w:r>
      <w:r>
        <w:rPr>
          <w:rFonts w:ascii="arial" w:eastAsia="arial" w:hAnsi="arial" w:cs="arial"/>
          <w:color w:val="000000"/>
          <w:sz w:val="20"/>
          <w:u w:val="single"/>
          <w:lang w:val="en-US" w:eastAsia="en-US" w:bidi="ar-SA"/>
        </w:rPr>
        <w:t>The obligation imposed by s. 174 on the left turning vehicle is that it "must yield the right of way to traffic approaching from the opposite direction that is in the intersection or so close as to constitute an immediate hazard". A left turn must not be commenced unless it is clearly safe to do so</w:t>
      </w:r>
      <w:r>
        <w:rPr>
          <w:rFonts w:ascii="arial" w:eastAsia="arial" w:hAnsi="arial" w:cs="arial"/>
          <w:color w:val="000000"/>
          <w:sz w:val="20"/>
          <w:lang w:val="en-US" w:eastAsia="en-US" w:bidi="ar-SA"/>
        </w:rPr>
        <w:t>. If there are no vehicles in the intersection or sufficiently close to be an imminent hazard, the driver may turn left and approaching traffic must yield the right of way. In other words, if a left turning driver complies with his or her obligation only to start the left turn when no other vehicles are in the intersection or constitute an immediate hazard, then the left turning driver assumes the relationship of being the dominant vehicle and approaching vehicles become servient and must yield the right of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As observed in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1026"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xml:space="preserve"> at para. 33, the words "immediate hazard" are "used to determine when a vehicle may lawfully enter an intersection. They determine who is the dominant driver, but do not, by themselves, define the standard of care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The effect of s. 174 is to cast the burden of proving the absence of an immediate hazard at the moment the left turn begins onto the left turning driver. This result flows inevitably from the wording of the section itself, given the nature of the absolute obligation the section creates. If a left turning driver, in the face of this statutory obligation, asserts that he or she started to turn left when it was safe to do so, then the burden of proving that fact rests with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evidence clearly indicates that Mr. Andrusko's vehicle was an immediate hazard when Ms. Alexander began her left-hand turn. As the court notes in </w:t>
      </w:r>
      <w:r>
        <w:rPr>
          <w:rFonts w:ascii="arial" w:eastAsia="arial" w:hAnsi="arial" w:cs="arial"/>
          <w:i/>
          <w:color w:val="000000"/>
          <w:sz w:val="20"/>
          <w:lang w:val="en-US" w:eastAsia="en-US" w:bidi="ar-SA"/>
        </w:rPr>
        <w:t>Nerval</w:t>
      </w:r>
      <w:r>
        <w:rPr>
          <w:rFonts w:ascii="arial" w:eastAsia="arial" w:hAnsi="arial" w:cs="arial"/>
          <w:color w:val="000000"/>
          <w:sz w:val="20"/>
          <w:lang w:val="en-US" w:eastAsia="en-US" w:bidi="ar-SA"/>
        </w:rPr>
        <w:t xml:space="preserve"> at para. 43, this determination is largely a function of speed and distance from the intersection. Mr. Andrusko's evidence was that Ms. Alexander turned unexpectedly in front of him and that she was only a short distance away when she began her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Ms. Alexander does not seriously suggest otherwise and concedes, at least in part, that she was to blame for the accident. She did not see Mr. Andrusko's car until she began her turn and it was too late by that time to stop and avoid the collision. On cross-examination, Ms. Alexander said that she was stopped behind the SUV and had room to move around it and attempt the left turn. Only when she was in the intersection making the turn did she first observe Mr. Andrusko. She said, "I was turning and there he was". She acknowledged that if she had seen Mr. Andrusko, she would not have turned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find as a fact that Ms. Alexander did not have a clear view of Mr. Andrusko's oncoming vehicle before she began to make the left-hand turn. I further find that while commencing her turn, Mr. Andrusko's vehicle constituted an "immediate hazard" in that Ms. Alexander could not complete that left-hand turn without risking a collision. As such, Ms. Alexander has not met the onus of showing that it was safe to complete the left-hand turn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Despite conceding some fault for the accident, Ms. Alexander asserts that Mr. Andrusko was also to blame for the collision and was therefore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As discussed in </w:t>
      </w:r>
      <w:r>
        <w:rPr>
          <w:rFonts w:ascii="arial" w:eastAsia="arial" w:hAnsi="arial" w:cs="arial"/>
          <w:i/>
          <w:color w:val="000000"/>
          <w:sz w:val="20"/>
          <w:lang w:val="en-US" w:eastAsia="en-US" w:bidi="ar-SA"/>
        </w:rPr>
        <w:t>Nerval</w:t>
      </w:r>
      <w:r>
        <w:rPr>
          <w:rFonts w:ascii="arial" w:eastAsia="arial" w:hAnsi="arial" w:cs="arial"/>
          <w:color w:val="000000"/>
          <w:sz w:val="20"/>
          <w:lang w:val="en-US" w:eastAsia="en-US" w:bidi="ar-SA"/>
        </w:rPr>
        <w:t>, this type of analysis follows after application of the "immediate hazard" test as the second aspect of determining fault for the collision: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The second aspect of the burden relates to proving that despite being the dominant driver, Ms. Khehra nonetheless was negligent and at fault for causing or contributing to the accident. Here, although Ms. Khehra had the right of way, she could exercise that right only in a safe manner. The trial judge correctly relied on the statement of principle from para. 18 of </w:t>
      </w:r>
      <w:r>
        <w:rPr>
          <w:rFonts w:ascii="arial" w:eastAsia="arial" w:hAnsi="arial" w:cs="arial"/>
          <w:i/>
          <w:color w:val="000000"/>
          <w:sz w:val="20"/>
          <w:lang w:val="en-US" w:eastAsia="en-US" w:bidi="ar-SA"/>
        </w:rPr>
        <w:t>Pacheco,</w:t>
      </w:r>
      <w:r>
        <w:rPr>
          <w:rFonts w:ascii="arial" w:eastAsia="arial" w:hAnsi="arial" w:cs="arial"/>
          <w:color w:val="000000"/>
          <w:sz w:val="20"/>
          <w:lang w:val="en-US" w:eastAsia="en-US" w:bidi="ar-SA"/>
        </w:rPr>
        <w:t xml:space="preserve"> quoted above, in assessing the evidence and reaching his conclusions.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Whether a through driver is dominant turns on whether the driver's vehicle is an immediate hazard at the material time, not why it is an immediate hazard. Dominance identifies who must yield the right of way. One consequence of this analysis is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 through driver does not disqualify that driver as the dominant driver. The through driver remains dominant, even though their conduct may be negligent. Indeed, the through driver's fault may be greater than the servient driver's fault. In other words, a through driver may be an immediate hazard even though that driver is speeding and given her speed would have to take sudden action to avoid the threat of a collision if the left turning driver did not yield the right of way. </w:t>
      </w:r>
      <w:r>
        <w:rPr>
          <w:rFonts w:ascii="arial" w:eastAsia="arial" w:hAnsi="arial" w:cs="arial"/>
          <w:color w:val="000000"/>
          <w:sz w:val="20"/>
          <w:u w:val="single"/>
          <w:lang w:val="en-US" w:eastAsia="en-US" w:bidi="ar-SA"/>
        </w:rPr>
        <w:t>The correct analysis is to recognize that the through driver is breaching his or her common law and perhaps statutory obligations and to address the issue as one of apportioning fault, not to reclassify the through driver as servient based on the degree to which the through driver is in breach of her obligations</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accordance with s. 4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when a plaintiff contributes negligently to causing his or her own injury, the court must determine relative degrees of fault. The correct inquiry is whether the plaintiff failed to take reasonable care for his or her own safety, and whether that failure was one of the causes of the accident: </w:t>
      </w:r>
      <w:r>
        <w:rPr>
          <w:rFonts w:ascii="arial" w:eastAsia="arial" w:hAnsi="arial" w:cs="arial"/>
          <w:i/>
          <w:color w:val="000000"/>
          <w:sz w:val="20"/>
          <w:lang w:val="en-US" w:eastAsia="en-US" w:bidi="ar-SA"/>
        </w:rPr>
        <w:t>Bradley v. Bath</w:t>
      </w:r>
      <w:r>
        <w:rPr>
          <w:rFonts w:ascii="arial" w:eastAsia="arial" w:hAnsi="arial" w:cs="arial"/>
          <w:color w:val="000000"/>
          <w:sz w:val="20"/>
          <w:lang w:val="en-US" w:eastAsia="en-US" w:bidi="ar-SA"/>
        </w:rPr>
        <w:t xml:space="preserve">, </w:t>
      </w:r>
      <w:hyperlink r:id="rId1027"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Fault or blameworthiness evaluates the parties' conduct in the circumstances, and the extent or degree to which it may be said to depart from the standard of reasonable care: </w:t>
      </w:r>
      <w:r>
        <w:rPr>
          <w:rFonts w:ascii="arial" w:eastAsia="arial" w:hAnsi="arial" w:cs="arial"/>
          <w:i/>
          <w:color w:val="000000"/>
          <w:sz w:val="20"/>
          <w:lang w:val="en-US" w:eastAsia="en-US" w:bidi="ar-SA"/>
        </w:rPr>
        <w:t>Alberta Wheat Pool v. Northwest Pile</w:t>
      </w:r>
      <w:r>
        <w:rPr>
          <w:rFonts w:ascii="arial" w:eastAsia="arial" w:hAnsi="arial" w:cs="arial"/>
          <w:color w:val="000000"/>
          <w:sz w:val="20"/>
          <w:lang w:val="en-US" w:eastAsia="en-US" w:bidi="ar-SA"/>
        </w:rPr>
        <w:t xml:space="preserve">, </w:t>
      </w:r>
      <w:hyperlink r:id="rId1028" w:history="1">
        <w:r>
          <w:rPr>
            <w:rFonts w:ascii="arial" w:eastAsia="arial" w:hAnsi="arial" w:cs="arial"/>
            <w:i/>
            <w:color w:val="0077CC"/>
            <w:sz w:val="20"/>
            <w:u w:val="single"/>
            <w:shd w:val="clear" w:color="auto" w:fill="FFFFFF"/>
            <w:lang w:val="en-US" w:eastAsia="en-US" w:bidi="ar-SA"/>
          </w:rPr>
          <w:t>2000 BCCA 505</w:t>
        </w:r>
      </w:hyperlink>
      <w:r>
        <w:rPr>
          <w:rFonts w:ascii="arial" w:eastAsia="arial" w:hAnsi="arial" w:cs="arial"/>
          <w:color w:val="000000"/>
          <w:sz w:val="20"/>
          <w:lang w:val="en-US" w:eastAsia="en-US" w:bidi="ar-SA"/>
        </w:rPr>
        <w:t xml:space="preserve"> at paras. 45-46.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Alexander asserts that Mr. Andrusko failed in respect of various statutory duties such that he contributed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Firstly, it is alleged that Mr. Andrusko breached s. 144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by speeding and driving without due care and attention: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Careless driving prohibited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(1) A person must not drive a motor vehicle on a highway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Specifically, it is alleged that Mr. Andrusko was going too fast for the winter road conditions he faced. However, I accept the evidence of Mr. Andrusko and find as a fact that he was not speeding. He was starting from a dead stop at the previous intersection. There was also no evidentiary basis upon which to assert that Mr. Andrusko was driving without due care and attention. I find that he was aware that Ms. Alexander's vehicle was in the oncoming lane, but he was surprised when she turned in front of him unexpectedly.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It is also alleged that Mr. Andrusko acted negligently in not stopping or slowing at the intersection given that other vehicles and pedestrians were in and around the intersection at the time. Ms. Alexander contends that Mr. Andrusko breached his statutory obligations arising under ss. 159 and 179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Passing on left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A driver of a vehicle must not drive to the left side of the roadway in overtaking and passing another vehicle unless the driver can do so in safety.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Rights of way between vehicle and pedestrian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(1) Subject to section 180, the driver of a vehicle must yield the right of way to a pedestrian where traffic control signals are not in place or not in operation when the pedestrian is crossing the highway in a crosswalk and the pedestrian is on the half of the highway on which the vehicle is travelling, or is approaching so closely from the other half of the highway that he or she is in danger.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vehicle is slowing down or stopped at a crosswalk or at an intersection to permit a pedestrian to cross the highway, the driver of a vehicle approaching from the rear must not overtake and pass the vehicle that is slowing down or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This argument is largely based on Ms. Alexander's evidence, as above, that during her left-hand turn, there were two other vehicles ? the SUV in front of her and a northbound vehicle stopped at the corner. In addition, she says that she saw a pedestrian standing on the corner of the intersection near to the stopped northbound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Andrusko had an entirely different recollection as to what was occurring in the intersection. He does not recall seeing any other vehicles, including both the SUV and the vehicle that Ms. Alexander says was stopped at the northbound corner in the right lane. Finally, he does not recall seeing any pedestrian on the corner.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Overall, in my view, Mr. Andrusko's evidence on these issues is more consistent with the probabilities affecting this case. Mr. Andrusko gave his evidence in a fair and straightforward manner and I consider that he was a credible witness. He appropriately conceded where his recollection was not clear. Overall, however, his evidence was consistent and clear. Accordingly, I found Mr. Andrusko to be a reliable witness of the events leading up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contrast, Ms. Alexander's evidence presented some difficulties relating to both before and after the accident. While I appreciate that she was doing her best to recall accurately, I consider that she failed in many material respects.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Ms. Alexander was clearly in some distress after the accident, indicating that she was numb and shaky. She further acknowledged that she was in shock after the accident and not thinking straight. She was very unclear on many details about the accident, including the order in which the events occurred. For example, she stated many times that she "believed" certain events had occurred. When asked about her conversations with the paramedics and police, she said it was "hard to remember".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Consistent with my conclusions on the reliability of Mr. Andrusko's evidence, I find that he did not admit to Ms. Alexander that he was speeding. While he says that he may have apologized for the accident in a general sense, I find that he did not acknowledge fault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Alexander's story about the pedestrian and the driver of the stopped northbound car is also suspect. In her direct examination, she only said that some woman came up to her and gave her a business card. Only during cross-examination did the further detail emerge that this "witness" was, in fact, the driver of the stopped car. She then described this woman as 45 years old with short sandy hair. Given that Ms. Alexander had little, if any, recollection of speaking to Constable Grainger, however, I consider that her recollection of these further details is not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Given Ms. Alexander's apparent views about who was at fault for the accident at the time, obtaining a contact number for a witness would have been an important matter for her. Despite that, no business card, if one was obtained by her, materialized at the time. Even if there was a business card from a witness, I accept Constable Grainger's evidence that she did not give any business card to him. While one might excuse Ms. Alexander, since she was in shock at the time, she did not produce it even at a later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Ms. Alexander also suggested in argument that Mr. Andrusko should have stopped for the pedestrian standing on the street corner waiting to cross 100th Street. During her direct testimony, however, this did not emerge as part of her explanation for turning left or even for her thought process in thinking that she could turn safely because Mr. Andrusko would stop for that pedestrian. As stated above, she did not even see Mr. Andrusko until she had commenced her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This story about the pedestrian being ready to cross the street only came out in cross-examination and only when Ms. Alexander was asked questions about what she had told her husband in the car on the way home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These various other factors ? such as the SUV, the stopped northbound vehicle and the pedestrian ? now raised by Ms. Alexander are also noticeably missing from any later reporting on the accident and the cause of the accident by Ms. Alexander.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As noted above, Constable Grainger had no note of being told about any of these matters by Ms. Alexander. Further, in the ICBC claim report filed by Ms. Alexander on January 3, 2008, the same day as the accident, the adjuster noted Ms. Alexander's description of the accident. There is no mention of any other cars, including the SUV and the stopped northbound vehicle, or of a pedestrian. Nor is there any recorded note that, as she now claims, she had assumed that Mr. Andrusko would stop to allow the pedestrian to cross the street. Lastly, she did not mention to ICBC the business card of the witness that she says she obtained. While I accept that these ICBC notes are not necessarily accurate in terms of what Ms. Alexander actually reported, Ms. Alexander has little recollection of what she did say. She does acknowledge, however, that she did not relay these further facts to the ICBC adjuster. Her explanation that she was unaware that she had to tell them everything is difficult to understand since she would have known that ICBC would attempt to determine fault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Lastly, the evidence does not support Ms. Alexander's description of the crosswalk and the pedestrian waiting to cross. There was no evidence at the trial about there being a crosswalk traversing 100th Street at the intersection in question. Further, even accepting that there was a pedestrian on the corner, there is no evidence that this pedestrian was trying to cross 100th Street at a crosswalk or otherwise. Ms. Alexander says that the person was just standing on the corner and had not made any movement to step into the street. This person might have been waiting to cross 102nd Avenue. Or, assuming that the stopped northbound vehicle was there, the pedestrian might have been talking to the driver of that vehicle. Lastly, if this person really was waiting to cross 100th Street, with the inside northbound vehicle already stopped, it is reasonable to assume that this pedestrian would have at least begun to venture into the street. Even on Ms. Alexander's evidence, this person did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conclude that Ms. Alexander's evidence on these other matters at the intersection is not reliable. I find as a fact that, contrary to Ms. Alexander's evidence, there was no stopped northbound car in the right lane. Nor was there any pedestrian stopped on the corner waiting to cross 100th Street, whether in a crosswalk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 accept Ms. Alexander's evidence concerning the SUV proceeding in front of her southbound on 100th Street, but I find that the SUV was not stopped in the intersection. I consider it more likely that, at some point while she was proceeding down 100th Street, the SUV would have impeded her view of the oncoming vehicles, including that of Mr. Andrusko. However, I find that as or just after she was commencing her left turn, the SUV was not blocking her view and she turned or continued to turn anyway. In any event, the presence of the SUV proceeding southbound through the intersection just before Ms. Alexander turned was not a matter that would have put Mr. Andrusko on notice of anything untoward at the intersection that should have caused him to slow down or stop. His continuing through the intersection in these circumstances did not violate any statutory requirement under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light of these findings, Ms. Alexander has failed to satisfy the onus upon her to establish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Mr. Andrusko's part, since there is no evidentiary basis for any arguments under ss. 144, 159 and 179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in relation to Mr. Andrusko's actions. In short, he did not act carelessly, there was no vehicle to pass on the left and there was no pedestrian attempting to cross 100th Street, whether in a crosswalk or otherwise. In addition, the SUV did not pose any issue. As such, Mr. Andrusko was entitled to proceed on the assumption that Ms. Alexander would obey the rules of the road: </w:t>
      </w:r>
      <w:r>
        <w:rPr>
          <w:rFonts w:ascii="arial" w:eastAsia="arial" w:hAnsi="arial" w:cs="arial"/>
          <w:i/>
          <w:color w:val="000000"/>
          <w:sz w:val="20"/>
          <w:lang w:val="en-US" w:eastAsia="en-US" w:bidi="ar-SA"/>
        </w:rPr>
        <w:t>Pacheco</w:t>
      </w:r>
      <w:r>
        <w:rPr>
          <w:rFonts w:ascii="arial" w:eastAsia="arial" w:hAnsi="arial" w:cs="arial"/>
          <w:color w:val="000000"/>
          <w:sz w:val="20"/>
          <w:lang w:val="en-US" w:eastAsia="en-US" w:bidi="ar-SA"/>
        </w:rPr>
        <w:t xml:space="preserve"> at paras. 11, 15; </w:t>
      </w:r>
      <w:r>
        <w:rPr>
          <w:rFonts w:ascii="arial" w:eastAsia="arial" w:hAnsi="arial" w:cs="arial"/>
          <w:i/>
          <w:color w:val="000000"/>
          <w:sz w:val="20"/>
          <w:lang w:val="en-US" w:eastAsia="en-US" w:bidi="ar-SA"/>
        </w:rPr>
        <w:t>Nerval</w:t>
      </w:r>
      <w:r>
        <w:rPr>
          <w:rFonts w:ascii="arial" w:eastAsia="arial" w:hAnsi="arial" w:cs="arial"/>
          <w:color w:val="000000"/>
          <w:sz w:val="20"/>
          <w:lang w:val="en-US" w:eastAsia="en-US" w:bidi="ar-SA"/>
        </w:rPr>
        <w:t xml:space="preserve"> at para. 29. She did not do so. Accordingly, I find Ms. Alexander solely responsible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plaintiff must establish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Causation need not be determined by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primary test for causation asks: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The "but for" test recognizes that an award of compensation for negligent conduct should be made only where a substantial connection between the injury and the defendant's conduct is present: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 Causation must be established on a balance of probabilities before damages are assessed. As McLachlin C.J.C.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[78] It is important to distinguish between causation as the source of the loss and the rules of damage assessment in tort. The rules of causation consider generally whether "but for" the defendant's acts, the plaintiff's damages would have been incurred on a balance of probabilities.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Mr. Barney's submissions that injury from traumas other than the sexual assault should not be excluded amount to the contention that once a tortious act has been found to be a material cause of injury, the defendant becomes liable for all damages complained of after, whether or not the defendant was responsible for those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Andrusko called Dr. James Filbey, who was qualified as a medical doctor with a speciality in physical medicine and rehabilitation and electrodiagnostic medicine. His speciality is more commonly referred to as "physiatry". Dr. Filbey examined Mr. Andrusko and prepared a report on March 9, 2011. He also prepared supplemental reports dated May 13 and November 23,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As will be discussed in more detail below, Dr. Filbey concluded that Mr. Andrusko had a pre-existing pars interarticularis defect, which is a situation where a bony ring in the vertebrae fails to turn into bone and remains a fibrous tissue. This was asymptomatic before the accident. Dr. Filbey concluded that Mr. Andrusko suffered soft tissue injuries which resulted in neck, shoulder and low back pain and that the low back injuries caused the pars defect to become symptomatic and contribute to the pain. Dr. Filbey concluded that it was his opinion that "Mr. Andrusko's current and ongoing symptoms are a direct result of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At the request of the defence, Mr. Andrusko was seen by Dr. Paul Bishop for an independent medical examination in November 2011. Dr. Bishop is a medical doctor. Although he does not have any recognized speciality from the Royal College of Physicians and Surgeons, as Dr. Filbey has in physiatry, Dr. Bishop has extensive experience in his clinical practice relating to the spine and is involved in teaching and research relating to the spine. He was qualified at the trial as having an expertise in non-operative pathology and diseases of the spine. He provided his report dated November 8, 2011 and supplemental report dated May 23,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Bishop similarly diagnosed Mr. Andrusko as having mechanical lower back and neck pain. On cross-examination, he acknowledged that these injuries were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On the basis of the medical opinions above, which I accept, particularly that of Dr. Filbey, I conclude that Mr. Andrusko has established on a balance of probabilities that his injuries, as will be described below, were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Andrusko's position at trial was that he sustained injuries to his neck, shoulder and low back, and that he has continuous numbness radiating in his left leg. He said that the neck and left shoulder pain improved over the first year or so, but that this pain is now intermittent and occurs about twice per week. Mr. Andrusko's major complaint is that since the accident, he has suffered a continuous low back injury, which is now chronic. This low back injury is to be considered in conjunction with the previously asymptomatic pars interarticularis defect at L5 (which is also called spondylolysis).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Ms. Alexander's position is that the neck and shoulder injuries were resolved in one year. Further, Ms. Alexander takes the position that Mr. Andrusko's low back pain arose from mild to moderate soft tissue injuries that were resolved by late 2011.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Summary of Lay Witness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medical clinical records confirm complaints of pain and numbness in the left leg arising immediately following the accident and complaints of ongoing pain in the lower back continuing to at least October 2009, over a year and a half after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January 4, 2008 - Dr. Brussow ... has muscle pains - Meds given; O/e stiff neck ... muscular.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January 17, 2008 - Dr. Brussow - Pt was in MVC and has back pain .. lumber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xml:space="preserve"> ] area and sciatica into his [left] leg ... Meds did help but he went to chiropractor and that helped somewhat.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March 26, 2008 - Dr. Van Zyl - still with some pain in neck and lower back after recent accident ... O: ... some tenderness over trapezius; A: myalgia (post traumatic); P: ... meds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April 23, 2008 - Dr. Van Zyl - still seeing chiropractor, reports pain in lower back, seems like the muscle relaxants worked for the neck spasms at least; O: multiple triggerpoints in lower back; A: post traumatic backpain; P: reassured. advice given on stretches, sleep habits etc.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June 12, 2008 - Dr. Van Zyl - still co lower back pain, says that chiropractor visits not helping, is there an alternative? suggests massage therapy; A: post MVA, mechanical backpain.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October 20, 2008 - Dr. Van Zyl - still with pain after accident requests nalgesia; succeeded in all conservative measures; A: myalgia; P: reassured, see meds.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October 19, 2009 - Dr. Van Zyl - doing well, still with ongoing backpain after accident last year. no other problems; A: ongoing mechanical backpain; P: refill of meds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Van Zyl moved back to South Africa about two years ago and did not testify as to his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have already indicated that Mr. Andrusko undertook treatments with a chiropractor for about one year after the accident. He then began visits with a physiotherapist in January 2009, a treatment which he found was more helpful. As to the ongoing nature of his symptoms at that time, the physiotherapy records disclose a note on January 30, 2009 that his neck and shoulders were stiff. Mr. Andrusko says that this is consistent with the neck and shoulder pain which was continuing, albeit on an intermittent basis,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During cross-examination, Mr. Andrusko did say that by April 2008, his neck, shoulder and back were not affecting him as much. Mr. Andrusko also agreed during cross-examination that by January 2010, he was only experiencing lower back problems, although he contended that there continued to be intermittent neck and shoulder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Andrusko gave evidence as to the history of his medical complaints arising from the accident in a straightforward manner. I have related some of that history above. Importantly, however, he relates that his improvement has plateaued. He says that at this time, his low back pain and leg numbness remain a fairly constant companion and the neck and shoulder pain arise intermittently. Further, at times, his low back pain is severe depending on his activities at work. He has attempted to address his pain and numbness through exercise and, most recently,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His complaints are corroborated by the evidence of his fiancé, Ms. Stroud. Moreover, somewhat more independent evidence was given by Mr. Higgins, his friend and former co-worker at DGS, concerning ongoing back pain. Mr. Higgins was aware of Mr. Andrusko's low back problems. At times, Mr. Andrusko would mention having problems and that he was taking a break. Mr. Higgins also confirmed that Mr. Andrusko had complaints only a month before Mr. Higgins gave testimony. Mr. Higgins did not consider that Mr. Andrusko was a "complainer". Finally, the most independent evidence came from Mr. Stanway, his boss at Joy Propane, who also confirmed that Mr. Andrusko was put on lighter duties after the accident. While Mr. Andrusko did not call his current supervisor to give evidence at trial, this is understandable since he does not want to advertise his low back difficulties to his current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defence's submissions as to the extent of Mr. Andrusko's injuries are principally directed toward the limited health care that Mr. Andrusko obtained after the accident and the fact that he continued to work the same type of job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defence points to the fact that he did not obtain medical treatment at the scene, but that can be balanced against the fact that he sought medical treatment the day after the accident. The defence also points to the 15 chiropractic treatments in 2008, followed by the 11 physiotherapy sessions in 2009. It is true that treatments continued to taper off after that time, with 10 physiotherapy sessions from the beginning of 2010 until November 2012. However, Mr. Andrusko provided evidence that he had difficulty taking time off while working at DGS beginning in early 2010. That would explain the fewer attendances. In addition, during the off-season from working at DGS, there would obviously be less physical strain on his body that would typically give rise to the need for such treatments. Consistent with the DGS working season, he had two attendances at the Fort St. John Medical Clinic relating to the accident injuries in each of 2010 and 2011, early and late in the calendar year. His only attendance in 2012 was also in May.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fact that he takes little medication also does not indicate a lack of ongoing injury. He takes medication only occasionally because he is concerned about being less than alert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 defence also suggests that the medical records do not support Mr. Andrusko's ongoing complaints of pain. Yet a review of the records shows ongoing complaints of back pain into 2012. This is less so in relation to the intermittent neck and shoulder pain. This argument raises the same issues as were addressed in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1029"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xml:space="preserve"> at paras. 30-39, aff'd with caveat </w:t>
      </w:r>
      <w:hyperlink r:id="rId1030"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 xml:space="preserve"> at paras. 29-30, concerning whether medical records really do constitute a true record of what a patient might be experiencing ? or not experiencing ? at the time. Mr. Andrusko specifically stated that while the records may indicate only back pain, he did not tell the doctor about all of his complaints of pain at every visit. Rather, he likely mentioned only what was bothering him the most. In that regard, the back pain was always his major complaint. I accept his evidence of the extent of his injuries, as I consider Mr. Andrusko to be a stoic individual. As confirmed by Ms. Stroud and Mr. Higgins, he is not, to put it less elegantly, a complainer. He candidly said that he just pushed through the pain for the most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Andrusko also has a particularly brusque manner of speaking. In my view, this negatively affects how he relates his symptoms. This may have contributed to what Mr. Andrusko communicated, or did not communicate, to his health care providers. Accordingly, I do not accept that these clinical records confirm that the soft tissue injuries relating to his neck and shoulder were resolved quickly over some four months, as contended by Ms. Alexander. Nor do I consider that they support the argument that his low back pain and numbness has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Finally, the defence argues that Mr. Andrusko's work record indicates that he has recovered. It points to the fact that Mr. Andrusko finally returned to normal duties at Joy Propane and later obtained very physical jobs at H2Oasis and DGS.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Andrusko is a poor communicator. I have taken that into account in considering his evidence. Whether that comes from his limited education is unclear and likely irrelevant. Derek Nordin, the vocational evaluator who gave evidence at trial, stated that, in his view, Mr. Andrusko was a poor historian and had difficulty relating his history to him. Like Mr. Nordin, however, I consider that he was doing his best in terms of giving an honest account of his injuries since the accident. Again, Mr. Andrusko is a stoic person. He continued working with pain because he simply had no choice. That he continued working does not mean that he was free of pain in doing so.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Expert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Filbey's report of March 9, 2011 outlined Mr. Andrusko's complaints as outlined above, namely that his neck pain is intermittent and that when he does get a stiff neck it is a sharp and instantaneous pain when he turns right or left. His report records that this occurs once or twice every few months. There was also a report of shoulder pain which was said to happen more frequently than the neck pain and which results in a dull burning pain. This was located in the trapezius and back shoulder region. Mr. Andrusko reported that this was occurring once per week and would occur with long stationary postures. With respect to the low back, Mr. Andrusko reported that this dull pain is present all the time and that he also gets sharp pains that he describes as "unbearable". These sharp pains are followed by numbness in his left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As stated above, Dr. Filbey gave his opinion that Mr. Andrusko has low back pain and cervicothoracic pain and that he unfortunately is in the small category of people who have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defence raised the argument that Dr. Filbey's reports were inconsistent with respect to the pars defect that was found on the right side. In his first report, he indicated that the pain was bilateral, meaning that it is on both sides. In his later report, he indicated that the pain was localized to the right side as a result of biomechanical alterations arising from the pars defect. Ms. Alexander argues that Dr. Filbey was backtracking in terms of his explanation for the pain. I do not agree. I take from Dr. Filbey's report that the pain was found in a general area. The fact that it was found more on the right does not change the overall finding. I note that Dr. Bishop found discomfort on the left side. It seems clear that locating and noting pain is not an exact science.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contrary opinion of Dr. Bishop principally centered on his proposition that he could detect no objective findings of abnormality that would explain the ongoing symptoms alleged by Mr. Andrusko. Nor did he find any evidence that the pars defect was playing any role in Mr. Andrusko's low back pain. On that basis, he concluded that it would be reasonable for Mr. Andrusko to suffer an acute phase after the accident of 12 to 16 weeks. Dr. Bishop acknowledged that during this period of recovery Mr. Andrusko was likely to experience an increase in the intensity of his pain symptoms, but that was normal. After that time, he was unable to relate any of Mr. Andrusko's ongoing spine-related symptoms directly to the trauma arising from the accident. At the time of his report in November 2011, Dr. Bishop considered that Mr. Andrusko's prognosis for a full recovery to his pre-accident level was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Nevertheless, on cross-examination, Dr. Bishop agreed that pain is often unable to be related to any other objective criteria. He agreed that many patients have pain and doctors cannot determine what is wrong with them. He agreed that pain can be very disabling. In his practice, if the disability, as self-reported by the patient, exceeds the impairment and is ruled out on a purely objective basis, he would normally look for other factors that might be contributing to the ongoing pain. He indicated that Mr. Andrusko had one of these, but he did not identify that risk factor. In any event, he indicated that further testing should be done on Mr. Andrusko to determine whether there is anything else contributing to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Bishop confirmed that in a small proportion of people who experience pain, 5% of them will continue to suffer with chronic pain. In that situation, the medical profession typically turns to consider pain management techniques.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There is obviously a need in this case to carefully consider Mr. Andrusko's subjective evidence as to the extent of his injuries. That and the conflict in the medical evidence concerning objective evidence of impairment invites a consideration of the oft-quoted comments of the court regarding subjective reports of pain. The correct and cautious approach to assessing injuries which depend on subjective reports of pain was discussed in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at 399 (S.C.) by McEachern C.J. In referring to an earlier decision,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Butler v. Blaylock</w:t>
      </w:r>
      <w:r>
        <w:rPr>
          <w:rFonts w:ascii="arial" w:eastAsia="arial" w:hAnsi="arial" w:cs="arial"/>
          <w:color w:val="000000"/>
          <w:sz w:val="20"/>
          <w:lang w:val="en-US" w:eastAsia="en-US" w:bidi="ar-SA"/>
        </w:rPr>
        <w:t xml:space="preserve">, </w:t>
      </w:r>
      <w:hyperlink r:id="rId316"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 decided 7th October 1981, Vancouver No. B781505 (unreported), I referred to counsel's argument that a defendant is often at the mercy of a plaintiff in actions for damages for personal injuries because complaints of pain cannot easily be disproved. I then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not stating any new principle when I say that the court should be exceedingly careful when there is little or no objective evidence of continuing injury and when complaints of pain persist for long periods extending beyond the normal or usual recovery.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 that his complaints of pain are true reflections of a continuing injury.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Summary of the Injuries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As I have indicated above, I consider Mr. Andrusko to have been a credible witness. I found that he attempted to give his evidence in terms of his injuries in an honest and forthright manner. As stated above, Mr. Andrusko is not a very good communicator and I have taken that into account in considering his evidence. I also consider that he is a stoic individual who does not want others to think of him as a "complainer".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extent of his injuries was confirmed by the evidence of Ms. Stroud, who I also found to be a credible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Moreover, Mr. Andrusko's evidence is supported by the clinical records of the Fort St. John Medical Clinic. While I appreciate that the clinical notes do not record every single complaint made by Mr. Andrusko on a particular day, they generally reflect his ongoing complaints and the treatment of those complaints over the period of time of those records. The physiotherapy and chiropractic reports also provide independent confirmation of Mr. Andrusko's complaints over this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independent evidence of Mr. Stanway and Mr. Higgins further confirms Mr. Andrusko's complaints about his low back, shoulder and neck pain in the workplace.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Finally, I have considered Dr. Bishop's concerns about the lack of objective evidence of Mr. Andrusko's pain. For the most part, Dr. Bishop's rejection of physical examination techniques was based on research examining the reliability of various procedures to determine tenderness, such as palpation. In light of this, I have approached that matter with some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 am particularly persuaded by Dr. Filbey's evidence concerning the difficulty that he himself acknowledged was present when confirming pain in similar situations. Dr. Filbey said that with respect to musculoskeletal injuries such as that suffered by Mr. Andrusko, the fact that a diagnosis is largely based on a patient's subjective complaints of pain is hardly unusual. Nevertheless, Dr. Filbey indicated that he takes steps to test the complaints of pain in an organized fashion that allows him to form some view as to whether the subjective complaints are justified. In this case, he expressed no hesitation in confirming his opinion that Mr. Andrusko's complaints are real. In addition, Dr. Filbey indicated that he relied not only on Mr. Andrusko's complaints of pain but also on his own physical examination and review of all of the relevant records and medical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Overall, I consider Dr. Filbey's reports to be a more comprehensive consideration of the circumstances relating to Mr. Andrusko. To a large extent, Dr. Bishop seems to have relied upon various research results which addressed certain issues within a large population base. As Dr. Filbey said, research is fine, but it must be balanced against the actual individual that is before you with a particular problem. In addition, I consider that Dr. Filbey was better qualified from a medical perspective to opine on Mr. Andrusko's issues in this particular situation. Overall, I found Dr. Filbey's reports to be consistent in terms of his findings of pain. Accordingly, where there is a difference of opinion as between the two doctors, I prefer and accept the evidence and opinion of Dr. Filbey.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On the basis of the lay witness evidence and the expert evidence of Dr. Filbey, I find the following facts in relation to the determination of Mr. Andrusko's injuries:</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Andrusko suffered injuries to his neck and shoulder, which were largely resolved within one year. Pain from those areas continues to flare up from time to time, about once per week, at which time the pain is severe;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Andrusko suffered injuries to his low back such that he has constant pain in that area, which is at times severe. In conjunction with this low back pain, Mr. Andrusko suffers from persistent numbness in his left leg on a regular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also find that further improvement of these injuries is unlikely. To use the medical term, Mr. Andrusko's condition is now "chronic".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Quantum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Non-pecuniary damages are awarded to compensate the plaintiff for pain, suffering, loss of enjoyment of life, and loss of amenities. The compensation awarded should be fair to all parties. Fairness is measured against awards made in comparable cases. However, such cases, though helpful, serve only as a rough guide. Each case depends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1031"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the Court of Appeal outlined the factors to be considered when assessing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Harris</w:t>
      </w:r>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590"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590"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The assessment of non-pecuniary damages is necessarily influenced by the individual plaintiff's personal experiences in dealing with his injuries and their consequences, and the plaintiff's ability to articulate that experience: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1032"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Mr. Andrusko cites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656"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Miller v. Lawlor</w:t>
      </w:r>
      <w:r>
        <w:rPr>
          <w:rFonts w:ascii="arial" w:eastAsia="arial" w:hAnsi="arial" w:cs="arial"/>
          <w:color w:val="000000"/>
          <w:sz w:val="20"/>
          <w:lang w:val="en-US" w:eastAsia="en-US" w:bidi="ar-SA"/>
        </w:rPr>
        <w:t xml:space="preserve">, </w:t>
      </w:r>
      <w:hyperlink r:id="rId1033" w:history="1">
        <w:r>
          <w:rPr>
            <w:rFonts w:ascii="arial" w:eastAsia="arial" w:hAnsi="arial" w:cs="arial"/>
            <w:i/>
            <w:color w:val="0077CC"/>
            <w:sz w:val="20"/>
            <w:u w:val="single"/>
            <w:shd w:val="clear" w:color="auto" w:fill="FFFFFF"/>
            <w:lang w:val="en-US" w:eastAsia="en-US" w:bidi="ar-SA"/>
          </w:rPr>
          <w:t>2012 BCSC 387</w:t>
        </w:r>
      </w:hyperlink>
      <w:r>
        <w:rPr>
          <w:rFonts w:ascii="arial" w:eastAsia="arial" w:hAnsi="arial" w:cs="arial"/>
          <w:color w:val="000000"/>
          <w:sz w:val="20"/>
          <w:lang w:val="en-US" w:eastAsia="en-US" w:bidi="ar-SA"/>
        </w:rPr>
        <w:t xml:space="preserve"> in support of an award of $85,000. In </w:t>
      </w:r>
      <w:r>
        <w:rPr>
          <w:rFonts w:ascii="arial" w:eastAsia="arial" w:hAnsi="arial" w:cs="arial"/>
          <w:i/>
          <w:color w:val="000000"/>
          <w:sz w:val="20"/>
          <w:lang w:val="en-US" w:eastAsia="en-US" w:bidi="ar-SA"/>
        </w:rPr>
        <w:t>Pett</w:t>
      </w:r>
      <w:r>
        <w:rPr>
          <w:rFonts w:ascii="arial" w:eastAsia="arial" w:hAnsi="arial" w:cs="arial"/>
          <w:color w:val="000000"/>
          <w:sz w:val="20"/>
          <w:lang w:val="en-US" w:eastAsia="en-US" w:bidi="ar-SA"/>
        </w:rPr>
        <w:t xml:space="preserve">, a young man who was a construction worker was injured and had suffered neck and shoulder injuries which resolved fairly quickly. His chronic lower back pain persisted and affected both his work and recreational activities. Non-pecuniary damages in the amount of $85,000 were awarded. In </w:t>
      </w:r>
      <w:r>
        <w:rPr>
          <w:rFonts w:ascii="arial" w:eastAsia="arial" w:hAnsi="arial" w:cs="arial"/>
          <w:i/>
          <w:color w:val="000000"/>
          <w:sz w:val="20"/>
          <w:lang w:val="en-US" w:eastAsia="en-US" w:bidi="ar-SA"/>
        </w:rPr>
        <w:t>Miller</w:t>
      </w:r>
      <w:r>
        <w:rPr>
          <w:rFonts w:ascii="arial" w:eastAsia="arial" w:hAnsi="arial" w:cs="arial"/>
          <w:color w:val="000000"/>
          <w:sz w:val="20"/>
          <w:lang w:val="en-US" w:eastAsia="en-US" w:bidi="ar-SA"/>
        </w:rPr>
        <w:t>, a young man suffered injuries giving rise to chronic pain, which affected his physical work and recreational activities. The award was $65,000.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Counsel for Ms. Alexander agreed that if I rejected her submissions on the extent of Mr. Andrusko's injuries, which I have, the range suggested by Mr. Andrusko for non-pecuniary damages was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I consider that the circumstances in </w:t>
      </w:r>
      <w:r>
        <w:rPr>
          <w:rFonts w:ascii="arial" w:eastAsia="arial" w:hAnsi="arial" w:cs="arial"/>
          <w:i/>
          <w:color w:val="000000"/>
          <w:sz w:val="20"/>
          <w:lang w:val="en-US" w:eastAsia="en-US" w:bidi="ar-SA"/>
        </w:rPr>
        <w:t>Pett</w:t>
      </w:r>
      <w:r>
        <w:rPr>
          <w:rFonts w:ascii="arial" w:eastAsia="arial" w:hAnsi="arial" w:cs="arial"/>
          <w:color w:val="000000"/>
          <w:sz w:val="20"/>
          <w:lang w:val="en-US" w:eastAsia="en-US" w:bidi="ar-SA"/>
        </w:rPr>
        <w:t xml:space="preserve"> are the closest to those of Mr. Andrusko. Both cases involve young men who are involved in very physical jobs. Both are considered stoic in that they work through the pain. Like Mr. Pett, some of Mr. Andrusko's injuries have abated, but they remain intermittent to this time. They also generally return when Mr. Andrusko's job activities exacerbate that pain, something that happens fairly frequently. The low back pain and leg numbness is persistent and will be a condition that Mr. Andrusko lives with for the rest of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While most of the impact of Mr. Andrusko's injuries is being experienced in his working life, it has also impacted his personal life, particularly his relationship with Ms. Stroud. Also, his ability to work at his DJ business has been affected in the sense that it is uncomfortable to sit for long periods of time without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In addition, Dr. Filbey indicated in his report that Mr. Andrusko could continue to do his housekeeping and yard work on his own, although in less than 20 years he would more than likely require assistance for heavy seasonal tasks. These circumstances are factors that may be considered in the assessment of non-pecuniary damages: </w:t>
      </w:r>
      <w:r>
        <w:rPr>
          <w:rFonts w:ascii="arial" w:eastAsia="arial" w:hAnsi="arial" w:cs="arial"/>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1034"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xml:space="preserve"> at para. 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Pett</w:t>
      </w:r>
      <w:r>
        <w:rPr>
          <w:rFonts w:ascii="arial" w:eastAsia="arial" w:hAnsi="arial" w:cs="arial"/>
          <w:color w:val="000000"/>
          <w:sz w:val="20"/>
          <w:lang w:val="en-US" w:eastAsia="en-US" w:bidi="ar-SA"/>
        </w:rPr>
        <w:t>, the plaintiff's injuries had a significant impact on his recreational activities. I do not consider that Mr. Andrusko's non-work activities have been as negatively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Taking all the circumstances into account, I award the sum of $80,000.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One of the most controversial issues at the trial concerned Mr. Andrusko's prognosis and ability to earn income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A claim for loss of future earning capacity raises two key questions: 1) has the plaintiff's earning capacity been impaired by his or her injuries; and 2) if so, what compensation should be awarded for the resulting financial harm that will accrue over time? The appropriate means of assessment will vary from case to case: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Pallos v. Insurance Corporation of British Columbia</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Pett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Insofar as it is possible, the plaintiff should be put in the position he or 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601"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The essential task of the court is to compare the likely future of the plaintiff's working life if the accident had not happened with the plaintiff's likely future working life after the accident: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The plaintiff must always prove that there is a real and substantial possibility of a future event leading to an income loss: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If that burden is met, then there are two possible approaches to assessing the loss of future earning capacity: the "earnings approach" from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the "capital asset approach"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Both approaches are correct and will be more or less appropriate depending on whether the loss in question can be quantified in a measureable way: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The earnings approach involves a form of math-oriented methodology such as (i) postulating a minimum annual income loss for the plaintiff's remaining years of work, multiplying the annual projected loss by the number of remaining years and calculating a present value, or (ii) awarding the plaintiff's entire annual income for a year or two: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The capital asset approach involves considering factors such as whether the plaintiff: (i) has been rendered less capable overall of earning income from all types of employment; (ii) is less marketable or attractive as a potential employee; (iii) has lost the ability to take advantage of all job opportunities that might otherwise have been open; and (iv) is less valuable to herself as a person capable of earning income in a competitive labour market: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at para. 233.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The principles that apply in assessing loss of future earning capacity were summarized by Low J.A. in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[101] The relevant principles may be briefly summarized. The standard of proof in relation to future events is simple probability, not the balance of probabilities, and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(Q.L.). Moreover, the task of the Court is to assess the losses, not to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at 79.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Dr. Filbey, consistent with the evidence of both Mr. Andrusko and Ms. Stroud, found that it was more likely than not that he had reached a point of maximum medical improvement. He concluded that Mr. Andrusko was more likely than not to remain symptomatic at his current level, assuming that he continues to exercise and obtains therapy as needed. Dr. Filbey concluded that the pars defect was associated with biomechanical alterations in his back area following the symptom development, which predisposed Mr. Andrusko to be more recalcitrant to treatment and recovery in the low back. Dr. Filbey stated that there was a "real" possibility that Mr. Andrusko would have increased lower back symptoms in the future: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possible that 10-15 years down the road he will have some increased low back pain related to the symptomatic pars defect. Such aggravation would likely increase his symptoms burden in the lumbar spine. The cervicothoracic and costovertebral symptoms are likely to remain stable without significant change based upon the current pattern.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Dr. Filbey also addressed Mr. Andrusko's prognosis given his chosen line of work in manual labor: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Occupationally, Mr. Andrusko is a manual worker. He has limited educational background to grade 10 and does not plan on further formal education. He enjoys manual labour and is able to tolerate such work but it is evident from his reports that he has symptom aggravation with such tasks. It is reasonable to assume that he will be able to continue with such employment as tolerated but his durability over the long-term with such works may be less. It is my opinion that over by 10-15 years from now, his low back symptoms are likely to be increased with manual labour and will limit his employment opportunity and durability.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would be best suited for work that sedentary or light. Moderate tasks may be tolerable to him so long as he can vary his tasks and activities during the day. Heavy regular labour is not recommended for him based upon his symptom profile. If Mr. Andrusko avoids symptom aggravation with manual work at this time, his prognosis in the future may be improved from a symptomatic perspective.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As stated above, Mr. Andrusko called Mr. Nordin of The Vocational Consulting Group. He was qualified as an expert vocational assessor and counsellor. Mr. Nordin prepared a report dated January 19, 2012 and a supplemental report dated August 20, 2012. Mr. Andrusko was interviewed in Vancouver on November 9, 2011 and given a variety of aptitude and other tests. Mr. Nordin relies on the results of the testing, certain self-reporting by Mr. Andrusko of his symptoms, and the reports of Dr. Filbey.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Of particular importance to Mr. Nordin was Dr. Filbey's diagnosis of neck, shoulder and low back pain and that his low back symptoms would, within 10 to 15 years, likely increase with manual labour, limiting his employment opportunity and durability. Mr. Nordin was asked to assume that Mr. Andrusko would work at his job for the next 15 to 20 years and then stop, and to provide his opinion of what would be the consequences to Mr. Andrusko vocationally. In addition, Mr. Nordin was asked to comment on options available to Mr. Andrusko if he followed Dr. Filbey's advice to change his occupation to one that requires lighter strength.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results of the testing indicated that Mr. Andrusko scored well below average in reading, spelling and math. In fact, in most of those subjects, he was even well below the grade 10 level that he had achieved in high school. Mr. Nordin concluded that Mr. Andrusko was not a strong candidate for further schooling. He further concluded that Mr. Andrusko should stay employed as at present and that his prospects were not good if his low back pain prevented him from continuing in the future. Essentially, Mr. Andrusko would be limited to lighter strength work and a corresponding loss of income: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Mr. Andrusko is not likely going to be able to complete any program of a post-secondary academic nature, including most high end trades training (i.e. plumbing, electrical, mechanical, etc.).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Mr. Andrusko is an individual who does have some potential to acquire skills but this will be through on the job training/experience (much as he has done to date).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he is an unsuitable candidate for retraining based on his current education level, his unsuccessful attempts to complete further grade levels, his poor grades, his expressed disinterest in returning to school, his academic achievement as measured by [the testing], as well as his weak scores on most subscales of the </w:t>
      </w:r>
      <w:r>
        <w:rPr>
          <w:rFonts w:ascii="arial" w:eastAsia="arial" w:hAnsi="arial" w:cs="arial"/>
          <w:color w:val="000000"/>
          <w:sz w:val="20"/>
          <w:u w:val="single"/>
          <w:lang w:val="en-US" w:eastAsia="en-US" w:bidi="ar-SA"/>
        </w:rPr>
        <w:t>GATB</w:t>
      </w:r>
      <w:r>
        <w:rPr>
          <w:rFonts w:ascii="arial" w:eastAsia="arial" w:hAnsi="arial" w:cs="arial"/>
          <w:color w:val="000000"/>
          <w:sz w:val="20"/>
          <w:lang w:val="en-US" w:eastAsia="en-US" w:bidi="ar-SA"/>
        </w:rPr>
        <w:t xml:space="preserve"> aptitude assessment, particularly General Learning 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these work experiences, he has demonstrated potential to acquire skills through on the job training/experience. Since he is likely not able to complete any program of a post-secondary academic nature, including most high end trades training, he is essentially relegated to unskilled or semi-skilled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Occupations suitable for Mr. Andrusko, therefore, would include other entry level occupations dependent on what he can physically manage.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in the future he is unable to engage in work of heavy or medium strength nature, then he will most likely be left with lighter strength occupations and potentially lower residual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present time, his best vocational option is to stay where he is currently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In Mr. Nordin's supplemental report, he was asked to comment on the suitability of certain occupations for Mr. Andrusko given his limitations. He considered examples such as truck drivers and landscape and grounds maintenance workers, all considered to be medium strength jobs. Assuming that his low back pain conditions continued into the future, Mr. Nordin was of the view that Mr. Andrusko was not suited for work as a long-distance truck driver. He could possibly be considered for local truck driving positions, where he would have the opportunity of getting out of the truck during the course of a workday. It was Mr. Nordin's experience, however, that individuals who have low back pain are generally ill-suited for any kind of truck driving position, given that truck drivers are often required to do manual work, such as chaining tires. Mr. Nordin was also of the view that Mr. Andrusko was not suitable for work as a landscape and grounds maintenance worker given the significant amount of bending and lifting involved in those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Mr. Nordin was also asked what options Mr. Andrusko would be left with if he was no longer able to continue working at DGS or if he lost his job. Mr. Nordin considered that working as a fry cook may be possible, although some bending and lifting would be involved in that that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Finally, Mr. Nordin was asked whether Mr. Andrusko would be at a disadvantage competing for work with others who did not have low back pain or that type of limitation. Mr. Nordin stated categorically that Mr. Andrusko likely would be at a disadvantage. Specifically, Mr. Nordin stated that "Mr. Andrusko has very limited education and his primary asset was his ability to engage in physical demanding work". Mr. Nordin also examined the types of employment that are generally available in the Fort St. John area. With the exception of retail and hospitality (where he might work as a cashier at substantially lower pay), the remaining sectors of oil and gas, services, forestry, construction and agriculture all tend to be physically demanding. Consequently, Mr. Nordin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he is not able to engage in technical or trade work and/or heavy labouring work, the remaining opportunities for him are significantly reduced (particularly in light of his limited education).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Mr. Andrusko is not able to continue in labouring work, his residual vocational options are going to be quite limited (as will be his residual earning potential).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Mr. Stanway, his boss at Joy Propane, is now employed at CalGas in Fort St. John, which is involved in the bulk delivery of propane. As at Joy Propane, Mr. Stanway is in charge of hiring and firing employees. He gave evidence that if a worker applied for a job and it was disclosed that he or she had a back problem, he probably would not hire that person. His concern would be that bulk truck drivers sometimes have to do heavy physical work, such as putting chains on vehicles. In addition, Mr. Stanway was concerned about possible WorksafeBC claims increasing if claims for further injury were made. Mr. Nordin expressed the same concerns as Mr. Stanway in his supplemental report about Mr. Andrusko having to reveal his ongoing symptoms, either to his current or any future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Ms. Alexander advanced a number of challenges to the conclusions reached in Mr. Nordin's report. Ms. Alexander contended that Mr. Nordin did not test Mr. Andrusko for tolerance for sitting, reaching and bending. He is said to have just accepted the self-reporting by Mr. Andrusko, who said that he experienced increased pain with prolonged sitting. I accept Mr. Nordin's evidence that it is hard to ask someone to quantify tolerance because it is more a qualitative experience. In any event, I have accepted Mr. Andrusko's evidence on his pain tolerance.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Ms. Alexander's principal challenge to Mr. Nordin's report was the suggestion that Mr. Andrusko should go back to school to upgrade his skills and education. However, Mr. Nordin says that this option is not feasible. Mr. Andrusko did not do well at school and is not interested in further schooling. Mr. Nordin considered that any such effort would likely be met with failure. I agree with his assessment. Mr. Andrusko is quite aware that formal education is not his strong suit. He does not have the intellectual capacity or inclination to benefit from further schooling.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difficulty with Ms. Alexander's arguments is that they do not recognize the reality of Mr. Andrusko's life and prospects. He is not intellectually inclined or able to pursue many kinds of jobs. His major asset in terms of making a living is his physical strength and his ability to perform manual types of jobs. To that extent, having a healthy neck, shoulders and lower back quite simply becomes a critical requirement in performing those jobs. Mr. Andrusko is quite aware of his limitations in that respect and has quite properly concentrated his efforts on securing manual labour jobs. Perhaps he may have the opportunity at DGS to move to a foreman position, but paperwork is required and he has trouble reading and writing. In addition, a foreman has to deal with customers and, as stated above, Mr. Andrusko is not very well suited to address that aspect of the job given his personality.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This not a situation where, for example, a highly educated surgeon injures his hands and has the opportunity to be retrained in another line of medical work. Mr. Andrusko has no other skills upon which to draw. His options are limited. Here, the accident has damaged his major asset: his ability to perform very physical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The classic statement is that a defendant takes her victim as she finds him. In </w:t>
      </w:r>
      <w:r>
        <w:rPr>
          <w:rFonts w:ascii="arial" w:eastAsia="arial" w:hAnsi="arial" w:cs="arial"/>
          <w:i/>
          <w:color w:val="000000"/>
          <w:sz w:val="20"/>
          <w:lang w:val="en-US" w:eastAsia="en-US" w:bidi="ar-SA"/>
        </w:rPr>
        <w:t>Pett</w:t>
      </w:r>
      <w:r>
        <w:rPr>
          <w:rFonts w:ascii="arial" w:eastAsia="arial" w:hAnsi="arial" w:cs="arial"/>
          <w:color w:val="000000"/>
          <w:sz w:val="20"/>
          <w:lang w:val="en-US" w:eastAsia="en-US" w:bidi="ar-SA"/>
        </w:rPr>
        <w:t>, the court rejected the trial judge's comments that a negative contingency arose from the limited education of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I am not sure that I would have considered the education level of the appellant to be what the trial judge described as a negative contingency. In my view, this was simply a factual circumstance concerning this particular plaintiff that engages the principle that a tortfeasor must take the victim as he or she is. </w:t>
      </w:r>
      <w:r>
        <w:rPr>
          <w:rFonts w:ascii="arial" w:eastAsia="arial" w:hAnsi="arial" w:cs="arial"/>
          <w:color w:val="000000"/>
          <w:sz w:val="20"/>
          <w:u w:val="single"/>
          <w:lang w:val="en-US" w:eastAsia="en-US" w:bidi="ar-SA"/>
        </w:rPr>
        <w:t>I would prefer to characterize this as a negative circumstance concerning this appellant because his modest educational level circumscribes the range of possible avenues of employment open to him</w:t>
      </w:r>
      <w:r>
        <w:rPr>
          <w:rFonts w:ascii="arial" w:eastAsia="arial" w:hAnsi="arial" w:cs="arial"/>
          <w:color w:val="000000"/>
          <w:sz w:val="20"/>
          <w:lang w:val="en-US" w:eastAsia="en-US" w:bidi="ar-SA"/>
        </w:rPr>
        <w:t xml:space="preserve">. He, like several others of the family connection, had made a decision to not pursue higher education because of a history of available employment in occupational activity with a heavy physical component. That choice may not have been an unreasonable one when made, but, </w:t>
      </w:r>
      <w:r>
        <w:rPr>
          <w:rFonts w:ascii="arial" w:eastAsia="arial" w:hAnsi="arial" w:cs="arial"/>
          <w:color w:val="000000"/>
          <w:sz w:val="20"/>
          <w:u w:val="single"/>
          <w:lang w:val="en-US" w:eastAsia="en-US" w:bidi="ar-SA"/>
        </w:rPr>
        <w:t>in the altered circumstances now facing this appellant, he is perhaps more affected than would be the case of someone who possesses enhanced educational credentials</w:t>
      </w:r>
      <w:r>
        <w:rPr>
          <w:rFonts w:ascii="arial" w:eastAsia="arial" w:hAnsi="arial" w:cs="arial"/>
          <w:color w:val="000000"/>
          <w:sz w:val="20"/>
          <w:lang w:val="en-US" w:eastAsia="en-US" w:bidi="ar-SA"/>
        </w:rPr>
        <w:t xml:space="preserve">. I do not concur with the language of the judge in para. 77 when he speaks about the "education level for which the defendant is not responsible". </w:t>
      </w:r>
      <w:r>
        <w:rPr>
          <w:rFonts w:ascii="arial" w:eastAsia="arial" w:hAnsi="arial" w:cs="arial"/>
          <w:color w:val="000000"/>
          <w:sz w:val="20"/>
          <w:u w:val="single"/>
          <w:lang w:val="en-US" w:eastAsia="en-US" w:bidi="ar-SA"/>
        </w:rPr>
        <w:t>While, of course, the defendant has nothing to do with the earlier choice the appellant made about his education, the defendant is responsible for the impact the accident has had, and will have, on this young appellant of limited educational attainment. He must take the appellant as he finds him</w:t>
      </w:r>
      <w:r>
        <w:rPr>
          <w:rFonts w:ascii="arial" w:eastAsia="arial" w:hAnsi="arial" w:cs="arial"/>
          <w:color w:val="000000"/>
          <w:sz w:val="20"/>
          <w:lang w:val="en-US" w:eastAsia="en-US" w:bidi="ar-SA"/>
        </w:rPr>
        <w:t>. In my respectful view, the judge's treatment of this issue is problematic for the reasons I have discussed.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other limitation faced by Mr. Andrusko is that given his temperament, he neither likes to deal with nor is he good in dealing with the public. He does not have a personality that is conducive to dealing with the public. Again, this is a reality that he must face in terms of considering his options going forward. It is also a circumstance that must be factored into an assessment of how his employment options have been narrowed.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In short, Mr. Andrusko is extremely limited in his career options going forward. He has a very limited education. His reading and writing skills are minimal at best. He must rely on his physical strength and prowess to make a living. To the extent that his physical abilities have been compromised, however, there remains an issue as to whether he will be able to work at these labour-intensive jobs into the future. Dr. Filbey is of the opinion that Mr. Andrusko's lower back symptoms will likely increase in 10 to 15 years. If that occurs, Mr. Andrusko's ability to continue in this type of intensely physical job will be put in doubt. Further, given his limited education, it is not a realistic option for Mr. Andrusko to be retrained in another type of occupation that would be less physically demanding and would provide the same level of income he currently enjoys. His personality also limits the certain types of jobs he may seek. In the Fort St. John area, where he lives, most jobs at the higher income scales involve some physicality.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Ms. Alexander says that Dr. Filbey's conclusions are only speculation and that there is only a mere possibility, not a substantial possibility, that Mr. Andrusko's injuries will limit his employment opportunities. She points to his continuing employment over the last five years in his physical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In support of her position, she cites </w:t>
      </w:r>
      <w:r>
        <w:rPr>
          <w:rFonts w:ascii="arial" w:eastAsia="arial" w:hAnsi="arial" w:cs="arial"/>
          <w:i/>
          <w:color w:val="000000"/>
          <w:sz w:val="20"/>
          <w:lang w:val="en-US" w:eastAsia="en-US" w:bidi="ar-SA"/>
        </w:rPr>
        <w:t>Samson v. Aubin</w:t>
      </w:r>
      <w:r>
        <w:rPr>
          <w:rFonts w:ascii="arial" w:eastAsia="arial" w:hAnsi="arial" w:cs="arial"/>
          <w:color w:val="000000"/>
          <w:sz w:val="20"/>
          <w:lang w:val="en-US" w:eastAsia="en-US" w:bidi="ar-SA"/>
        </w:rPr>
        <w:t xml:space="preserve">, </w:t>
      </w:r>
      <w:hyperlink r:id="rId1035" w:history="1">
        <w:r>
          <w:rPr>
            <w:rFonts w:ascii="arial" w:eastAsia="arial" w:hAnsi="arial" w:cs="arial"/>
            <w:i/>
            <w:color w:val="0077CC"/>
            <w:sz w:val="20"/>
            <w:u w:val="single"/>
            <w:shd w:val="clear" w:color="auto" w:fill="FFFFFF"/>
            <w:lang w:val="en-US" w:eastAsia="en-US" w:bidi="ar-SA"/>
          </w:rPr>
          <w:t>2012 BCSC 1320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Fifi v. Robinson</w:t>
      </w:r>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2012 BCSC 1378</w:t>
        </w:r>
      </w:hyperlink>
      <w:r>
        <w:rPr>
          <w:rFonts w:ascii="arial" w:eastAsia="arial" w:hAnsi="arial" w:cs="arial"/>
          <w:color w:val="000000"/>
          <w:sz w:val="20"/>
          <w:lang w:val="en-US" w:eastAsia="en-US" w:bidi="ar-SA"/>
        </w:rPr>
        <w:t xml:space="preserve">, although the facts in those cases are distinguishable. In </w:t>
      </w:r>
      <w:r>
        <w:rPr>
          <w:rFonts w:ascii="arial" w:eastAsia="arial" w:hAnsi="arial" w:cs="arial"/>
          <w:i/>
          <w:color w:val="000000"/>
          <w:sz w:val="20"/>
          <w:lang w:val="en-US" w:eastAsia="en-US" w:bidi="ar-SA"/>
        </w:rPr>
        <w:t>Samson</w:t>
      </w:r>
      <w:r>
        <w:rPr>
          <w:rFonts w:ascii="arial" w:eastAsia="arial" w:hAnsi="arial" w:cs="arial"/>
          <w:color w:val="000000"/>
          <w:sz w:val="20"/>
          <w:lang w:val="en-US" w:eastAsia="en-US" w:bidi="ar-SA"/>
        </w:rPr>
        <w:t xml:space="preserve">, the plaintiff's injuries were known and accommodated: paras. 57-64. In this case, Mr. Andrusko has not disclosed his injuries, and for good reason. Mr. Stanway's evidence supports the position that disclosure of his injuries may give rise to workplace issues which may negatively affect Mr. Andrusko's employability. Furthermore, in </w:t>
      </w:r>
      <w:r>
        <w:rPr>
          <w:rFonts w:ascii="arial" w:eastAsia="arial" w:hAnsi="arial" w:cs="arial"/>
          <w:i/>
          <w:color w:val="000000"/>
          <w:sz w:val="20"/>
          <w:lang w:val="en-US" w:eastAsia="en-US" w:bidi="ar-SA"/>
        </w:rPr>
        <w:t>Samson</w:t>
      </w:r>
      <w:r>
        <w:rPr>
          <w:rFonts w:ascii="arial" w:eastAsia="arial" w:hAnsi="arial" w:cs="arial"/>
          <w:color w:val="000000"/>
          <w:sz w:val="20"/>
          <w:lang w:val="en-US" w:eastAsia="en-US" w:bidi="ar-SA"/>
        </w:rPr>
        <w:t xml:space="preserve">, the medical evidence from the plaintiff's own doctor did not support his argument: para. 61. This is in contrast to support from Dr. Filbey's medical opinion and from Mr. Nordin's report. In </w:t>
      </w:r>
      <w:r>
        <w:rPr>
          <w:rFonts w:ascii="arial" w:eastAsia="arial" w:hAnsi="arial" w:cs="arial"/>
          <w:i/>
          <w:color w:val="000000"/>
          <w:sz w:val="20"/>
          <w:lang w:val="en-US" w:eastAsia="en-US" w:bidi="ar-SA"/>
        </w:rPr>
        <w:t>Fifi</w:t>
      </w:r>
      <w:r>
        <w:rPr>
          <w:rFonts w:ascii="arial" w:eastAsia="arial" w:hAnsi="arial" w:cs="arial"/>
          <w:color w:val="000000"/>
          <w:sz w:val="20"/>
          <w:lang w:val="en-US" w:eastAsia="en-US" w:bidi="ar-SA"/>
        </w:rPr>
        <w:t>, the court found that improvement of the injuries was likely and that such arguments for this type of award were speculative. The plaintiff's unreliable evidence was not corroborated by her employer, nor was it supported by medical evidence: paras. 132-138.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Mr. Andrusko suggests that based on the four factors noted by Finch J. (as he then was)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he has established a real and substantial possibility of a loss of future earning capacity. I agree. Mr. Andrusko has established a real and substantial possibility of a future event leading to an income loss based on his evidence and the evidence of Mr. Stanway and Mr. Higgins, and based on the reports of Dr. Filbey and Mr. Nordin, all of which I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Mr. Andrusko has been rendered less capable of earning income from labour jobs, and his injuries will affect his marketability in terms of continuing at or securing these types of jobs in the future. His injuries will also affect his ability to take advantage of opportunities in the future. Lastly, I consider that Mr. Andrusko is less valuable to himself as a person capable of earning income. He is a young man who has worked from a young age to support himself and who recognizes the need to continue his employment. He must rely on his own resources, such as they are now, to make his way in the world. Those resources include his physical body. This is not the same situation considered in </w:t>
      </w:r>
      <w:r>
        <w:rPr>
          <w:rFonts w:ascii="arial" w:eastAsia="arial" w:hAnsi="arial" w:cs="arial"/>
          <w:i/>
          <w:color w:val="000000"/>
          <w:sz w:val="20"/>
          <w:lang w:val="en-US" w:eastAsia="en-US" w:bidi="ar-SA"/>
        </w:rPr>
        <w:t>Pett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Miller</w:t>
      </w:r>
      <w:r>
        <w:rPr>
          <w:rFonts w:ascii="arial" w:eastAsia="arial" w:hAnsi="arial" w:cs="arial"/>
          <w:color w:val="000000"/>
          <w:sz w:val="20"/>
          <w:lang w:val="en-US" w:eastAsia="en-US" w:bidi="ar-SA"/>
        </w:rPr>
        <w:t xml:space="preserve"> where the plaintiffs worked in family businesses and could expect some accommodation in the workplace. The medical evidence supports the conclusion that in 10 to 15 years, his symptoms will likely increase to the point of compromising his ability to continue in this type of employment. Mr. Andrusko is concerned about his ability to continue with his only realistic type of employment, particularly where his other options are otherwise limited. These other options also do not provide the same level of income as he currently enjoys.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With respect to quantifying damages, given Mr. Andrusko's young age, his present employment, and the uncertainties arising from his future career path, I consider that the capital asset approach is appropriate: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Miller</w:t>
      </w:r>
      <w:r>
        <w:rPr>
          <w:rFonts w:ascii="arial" w:eastAsia="arial" w:hAnsi="arial" w:cs="arial"/>
          <w:color w:val="000000"/>
          <w:sz w:val="20"/>
          <w:lang w:val="en-US" w:eastAsia="en-US" w:bidi="ar-SA"/>
        </w:rPr>
        <w:t xml:space="preserve"> at para. 129.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Mr. Andrusko submits that an appropriate award is $300,000, based on the following: he is currently 26 years old, he has limited education, and he has challenges in dealing with the public and in performing many types of jobs in the Fort St. John area. Ms. Alexander did not make any submissions on the assessment of this award in the event that I found in favour of Mr. Andrusko on the threshold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It must be emphasized again that the determination of the damages for loss of earning capacity is not a mathematical calculation. Rather, it is an assessment or estimate of the loss after considering the evidence: </w:t>
      </w:r>
      <w:r>
        <w:rPr>
          <w:rFonts w:ascii="arial" w:eastAsia="arial" w:hAnsi="arial" w:cs="arial"/>
          <w:i/>
          <w:color w:val="000000"/>
          <w:sz w:val="20"/>
          <w:lang w:val="en-US" w:eastAsia="en-US" w:bidi="ar-SA"/>
        </w:rPr>
        <w:t>Morris v. Rose Estate</w:t>
      </w:r>
      <w:r>
        <w:rPr>
          <w:rFonts w:ascii="arial" w:eastAsia="arial" w:hAnsi="arial" w:cs="arial"/>
          <w:color w:val="000000"/>
          <w:sz w:val="20"/>
          <w:lang w:val="en-US" w:eastAsia="en-US" w:bidi="ar-SA"/>
        </w:rPr>
        <w:t xml:space="preserve"> </w:t>
      </w:r>
      <w:hyperlink r:id="rId1036" w:history="1">
        <w:r>
          <w:rPr>
            <w:rFonts w:ascii="arial" w:eastAsia="arial" w:hAnsi="arial" w:cs="arial"/>
            <w:i/>
            <w:color w:val="0077CC"/>
            <w:sz w:val="20"/>
            <w:u w:val="single"/>
            <w:shd w:val="clear" w:color="auto" w:fill="FFFFFF"/>
            <w:lang w:val="en-US" w:eastAsia="en-US" w:bidi="ar-SA"/>
          </w:rPr>
          <w:t>(1996), 23 B.C.L.R. (3d) 256</w:t>
        </w:r>
      </w:hyperlink>
      <w:r>
        <w:rPr>
          <w:rFonts w:ascii="arial" w:eastAsia="arial" w:hAnsi="arial" w:cs="arial"/>
          <w:color w:val="000000"/>
          <w:sz w:val="20"/>
          <w:lang w:val="en-US" w:eastAsia="en-US" w:bidi="ar-SA"/>
        </w:rPr>
        <w:t xml:space="preserve"> (C.A.) at para. 28; </w:t>
      </w:r>
      <w:r>
        <w:rPr>
          <w:rFonts w:ascii="arial" w:eastAsia="arial" w:hAnsi="arial" w:cs="arial"/>
          <w:i/>
          <w:color w:val="000000"/>
          <w:sz w:val="20"/>
          <w:lang w:val="en-US" w:eastAsia="en-US" w:bidi="ar-SA"/>
        </w:rPr>
        <w:t>Miller</w:t>
      </w:r>
      <w:r>
        <w:rPr>
          <w:rFonts w:ascii="arial" w:eastAsia="arial" w:hAnsi="arial" w:cs="arial"/>
          <w:color w:val="000000"/>
          <w:sz w:val="20"/>
          <w:lang w:val="en-US" w:eastAsia="en-US" w:bidi="ar-SA"/>
        </w:rPr>
        <w:t xml:space="preserve"> at paras. 132-33. Nevertheless, the courts have consistently used mathematical calculations as "guideposts" to provide some parameters towards arriving at that estimate: </w:t>
      </w:r>
      <w:r>
        <w:rPr>
          <w:rFonts w:ascii="arial" w:eastAsia="arial" w:hAnsi="arial" w:cs="arial"/>
          <w:i/>
          <w:color w:val="000000"/>
          <w:sz w:val="20"/>
          <w:lang w:val="en-US" w:eastAsia="en-US" w:bidi="ar-SA"/>
        </w:rPr>
        <w:t>Morris</w:t>
      </w:r>
      <w:r>
        <w:rPr>
          <w:rFonts w:ascii="arial" w:eastAsia="arial" w:hAnsi="arial" w:cs="arial"/>
          <w:color w:val="000000"/>
          <w:sz w:val="20"/>
          <w:lang w:val="en-US" w:eastAsia="en-US" w:bidi="ar-SA"/>
        </w:rPr>
        <w:t xml:space="preserve"> at paras. 20-24. With a young person at the start of their working life, the court's task of peering into the future is undeniably made more difficult: </w:t>
      </w:r>
      <w:r>
        <w:rPr>
          <w:rFonts w:ascii="arial" w:eastAsia="arial" w:hAnsi="arial" w:cs="arial"/>
          <w:i/>
          <w:color w:val="000000"/>
          <w:sz w:val="20"/>
          <w:lang w:val="en-US" w:eastAsia="en-US" w:bidi="ar-SA"/>
        </w:rPr>
        <w:t>Morris</w:t>
      </w:r>
      <w:r>
        <w:rPr>
          <w:rFonts w:ascii="arial" w:eastAsia="arial" w:hAnsi="arial" w:cs="arial"/>
          <w:color w:val="000000"/>
          <w:sz w:val="20"/>
          <w:lang w:val="en-US" w:eastAsia="en-US" w:bidi="ar-SA"/>
        </w:rPr>
        <w:t xml:space="preserve"> at para. 21; </w:t>
      </w:r>
      <w:r>
        <w:rPr>
          <w:rFonts w:ascii="arial" w:eastAsia="arial" w:hAnsi="arial" w:cs="arial"/>
          <w:i/>
          <w:color w:val="000000"/>
          <w:sz w:val="20"/>
          <w:lang w:val="en-US" w:eastAsia="en-US" w:bidi="ar-SA"/>
        </w:rPr>
        <w:t>Pett</w:t>
      </w:r>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Morris v. Rose Estate</w:t>
      </w:r>
      <w:r>
        <w:rPr>
          <w:rFonts w:ascii="arial" w:eastAsia="arial" w:hAnsi="arial" w:cs="arial"/>
          <w:color w:val="000000"/>
          <w:sz w:val="20"/>
          <w:lang w:val="en-US" w:eastAsia="en-US" w:bidi="ar-SA"/>
        </w:rPr>
        <w:t xml:space="preserve">, </w:t>
      </w:r>
      <w:hyperlink r:id="rId1037" w:history="1">
        <w:r>
          <w:rPr>
            <w:rFonts w:ascii="arial" w:eastAsia="arial" w:hAnsi="arial" w:cs="arial"/>
            <w:i/>
            <w:color w:val="0077CC"/>
            <w:sz w:val="20"/>
            <w:u w:val="single"/>
            <w:shd w:val="clear" w:color="auto" w:fill="FFFFFF"/>
            <w:lang w:val="en-US" w:eastAsia="en-US" w:bidi="ar-SA"/>
          </w:rPr>
          <w:t>[1993] B.C.J. No. 2679</w:t>
        </w:r>
      </w:hyperlink>
      <w:r>
        <w:rPr>
          <w:rFonts w:ascii="arial" w:eastAsia="arial" w:hAnsi="arial" w:cs="arial"/>
          <w:color w:val="000000"/>
          <w:sz w:val="20"/>
          <w:lang w:val="en-US" w:eastAsia="en-US" w:bidi="ar-SA"/>
        </w:rPr>
        <w:t xml:space="preserve"> (S.C.) at paras. 57-64, the trial judge used a mathematical calculation for loss of earning capacity of a young 23-year-old plaintiff, together with an amount for general impairment, to arrive at a figure of $140,000. The Court of Appeal considered this inadequate and increased the total award to $250,000: </w:t>
      </w:r>
      <w:r>
        <w:rPr>
          <w:rFonts w:ascii="arial" w:eastAsia="arial" w:hAnsi="arial" w:cs="arial"/>
          <w:i/>
          <w:color w:val="000000"/>
          <w:sz w:val="20"/>
          <w:lang w:val="en-US" w:eastAsia="en-US" w:bidi="ar-SA"/>
        </w:rPr>
        <w:t>Morris</w:t>
      </w:r>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Mr. Andrusko provided a mathematical calculation for consideration by the court. In 2012, Mr. Andrusko earned $52,000 at DGS plus $9,600 for employment insurance, for a total of approximately $62,000. Mr. Nordin identified that a lighter type of occupation available to Mr. Andrusko may be working as a cashier, whose average earnings are $30,000. If that comparison was used from age 40, there would be an annual loss of about $30,000 over a period of 25 years (assuming a retirement age of 65). After applying a discount rate, the total present value is $552,732. This figure does not include any adjustment for contingencies, both positive and negative. Those unknowns of course include when he may have to cease doing labour jobs, what employment he is able to get in the off-season and at what wage, or what his "replacement" job might be if he quits physical labour jobs and what wage he might earn.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1038" w:history="1">
        <w:r>
          <w:rPr>
            <w:rFonts w:ascii="arial" w:eastAsia="arial" w:hAnsi="arial" w:cs="arial"/>
            <w:i/>
            <w:color w:val="0077CC"/>
            <w:sz w:val="20"/>
            <w:u w:val="single"/>
            <w:shd w:val="clear" w:color="auto" w:fill="FFFFFF"/>
            <w:lang w:val="en-US" w:eastAsia="en-US" w:bidi="ar-SA"/>
          </w:rPr>
          <w:t>2008 BCSC 602</w:t>
        </w:r>
      </w:hyperlink>
      <w:r>
        <w:rPr>
          <w:rFonts w:ascii="arial" w:eastAsia="arial" w:hAnsi="arial" w:cs="arial"/>
          <w:color w:val="000000"/>
          <w:sz w:val="20"/>
          <w:lang w:val="en-US" w:eastAsia="en-US" w:bidi="ar-SA"/>
        </w:rPr>
        <w:t>, the trial judge accepted a loss of earning capacity based on the medical evidence that the 23-year-old plaintiff suffered from a disabling back condition that would limit his available employment in the future. He awarded $120,000: para.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Pett</w:t>
      </w:r>
      <w:r>
        <w:rPr>
          <w:rFonts w:ascii="arial" w:eastAsia="arial" w:hAnsi="arial" w:cs="arial"/>
          <w:color w:val="000000"/>
          <w:sz w:val="20"/>
          <w:lang w:val="en-US" w:eastAsia="en-US" w:bidi="ar-SA"/>
        </w:rPr>
        <w:t xml:space="preserve"> increased the award to $225,000. The court considered the actuarial evidence and a mathematical calculation similar to the one above. After applying appropriate discounts and general contingencies, it arrived at a "useful starting point for an analysis" of $300,000. The court rejected the substantial discount applied by the trial judge in light of the plaintiff's positive work ethic and the opportunities for employment through the plaintiff's family connections: paras. 23-25. As above, the court also rejected what seemed to be the application of a negative contingency given the lack of education achieved by the plaintiff: paras. 16,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Mr. Andrusko also has a positive work ethic, but he unfortunately does not have the added benefit of expecting that his employment will be secured through such family connections.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Miller</w:t>
      </w:r>
      <w:r>
        <w:rPr>
          <w:rFonts w:ascii="arial" w:eastAsia="arial" w:hAnsi="arial" w:cs="arial"/>
          <w:color w:val="000000"/>
          <w:sz w:val="20"/>
          <w:lang w:val="en-US" w:eastAsia="en-US" w:bidi="ar-SA"/>
        </w:rPr>
        <w:t>, the young 24-year-old pipefitter was being accommodated in the employ of his father's business. His injuries prevented him from completing certain jobs, although he pushed through the pain given his strong work ethic, similar to what Mr. Andrusko does at his job. The court noted that using the mathematical or projected earnings approach outlined above may be more appropriate where the plaintiff has evidence of income before the accident as compared to a different job after the accident: para. 126. The court awarded the sum of $210,000, which equated to three years of annual income: paras. 139-140.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There was no expert evidence, including actuarial evidence, adduced here, as there was in </w:t>
      </w:r>
      <w:r>
        <w:rPr>
          <w:rFonts w:ascii="arial" w:eastAsia="arial" w:hAnsi="arial" w:cs="arial"/>
          <w:i/>
          <w:color w:val="000000"/>
          <w:sz w:val="20"/>
          <w:lang w:val="en-US" w:eastAsia="en-US" w:bidi="ar-SA"/>
        </w:rPr>
        <w:t>Pett</w:t>
      </w:r>
      <w:r>
        <w:rPr>
          <w:rFonts w:ascii="arial" w:eastAsia="arial" w:hAnsi="arial" w:cs="arial"/>
          <w:color w:val="000000"/>
          <w:sz w:val="20"/>
          <w:lang w:val="en-US" w:eastAsia="en-US" w:bidi="ar-SA"/>
        </w:rPr>
        <w:t xml:space="preserve">, about what contingencies might generally be applied to the mathematical calculations set out above. Nevertheless, those general contingencies not specific to the facts of the case resulted in a reduction of 37%. In this case, such a general negative contingency reduces the amount to $352,000. From that starting point, and keeping in mind the conservative approach adopted in </w:t>
      </w:r>
      <w:r>
        <w:rPr>
          <w:rFonts w:ascii="arial" w:eastAsia="arial" w:hAnsi="arial" w:cs="arial"/>
          <w:i/>
          <w:color w:val="000000"/>
          <w:sz w:val="20"/>
          <w:lang w:val="en-US" w:eastAsia="en-US" w:bidi="ar-SA"/>
        </w:rPr>
        <w:t>Pett</w:t>
      </w:r>
      <w:r>
        <w:rPr>
          <w:rFonts w:ascii="arial" w:eastAsia="arial" w:hAnsi="arial" w:cs="arial"/>
          <w:color w:val="000000"/>
          <w:sz w:val="20"/>
          <w:lang w:val="en-US" w:eastAsia="en-US" w:bidi="ar-SA"/>
        </w:rPr>
        <w:t xml:space="preserve"> at para. 24, further contingencies must be applied. Again, as in </w:t>
      </w:r>
      <w:r>
        <w:rPr>
          <w:rFonts w:ascii="arial" w:eastAsia="arial" w:hAnsi="arial" w:cs="arial"/>
          <w:i/>
          <w:color w:val="000000"/>
          <w:sz w:val="20"/>
          <w:lang w:val="en-US" w:eastAsia="en-US" w:bidi="ar-SA"/>
        </w:rPr>
        <w:t>Pett</w:t>
      </w:r>
      <w:r>
        <w:rPr>
          <w:rFonts w:ascii="arial" w:eastAsia="arial" w:hAnsi="arial" w:cs="arial"/>
          <w:color w:val="000000"/>
          <w:sz w:val="20"/>
          <w:lang w:val="en-US" w:eastAsia="en-US" w:bidi="ar-SA"/>
        </w:rPr>
        <w:t>, Mr. Andrusko has a good work ethic, which would suggest a lower negative contingency to be applied, but he does not have the same security of employment that arose in that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As with any situation involving a young plaintiff whose career paths are somewhat uncertain, I must now embark upon gazing into the "crystal ball".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 am persuaded that Mr. Andrusko's injuries will likely affect his ability to work and thus will impact his future employment. His employment options have been narrowed in the labour market, and it is a likely possibility that his earnings will be affected in the future. There are positive factors, such as Mr. Andrusko's work ethic, which I believe supports the view that he will continue to work and push through the pain to the extent that he is able. Negative factors arise because of the reality that employers look for healthy employees who can perform the required functions and who will need not resort to insurance claims such as through WorksafeBC. Mr. Andrusko is competing in an increasingly competitive work environment and will be required to compete with healthy men for these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Given all the foregoing, I award the sum of $250,000 under this head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The plaintiff is entitled to compensation for the cost of future care based on what is reasonably necessary to restore him to his pre-accident condition insofar as that is possible. When full restoration cannot be achieved, the court must strive to assure full compensation through the provision of adequate future care. The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(S.C.C.); </w:t>
      </w:r>
      <w:r>
        <w:rPr>
          <w:rFonts w:ascii="arial" w:eastAsia="arial" w:hAnsi="arial" w:cs="arial"/>
          <w:i/>
          <w:color w:val="000000"/>
          <w:sz w:val="20"/>
          <w:lang w:val="en-US" w:eastAsia="en-US" w:bidi="ar-SA"/>
        </w:rPr>
        <w:t>Williams v. Low</w:t>
      </w:r>
      <w:r>
        <w:rPr>
          <w:rFonts w:ascii="arial" w:eastAsia="arial" w:hAnsi="arial" w:cs="arial"/>
          <w:color w:val="000000"/>
          <w:sz w:val="20"/>
          <w:lang w:val="en-US" w:eastAsia="en-US" w:bidi="ar-SA"/>
        </w:rPr>
        <w:t xml:space="preserve">, </w:t>
      </w:r>
      <w:hyperlink r:id="rId1039" w:history="1">
        <w:r>
          <w:rPr>
            <w:rFonts w:ascii="arial" w:eastAsia="arial" w:hAnsi="arial" w:cs="arial"/>
            <w:i/>
            <w:color w:val="0077CC"/>
            <w:sz w:val="20"/>
            <w:u w:val="single"/>
            <w:shd w:val="clear" w:color="auto" w:fill="FFFFFF"/>
            <w:lang w:val="en-US" w:eastAsia="en-US" w:bidi="ar-SA"/>
          </w:rPr>
          <w:t>2000 BCSC 345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Spehar et al. v. Beazley et al.</w:t>
      </w:r>
      <w:r>
        <w:rPr>
          <w:rFonts w:ascii="arial" w:eastAsia="arial" w:hAnsi="arial" w:cs="arial"/>
          <w:color w:val="000000"/>
          <w:sz w:val="20"/>
          <w:lang w:val="en-US" w:eastAsia="en-US" w:bidi="ar-SA"/>
        </w:rPr>
        <w:t xml:space="preserve">, </w:t>
      </w:r>
      <w:hyperlink r:id="rId1040"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The test for determining the appropriate award under the heading of cost of future care is an objective one based on medical evidence. For an award of future care: (i) there must be a medical justification for claims for cost of future care; and (ii) the claims must be reasonable: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The award of damages is thus a matter of prediction of what will happen in the future. If a plaintiff has not used a particular item or service in the past, it may be inappropriate to include its cost in a future care award: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609"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at para. 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The extent to which a future care costs award should be adjusted for contingencies, if any, depends on the specific care needs of the plaintiff. In some cases, negative contingencies are offset by positive contingencies and a contingency adjustment is not required. In other cases, however, the award is reduced based on the prospect of improvement in the plaintiff's condition or increased based on the prospect that additional care will be required. Each case falls to be determined on its particular facts: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at para. 253.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An assessment of damages for cost of future care is not a precise accounting exercise: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662"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Dr. Filbey recommended that Mr. Andrusko consider further treatments, being a six-month course with a kinesiologist to develop a core fitness routine and program and up to 12 sessions of physiotherapy in a year for acute or chronic symptom aggravation. He also recommended analgesic and anti-inflammatory medications as needed, although Dr. Filbey thought this would likely gradually increase over time. Since Mr. Andrusko is engaged in his own exercise program now, no award is sought for the expense of a kinesiologist.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Mr. Andrusko seeks an award for future physiotherapy sessions, which at 12 sessions have an annual cost of $660. Taking this amount to age 65 and applying a discount factor of 3.5% and a present value factor, the total is $13,927. He seeks $10,000 to account for contingencies. Ms. Alexander says that this amount is excessive since he has only had three or four sessions per year for 2011 and 2012. I would note, however, that the low number of sessions is largely driven by his work schedule at DGS, which does not accommodate time off to obtain treatment. That may change over time if he switches to another job or another type of job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He also seeks an award of $2,250 for medications, which reflects the nominal amount presently spent per year ($30) to age 41 and an estimated doubling of that cost for another 30 years to age 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Again, Dr. Bishop took a very theoretical approach to the issue as to what benefits Mr. Andrusko might enjoy by further treatments as recommended by Dr. Filbey. He did not state this as an opinion. Rather, he referred to "recently published clinical practice guidelines" that he says recommend against the use of passive based treatments, such as physiotherapy and massage therapy, and the prolonged use of any medications. He indicated that he did not know of any studies that validate the use of chiropractic spinal manipulation therapy. He noted that such therapies may promote the wrong behavior in the sense that the patient becomes erroneously dependent upon these therapies when in fact they are improving regardless of those therapies. Accordingly, he recommends that Mr. Andrusko avoid all of these forms of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Dr. Filbey addressed his recommendation for further physiotherapy treatments in the context of Dr. Bishop's opinion. Dr. Filbey also referred to the research identified by Dr. Bishop and spoke about the limitations of that research in the context of an individual assessment. In his extensive practice, he recommends these types of treatments. If the patient responds, he promotes those treatments. Dr. Filbey's explanation was, in my view, reasonable and informed by much common sense. In addition, Dr. Filbey does not recommend that there be extensive physiotherapy sessions for the rest of Mr. Andrusko's life (which is reasonable given his past need for such therapy). Rather, he is recommending physiotherapy on an intermittent basis if such is needed for the purpose of getting Mr. Andrusko back to his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In my view, Dr. Filbey's recommendations regarding continuing physiotherapy reflects a reasonable approach, both in terms of the benefits that Mr. Andrusko has received to date and his likely need for continuing treatment given his condition. However, I consider that 12 sessions per year is excessive, particularly since Mr. Andrusko only works part of the year, when the aggravation of his symptoms would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 also agree with the recommendations concerning medication. While Mr. Andrusko's use of pain medication is now somewhat minimal, that is likely to change and increase as he ages. The defence took no issue on the estimated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With the exception of the number of physiotherapy sessions, the calculations provided by Mr. Andrusko, including the appropriate discount and contingency factors and present value calculations, are reasonable. I would reduce the claimed amount for physiotherapy to $7,750. Accordingly, the amount of $10,000 is awarded for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It is well established that an injured person is entitled to recover the reasonable out-of-pocket expenses they incurred as a result of an accident. This is grounded in the fundamental governing principle that an injured person is to be restored to the position he or she would have been in had the accident not occurred: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1041"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281;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Mr. Andrusko claims various expenses, as follows: chiropractic bills - $575; physiotherapy bills - $725; medication - $341.91; and miscellaneous expenses (back belt, massage therapy and exercise ball) - $79.52.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 am satisfied that all of these expenses were incurred as a result of the accident and were reasonably incurred in aid of Mr. Andrusko's attempts to address his injuries. The amount of $1,721.43 is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In summary, damages are awarded as follows:</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$80,000;</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Diminishment of earning capacity: $250,000;</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$10,000;</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$1,721.43.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Mr. Andrusko is entitled to pre-judgment interest on the special damages awarded. Mr. Andrusko is also entitled to his costs, unless the parties seek to make further submissions in that respect. If further submissions are to be made, they must be filed within 30 days of the delivery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 FITZPATRICK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66" style="position:absolute;z-index:25189785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Ahlwat v. Green, [2014] B.C.J. No. 2452</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Asp v. Boughton Law Corp., [2014] B.C.J. No. 1290</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Berenjian v. Primus, [2013] B.C.J. No. 194</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Carlisle v. Fraser Health Authority (c.o.b. Fraser Canyon Hospital), [2012] B.C.J. No. 353</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Cheema v. Hamide, [2019] B.C.J. No. 1089</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Chen v. Ross, [2014] B.C.J. No. 415</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Furlan v. Strata Plan BCS3202, [2016] B.C.J. No. 240</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Gidda v. Hirsch, [2014] B.C.J. No. 1454</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Goertz v. Kujala, [2006] B.C.J. No. 936</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Hartt v. British Columbia (Attorney General), [2013] B.C.J. No. 289</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Helina v. Percival, [2015] B.C.J. No. 2214</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Kahle v. Ritter, [2002] B.C.J. No. 285</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Kennedy v. Coe, [2014] B.C.J. No. 126</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King v. Horth, [2009] B.C.J. No. 1634</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Kooner (Guardian ad litem of) v. Matsqui-Sumas- Abbotsford General Hospital, [2001] B.C.J. No. 1795</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Kosugi v. Krueger (Litigation Guardian of) et al., [2007] I.L.R. para. M-2145</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Laktin v. Vancouver (City), [2013] B.C.J. No. 2814</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Lusignan v. Coleman, [2007] B.C.J. No. 2690</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Miller v. Thompson Rivers University, [2013] B.C.J. No. 2569</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Parwani v. Sekhon, [2009] B.C.J. No. 1873</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Potozny v. Burnaby (City), [2001] B.C.J. No. 1224</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Rollins v. Lovely, [2007] B.C.J. No. 2595</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Simmons v. Yeager Properties Inc., [2013] B.C.J. No. 1052</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Simon (Guardian ad litem of) v. Portsmith, [2010] B.C.J. No. 169</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Singh v. British Columbia (Minister for Public Safety), [2013] B.C.J. No. 1094</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Sullivan v. Victoria (City), [2010] B.C.J. No. 288</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Swagger Construction Ltd. v. ING Insurance Co. of Canada, [2005] B.C.J. No. 1964</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Viroforce Systems Inc. v. Fasken Martineau Dumoulin LLP, [2012] B.C.J. No. 304</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White v. Canada (Attorney General), [2006] B.C.J. No. 760</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Azam v. Bilaya, [2014] B.C.J. No. 2189</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Bennett v. Bell, [2019] B.C.J. No. 2145</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Hajikolai v. Lewis, [2015] B.C.J. No. 1196</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Young v. Insurance Corp. of British Columbia, [2018] B.C.J. No. 138</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Axa Pacific Insurance Company v. Elwood, [2000] I.L.R. para. I-3869</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British Columbia (Workers' Compensation Board) v. Flanagan Enterprises (Nevada) Inc., [2017] B.C.J. No. 97</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Dhillon v. Jaffer, [2015] B.C.J. No. 1770</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Ek Estate v. Littler, [2011] B.C.J. No. 2459</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Foster v. Perry, [2005] B.C.J. No. 1874</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Hogstead (Litigation Guardian of) v. Spiers, [2013] B.C.J. No. 883</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Lawrence v. Prince Rupert (City), [2003] B.C.J. No. 711</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Leigh v. Mead, [2012] B.C.J. No. 695</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Lotocky (Litigation Guardian of) v. Markle, [2006] B.C.J. No. 1976</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Lynds v. Runge, [2002] B.C.J. No. 2565</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Rainer v. New Westminster (City), [2016] B.C.J. No. 2614</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 v. Gosse, [2016] B.C.J. No. 917</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Sivertson (Guardian ad litem of) v. Dutrisac, [2011] B.C.J. No. 810</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Sports Pool Distributors Inc. v. Dangerfield, [2008] B.C.J. No. 10</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Unrau v. Canadian Northern Shield Insurance Co., [2004] B.C.J. No. 33</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Anderson v. Minhas, [2011] B.C.J. No. 259</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Andrusko v. Alexander, [2013] B.C.J. No. 1161</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4"/>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6"/>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8"/>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lowerRoman"/>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0"/>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lowerRoman"/>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iv."/>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v."/>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v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7"/>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lowerRoman"/>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5"/>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4"/>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5"/>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6"/>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upp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2"/>
      <w:numFmt w:val="upp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7"/>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decimal"/>
      <w:lvlText w:val="(iv)"/>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8"/>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lowerRoman"/>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0"/>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1"/>
      <w:numFmt w:val="decimal"/>
      <w:lvlText w:val="105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1"/>
      <w:numFmt w:val="lowerLetter"/>
      <w:lvlText w:val=" %1)"/>
      <w:lvlJc w:val="left"/>
      <w:pPr>
        <w:tabs>
          <w:tab w:val="num" w:pos="1120"/>
        </w:tabs>
        <w:ind w:left="112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2"/>
      <w:numFmt w:val="lowerLetter"/>
      <w:lvlText w:val=" %1)"/>
      <w:lvlJc w:val="left"/>
      <w:pPr>
        <w:tabs>
          <w:tab w:val="num" w:pos="1120"/>
        </w:tabs>
        <w:ind w:left="112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3"/>
      <w:numFmt w:val="lowerLetter"/>
      <w:lvlText w:val=" %1)"/>
      <w:lvlJc w:val="left"/>
      <w:pPr>
        <w:tabs>
          <w:tab w:val="num" w:pos="1120"/>
        </w:tabs>
        <w:ind w:left="112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4"/>
      <w:numFmt w:val="lowerLetter"/>
      <w:lvlText w:val=" %1)"/>
      <w:lvlJc w:val="left"/>
      <w:pPr>
        <w:tabs>
          <w:tab w:val="num" w:pos="1120"/>
        </w:tabs>
        <w:ind w:left="112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6"/>
      <w:numFmt w:val="lowerLetter"/>
      <w:lvlText w:val=" %1)"/>
      <w:lvlJc w:val="left"/>
      <w:pPr>
        <w:tabs>
          <w:tab w:val="num" w:pos="1120"/>
        </w:tabs>
        <w:ind w:left="112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7"/>
      <w:numFmt w:val="lowerLetter"/>
      <w:lvlText w:val=" %1)"/>
      <w:lvlJc w:val="left"/>
      <w:pPr>
        <w:tabs>
          <w:tab w:val="num" w:pos="1120"/>
        </w:tabs>
        <w:ind w:left="112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8"/>
      <w:numFmt w:val="lowerLetter"/>
      <w:lvlText w:val=" %1)"/>
      <w:lvlJc w:val="left"/>
      <w:pPr>
        <w:tabs>
          <w:tab w:val="num" w:pos="1120"/>
        </w:tabs>
        <w:ind w:left="112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1"/>
      <w:numFmt w:val="decimal"/>
      <w:lvlText w:val="i)"/>
      <w:lvlJc w:val="left"/>
      <w:pPr>
        <w:tabs>
          <w:tab w:val="num" w:pos="1120"/>
        </w:tabs>
        <w:ind w:left="112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10"/>
      <w:numFmt w:val="lowerLetter"/>
      <w:lvlText w:val=" %1)"/>
      <w:lvlJc w:val="left"/>
      <w:pPr>
        <w:tabs>
          <w:tab w:val="num" w:pos="1120"/>
        </w:tabs>
        <w:ind w:left="112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11"/>
      <w:numFmt w:val="lowerLetter"/>
      <w:lvlText w:val=" %1)"/>
      <w:lvlJc w:val="left"/>
      <w:pPr>
        <w:tabs>
          <w:tab w:val="num" w:pos="1120"/>
        </w:tabs>
        <w:ind w:left="112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12"/>
      <w:numFmt w:val="lowerLetter"/>
      <w:lvlText w:val=" %1)"/>
      <w:lvlJc w:val="left"/>
      <w:pPr>
        <w:tabs>
          <w:tab w:val="num" w:pos="1120"/>
        </w:tabs>
        <w:ind w:left="112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13"/>
      <w:numFmt w:val="lowerLetter"/>
      <w:lvlText w:val=" %1)"/>
      <w:lvlJc w:val="left"/>
      <w:pPr>
        <w:tabs>
          <w:tab w:val="num" w:pos="1120"/>
        </w:tabs>
        <w:ind w:left="112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14"/>
      <w:numFmt w:val="lowerLetter"/>
      <w:lvlText w:val=" %1)"/>
      <w:lvlJc w:val="left"/>
      <w:pPr>
        <w:tabs>
          <w:tab w:val="num" w:pos="1120"/>
        </w:tabs>
        <w:ind w:left="112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6"/>
      <w:numFmt w:val="lowerLetter"/>
      <w:lvlText w:val=" %1)"/>
      <w:lvlJc w:val="left"/>
      <w:pPr>
        <w:tabs>
          <w:tab w:val="num" w:pos="1120"/>
        </w:tabs>
        <w:ind w:left="112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17"/>
      <w:numFmt w:val="lowerLetter"/>
      <w:lvlText w:val=" %1)"/>
      <w:lvlJc w:val="left"/>
      <w:pPr>
        <w:tabs>
          <w:tab w:val="num" w:pos="1120"/>
        </w:tabs>
        <w:ind w:left="112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18"/>
      <w:numFmt w:val="lowerLetter"/>
      <w:lvlText w:val=" %1)"/>
      <w:lvlJc w:val="left"/>
      <w:pPr>
        <w:tabs>
          <w:tab w:val="num" w:pos="1120"/>
        </w:tabs>
        <w:ind w:left="112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19"/>
      <w:numFmt w:val="lowerLetter"/>
      <w:lvlText w:val=" %1)"/>
      <w:lvlJc w:val="left"/>
      <w:pPr>
        <w:tabs>
          <w:tab w:val="num" w:pos="1120"/>
        </w:tabs>
        <w:ind w:left="112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20"/>
      <w:numFmt w:val="lowerLetter"/>
      <w:lvlText w:val=" %1)"/>
      <w:lvlJc w:val="left"/>
      <w:pPr>
        <w:tabs>
          <w:tab w:val="num" w:pos="1120"/>
        </w:tabs>
        <w:ind w:left="112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21"/>
      <w:numFmt w:val="lowerLetter"/>
      <w:lvlText w:val=" %1)"/>
      <w:lvlJc w:val="left"/>
      <w:pPr>
        <w:tabs>
          <w:tab w:val="num" w:pos="1120"/>
        </w:tabs>
        <w:ind w:left="112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1"/>
      <w:numFmt w:val="decimal"/>
      <w:lvlText w:val="v)"/>
      <w:lvlJc w:val="left"/>
      <w:pPr>
        <w:tabs>
          <w:tab w:val="num" w:pos="1120"/>
        </w:tabs>
        <w:ind w:left="112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23"/>
      <w:numFmt w:val="lowerLetter"/>
      <w:lvlText w:val=" %1)"/>
      <w:lvlJc w:val="left"/>
      <w:pPr>
        <w:tabs>
          <w:tab w:val="num" w:pos="1120"/>
        </w:tabs>
        <w:ind w:left="112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1"/>
      <w:numFmt w:val="decimal"/>
      <w:lvlText w:val="x)"/>
      <w:lvlJc w:val="left"/>
      <w:pPr>
        <w:tabs>
          <w:tab w:val="num" w:pos="1120"/>
        </w:tabs>
        <w:ind w:left="112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25"/>
      <w:numFmt w:val="lowerLetter"/>
      <w:lvlText w:val=" %1)"/>
      <w:lvlJc w:val="left"/>
      <w:pPr>
        <w:tabs>
          <w:tab w:val="num" w:pos="1120"/>
        </w:tabs>
        <w:ind w:left="112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1"/>
      <w:numFmt w:val="decimal"/>
      <w:lvlText w:val="aa)"/>
      <w:lvlJc w:val="left"/>
      <w:pPr>
        <w:tabs>
          <w:tab w:val="num" w:pos="1120"/>
        </w:tabs>
        <w:ind w:left="112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1"/>
      <w:numFmt w:val="decimal"/>
      <w:lvlText w:val="bb)"/>
      <w:lvlJc w:val="left"/>
      <w:pPr>
        <w:tabs>
          <w:tab w:val="num" w:pos="1120"/>
        </w:tabs>
        <w:ind w:left="112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1"/>
      <w:numFmt w:val="decimal"/>
      <w:lvlText w:val="dd)"/>
      <w:lvlJc w:val="left"/>
      <w:pPr>
        <w:tabs>
          <w:tab w:val="num" w:pos="1120"/>
        </w:tabs>
        <w:ind w:left="112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1"/>
      <w:numFmt w:val="decimal"/>
      <w:lvlText w:val="ee)"/>
      <w:lvlJc w:val="left"/>
      <w:pPr>
        <w:tabs>
          <w:tab w:val="num" w:pos="1120"/>
        </w:tabs>
        <w:ind w:left="112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1"/>
      <w:numFmt w:val="decimal"/>
      <w:lvlText w:val="ff)"/>
      <w:lvlJc w:val="left"/>
      <w:pPr>
        <w:tabs>
          <w:tab w:val="num" w:pos="1120"/>
        </w:tabs>
        <w:ind w:left="112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0000076"/>
    <w:multiLevelType w:val="multilevel"/>
    <w:tmpl w:val="00000076"/>
    <w:lvl w:ilvl="0">
      <w:start w:val="1"/>
      <w:numFmt w:val="lowerLetter"/>
      <w:lvlText w:val=" %1)"/>
      <w:lvlJc w:val="left"/>
      <w:pPr>
        <w:tabs>
          <w:tab w:val="num" w:pos="1120"/>
        </w:tabs>
        <w:ind w:left="112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0000077"/>
    <w:multiLevelType w:val="multilevel"/>
    <w:tmpl w:val="00000077"/>
    <w:lvl w:ilvl="0">
      <w:start w:val="2"/>
      <w:numFmt w:val="lowerLetter"/>
      <w:lvlText w:val=" %1)"/>
      <w:lvlJc w:val="left"/>
      <w:pPr>
        <w:tabs>
          <w:tab w:val="num" w:pos="1120"/>
        </w:tabs>
        <w:ind w:left="112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00000078"/>
    <w:multiLevelType w:val="multilevel"/>
    <w:tmpl w:val="00000078"/>
    <w:lvl w:ilvl="0">
      <w:start w:val="3"/>
      <w:numFmt w:val="lowerLetter"/>
      <w:lvlText w:val=" %1)"/>
      <w:lvlJc w:val="left"/>
      <w:pPr>
        <w:tabs>
          <w:tab w:val="num" w:pos="1120"/>
        </w:tabs>
        <w:ind w:left="112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multilevel"/>
    <w:tmpl w:val="00000079"/>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0000007A"/>
    <w:multiLevelType w:val="multilevel"/>
    <w:tmpl w:val="0000007A"/>
    <w:lvl w:ilvl="0">
      <w:start w:val="1"/>
      <w:numFmt w:val="decimal"/>
      <w:lvlText w:val="57."/>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0000007B"/>
    <w:multiLevelType w:val="multilevel"/>
    <w:tmpl w:val="0000007B"/>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0000007C"/>
    <w:multiLevelType w:val="multilevel"/>
    <w:tmpl w:val="0000007C"/>
    <w:lvl w:ilvl="0">
      <w:start w:val="1"/>
      <w:numFmt w:val="decimal"/>
      <w:lvlText w:val="30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0000007D"/>
    <w:multiLevelType w:val="multilevel"/>
    <w:tmpl w:val="0000007D"/>
    <w:lvl w:ilvl="0">
      <w:start w:val="1"/>
      <w:numFmt w:val="decimal"/>
      <w:lvlText w:val="306."/>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0000007E"/>
    <w:multiLevelType w:val="multilevel"/>
    <w:tmpl w:val="0000007E"/>
    <w:lvl w:ilvl="0">
      <w:start w:val="1"/>
      <w:numFmt w:val="decimal"/>
      <w:lvlText w:val="307."/>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0000007F"/>
    <w:multiLevelType w:val="multilevel"/>
    <w:tmpl w:val="0000007F"/>
    <w:lvl w:ilvl="0">
      <w:start w:val="1"/>
      <w:numFmt w:val="decimal"/>
      <w:lvlText w:val="106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00000080"/>
    <w:multiLevelType w:val="multilevel"/>
    <w:tmpl w:val="00000080"/>
    <w:lvl w:ilvl="0">
      <w:start w:val="1"/>
      <w:numFmt w:val="decimal"/>
      <w:lvlText w:val="31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0707B6F4"/>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099F114A"/>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09E41F22"/>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135D9E4C"/>
    <w:multiLevelType w:val="multilevel"/>
    <w:tmpl w:val="00000001"/>
    <w:lvl w:ilvl="0">
      <w:start w:val="7"/>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16BB605E"/>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17935F04"/>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1BAD7169"/>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2000DB0C"/>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2050EB89"/>
    <w:multiLevelType w:val="multilevel"/>
    <w:tmpl w:val="00000001"/>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24EEF5EE"/>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257B6EEC"/>
    <w:multiLevelType w:val="multilevel"/>
    <w:tmpl w:val="00000001"/>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263A1BB8"/>
    <w:multiLevelType w:val="multilevel"/>
    <w:tmpl w:val="00000001"/>
    <w:lvl w:ilvl="0">
      <w:start w:val="3"/>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2B56E758"/>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2F652D09"/>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2FE9FFBB"/>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3175E8BF"/>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36BAD289"/>
    <w:multiLevelType w:val="multilevel"/>
    <w:tmpl w:val="00000001"/>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37767C0F"/>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3874DA15"/>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4313740A"/>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436277EC"/>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480B7C67"/>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49B1B09E"/>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4C99F2FA"/>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4CB546DE"/>
    <w:multiLevelType w:val="multilevel"/>
    <w:tmpl w:val="00000001"/>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4F11DB9F"/>
    <w:multiLevelType w:val="multilevel"/>
    <w:tmpl w:val="00000001"/>
    <w:lvl w:ilvl="0">
      <w:start w:val="1"/>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55350686"/>
    <w:multiLevelType w:val="multilevel"/>
    <w:tmpl w:val="00000001"/>
    <w:lvl w:ilvl="0">
      <w:start w:val="1"/>
      <w:numFmt w:val="upp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55433725"/>
    <w:multiLevelType w:val="multilevel"/>
    <w:tmpl w:val="00000001"/>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571EEDC6"/>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5C913617"/>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5E0E6816"/>
    <w:multiLevelType w:val="multilevel"/>
    <w:tmpl w:val="00000001"/>
    <w:lvl w:ilvl="0">
      <w:start w:val="1"/>
      <w:numFmt w:val="lowerLetter"/>
      <w:lvlText w:val="(%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9">
    <w:nsid w:val="5F5909D8"/>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6138630F"/>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6578CB0E"/>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6B31CFA6"/>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nsid w:val="6D412472"/>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4">
    <w:nsid w:val="70966774"/>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5">
    <w:nsid w:val="73E5022B"/>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6">
    <w:nsid w:val="7826E058"/>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7">
    <w:nsid w:val="7ABF4AE4"/>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8">
    <w:nsid w:val="7F87EEA8"/>
    <w:multiLevelType w:val="multilevel"/>
    <w:tmpl w:val="00000001"/>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137"/>
  </w:num>
  <w:num w:numId="30">
    <w:abstractNumId w:val="28"/>
  </w:num>
  <w:num w:numId="31">
    <w:abstractNumId w:val="29"/>
  </w:num>
  <w:num w:numId="32">
    <w:abstractNumId w:val="30"/>
  </w:num>
  <w:num w:numId="33">
    <w:abstractNumId w:val="31"/>
  </w:num>
  <w:num w:numId="34">
    <w:abstractNumId w:val="32"/>
  </w:num>
  <w:num w:numId="35">
    <w:abstractNumId w:val="33"/>
  </w:num>
  <w:num w:numId="36">
    <w:abstractNumId w:val="34"/>
  </w:num>
  <w:num w:numId="37">
    <w:abstractNumId w:val="35"/>
  </w:num>
  <w:num w:numId="38">
    <w:abstractNumId w:val="36"/>
  </w:num>
  <w:num w:numId="39">
    <w:abstractNumId w:val="37"/>
  </w:num>
  <w:num w:numId="40">
    <w:abstractNumId w:val="38"/>
  </w:num>
  <w:num w:numId="41">
    <w:abstractNumId w:val="39"/>
  </w:num>
  <w:num w:numId="42">
    <w:abstractNumId w:val="40"/>
  </w:num>
  <w:num w:numId="43">
    <w:abstractNumId w:val="41"/>
  </w:num>
  <w:num w:numId="44">
    <w:abstractNumId w:val="42"/>
  </w:num>
  <w:num w:numId="45">
    <w:abstractNumId w:val="43"/>
  </w:num>
  <w:num w:numId="46">
    <w:abstractNumId w:val="44"/>
  </w:num>
  <w:num w:numId="47">
    <w:abstractNumId w:val="45"/>
  </w:num>
  <w:num w:numId="48">
    <w:abstractNumId w:val="46"/>
  </w:num>
  <w:num w:numId="49">
    <w:abstractNumId w:val="47"/>
  </w:num>
  <w:num w:numId="50">
    <w:abstractNumId w:val="48"/>
  </w:num>
  <w:num w:numId="51">
    <w:abstractNumId w:val="49"/>
  </w:num>
  <w:num w:numId="52">
    <w:abstractNumId w:val="50"/>
  </w:num>
  <w:num w:numId="53">
    <w:abstractNumId w:val="51"/>
  </w:num>
  <w:num w:numId="54">
    <w:abstractNumId w:val="52"/>
  </w:num>
  <w:num w:numId="55">
    <w:abstractNumId w:val="53"/>
  </w:num>
  <w:num w:numId="56">
    <w:abstractNumId w:val="54"/>
  </w:num>
  <w:num w:numId="57">
    <w:abstractNumId w:val="55"/>
  </w:num>
  <w:num w:numId="58">
    <w:abstractNumId w:val="56"/>
  </w:num>
  <w:num w:numId="59">
    <w:abstractNumId w:val="57"/>
  </w:num>
  <w:num w:numId="60">
    <w:abstractNumId w:val="58"/>
  </w:num>
  <w:num w:numId="61">
    <w:abstractNumId w:val="59"/>
  </w:num>
  <w:num w:numId="62">
    <w:abstractNumId w:val="60"/>
  </w:num>
  <w:num w:numId="63">
    <w:abstractNumId w:val="61"/>
  </w:num>
  <w:num w:numId="64">
    <w:abstractNumId w:val="62"/>
  </w:num>
  <w:num w:numId="65">
    <w:abstractNumId w:val="63"/>
  </w:num>
  <w:num w:numId="66">
    <w:abstractNumId w:val="64"/>
  </w:num>
  <w:num w:numId="67">
    <w:abstractNumId w:val="65"/>
  </w:num>
  <w:num w:numId="68">
    <w:abstractNumId w:val="66"/>
  </w:num>
  <w:num w:numId="69">
    <w:abstractNumId w:val="67"/>
  </w:num>
  <w:num w:numId="70">
    <w:abstractNumId w:val="68"/>
  </w:num>
  <w:num w:numId="71">
    <w:abstractNumId w:val="69"/>
  </w:num>
  <w:num w:numId="72">
    <w:abstractNumId w:val="70"/>
  </w:num>
  <w:num w:numId="73">
    <w:abstractNumId w:val="71"/>
  </w:num>
  <w:num w:numId="74">
    <w:abstractNumId w:val="72"/>
  </w:num>
  <w:num w:numId="75">
    <w:abstractNumId w:val="73"/>
  </w:num>
  <w:num w:numId="76">
    <w:abstractNumId w:val="74"/>
  </w:num>
  <w:num w:numId="77">
    <w:abstractNumId w:val="75"/>
  </w:num>
  <w:num w:numId="78">
    <w:abstractNumId w:val="76"/>
  </w:num>
  <w:num w:numId="79">
    <w:abstractNumId w:val="77"/>
  </w:num>
  <w:num w:numId="80">
    <w:abstractNumId w:val="78"/>
  </w:num>
  <w:num w:numId="81">
    <w:abstractNumId w:val="79"/>
  </w:num>
  <w:num w:numId="82">
    <w:abstractNumId w:val="80"/>
  </w:num>
  <w:num w:numId="83">
    <w:abstractNumId w:val="81"/>
  </w:num>
  <w:num w:numId="84">
    <w:abstractNumId w:val="82"/>
  </w:num>
  <w:num w:numId="85">
    <w:abstractNumId w:val="83"/>
  </w:num>
  <w:num w:numId="86">
    <w:abstractNumId w:val="158"/>
  </w:num>
  <w:num w:numId="87">
    <w:abstractNumId w:val="141"/>
  </w:num>
  <w:num w:numId="88">
    <w:abstractNumId w:val="131"/>
  </w:num>
  <w:num w:numId="89">
    <w:abstractNumId w:val="138"/>
  </w:num>
  <w:num w:numId="90">
    <w:abstractNumId w:val="165"/>
  </w:num>
  <w:num w:numId="91">
    <w:abstractNumId w:val="136"/>
  </w:num>
  <w:num w:numId="92">
    <w:abstractNumId w:val="154"/>
  </w:num>
  <w:num w:numId="93">
    <w:abstractNumId w:val="168"/>
  </w:num>
  <w:num w:numId="94">
    <w:abstractNumId w:val="146"/>
  </w:num>
  <w:num w:numId="95">
    <w:abstractNumId w:val="140"/>
  </w:num>
  <w:num w:numId="96">
    <w:abstractNumId w:val="149"/>
  </w:num>
  <w:num w:numId="97">
    <w:abstractNumId w:val="129"/>
  </w:num>
  <w:num w:numId="98">
    <w:abstractNumId w:val="156"/>
  </w:num>
  <w:num w:numId="99">
    <w:abstractNumId w:val="164"/>
  </w:num>
  <w:num w:numId="100">
    <w:abstractNumId w:val="139"/>
  </w:num>
  <w:num w:numId="101">
    <w:abstractNumId w:val="128"/>
  </w:num>
  <w:num w:numId="102">
    <w:abstractNumId w:val="135"/>
  </w:num>
  <w:num w:numId="103">
    <w:abstractNumId w:val="132"/>
  </w:num>
  <w:num w:numId="104">
    <w:abstractNumId w:val="145"/>
  </w:num>
  <w:num w:numId="105">
    <w:abstractNumId w:val="166"/>
  </w:num>
  <w:num w:numId="106">
    <w:abstractNumId w:val="130"/>
  </w:num>
  <w:num w:numId="107">
    <w:abstractNumId w:val="160"/>
  </w:num>
  <w:num w:numId="108">
    <w:abstractNumId w:val="163"/>
  </w:num>
  <w:num w:numId="109">
    <w:abstractNumId w:val="167"/>
  </w:num>
  <w:num w:numId="110">
    <w:abstractNumId w:val="84"/>
  </w:num>
  <w:num w:numId="111">
    <w:abstractNumId w:val="85"/>
  </w:num>
  <w:num w:numId="112">
    <w:abstractNumId w:val="86"/>
  </w:num>
  <w:num w:numId="113">
    <w:abstractNumId w:val="87"/>
  </w:num>
  <w:num w:numId="114">
    <w:abstractNumId w:val="88"/>
  </w:num>
  <w:num w:numId="115">
    <w:abstractNumId w:val="89"/>
  </w:num>
  <w:num w:numId="116">
    <w:abstractNumId w:val="90"/>
  </w:num>
  <w:num w:numId="117">
    <w:abstractNumId w:val="91"/>
  </w:num>
  <w:num w:numId="118">
    <w:abstractNumId w:val="92"/>
  </w:num>
  <w:num w:numId="119">
    <w:abstractNumId w:val="93"/>
  </w:num>
  <w:num w:numId="120">
    <w:abstractNumId w:val="94"/>
  </w:num>
  <w:num w:numId="121">
    <w:abstractNumId w:val="95"/>
  </w:num>
  <w:num w:numId="122">
    <w:abstractNumId w:val="96"/>
  </w:num>
  <w:num w:numId="123">
    <w:abstractNumId w:val="97"/>
  </w:num>
  <w:num w:numId="124">
    <w:abstractNumId w:val="98"/>
  </w:num>
  <w:num w:numId="125">
    <w:abstractNumId w:val="99"/>
  </w:num>
  <w:num w:numId="126">
    <w:abstractNumId w:val="100"/>
  </w:num>
  <w:num w:numId="127">
    <w:abstractNumId w:val="101"/>
  </w:num>
  <w:num w:numId="128">
    <w:abstractNumId w:val="102"/>
  </w:num>
  <w:num w:numId="129">
    <w:abstractNumId w:val="103"/>
  </w:num>
  <w:num w:numId="130">
    <w:abstractNumId w:val="104"/>
  </w:num>
  <w:num w:numId="131">
    <w:abstractNumId w:val="105"/>
  </w:num>
  <w:num w:numId="132">
    <w:abstractNumId w:val="106"/>
  </w:num>
  <w:num w:numId="133">
    <w:abstractNumId w:val="107"/>
  </w:num>
  <w:num w:numId="134">
    <w:abstractNumId w:val="108"/>
  </w:num>
  <w:num w:numId="135">
    <w:abstractNumId w:val="109"/>
  </w:num>
  <w:num w:numId="136">
    <w:abstractNumId w:val="110"/>
  </w:num>
  <w:num w:numId="137">
    <w:abstractNumId w:val="111"/>
  </w:num>
  <w:num w:numId="138">
    <w:abstractNumId w:val="112"/>
  </w:num>
  <w:num w:numId="139">
    <w:abstractNumId w:val="113"/>
  </w:num>
  <w:num w:numId="140">
    <w:abstractNumId w:val="114"/>
  </w:num>
  <w:num w:numId="141">
    <w:abstractNumId w:val="115"/>
  </w:num>
  <w:num w:numId="142">
    <w:abstractNumId w:val="116"/>
  </w:num>
  <w:num w:numId="143">
    <w:abstractNumId w:val="117"/>
  </w:num>
  <w:num w:numId="144">
    <w:abstractNumId w:val="118"/>
  </w:num>
  <w:num w:numId="145">
    <w:abstractNumId w:val="119"/>
  </w:num>
  <w:num w:numId="146">
    <w:abstractNumId w:val="120"/>
  </w:num>
  <w:num w:numId="147">
    <w:abstractNumId w:val="121"/>
  </w:num>
  <w:num w:numId="148">
    <w:abstractNumId w:val="122"/>
  </w:num>
  <w:num w:numId="149">
    <w:abstractNumId w:val="123"/>
  </w:num>
  <w:num w:numId="150">
    <w:abstractNumId w:val="124"/>
  </w:num>
  <w:num w:numId="151">
    <w:abstractNumId w:val="125"/>
  </w:num>
  <w:num w:numId="152">
    <w:abstractNumId w:val="126"/>
  </w:num>
  <w:num w:numId="153">
    <w:abstractNumId w:val="127"/>
  </w:num>
  <w:num w:numId="154">
    <w:abstractNumId w:val="134"/>
  </w:num>
  <w:num w:numId="155">
    <w:abstractNumId w:val="147"/>
  </w:num>
  <w:num w:numId="156">
    <w:abstractNumId w:val="155"/>
  </w:num>
  <w:num w:numId="157">
    <w:abstractNumId w:val="143"/>
  </w:num>
  <w:num w:numId="158">
    <w:abstractNumId w:val="151"/>
  </w:num>
  <w:num w:numId="159">
    <w:abstractNumId w:val="133"/>
  </w:num>
  <w:num w:numId="160">
    <w:abstractNumId w:val="150"/>
  </w:num>
  <w:num w:numId="161">
    <w:abstractNumId w:val="148"/>
  </w:num>
  <w:num w:numId="162">
    <w:abstractNumId w:val="153"/>
  </w:num>
  <w:num w:numId="163">
    <w:abstractNumId w:val="144"/>
  </w:num>
  <w:num w:numId="164">
    <w:abstractNumId w:val="159"/>
  </w:num>
  <w:num w:numId="165">
    <w:abstractNumId w:val="162"/>
  </w:num>
  <w:num w:numId="166">
    <w:abstractNumId w:val="142"/>
  </w:num>
  <w:num w:numId="167">
    <w:abstractNumId w:val="152"/>
  </w:num>
  <w:num w:numId="168">
    <w:abstractNumId w:val="157"/>
  </w:num>
  <w:num w:numId="169">
    <w:abstractNumId w:val="16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GCC-XVB1-JGHR-M47K-00000-00&amp;context=" TargetMode="External" /><Relationship Id="rId100" Type="http://schemas.openxmlformats.org/officeDocument/2006/relationships/hyperlink" Target="https://advance.lexis.com/api/document?collection=cases-ca&amp;id=urn:contentItem:5F81-VJS1-JN6B-S3M8-00000-00&amp;context=" TargetMode="External" /><Relationship Id="rId1000" Type="http://schemas.openxmlformats.org/officeDocument/2006/relationships/header" Target="header147.xml" /><Relationship Id="rId1001" Type="http://schemas.openxmlformats.org/officeDocument/2006/relationships/footer" Target="footer147.xml" /><Relationship Id="rId1002" Type="http://schemas.openxmlformats.org/officeDocument/2006/relationships/hyperlink" Target="https://advance.lexis.com/api/document?collection=cases-ca&amp;id=urn:contentItem:5F7T-S7K1-F528-G34G-00000-00&amp;context=" TargetMode="External" /><Relationship Id="rId1003" Type="http://schemas.openxmlformats.org/officeDocument/2006/relationships/hyperlink" Target="https://advance.lexis.com/api/document?collection=cases-ca&amp;id=urn:contentItem:5F81-YH21-JPGX-S0F9-00000-00&amp;context=" TargetMode="External" /><Relationship Id="rId1004" Type="http://schemas.openxmlformats.org/officeDocument/2006/relationships/hyperlink" Target="https://advance.lexis.com/api/document?collection=cases-ca&amp;id=urn:contentItem:5F7T-S7G1-JBT7-X3YJ-00000-00&amp;context=" TargetMode="External" /><Relationship Id="rId1005" Type="http://schemas.openxmlformats.org/officeDocument/2006/relationships/hyperlink" Target="https://advance.lexis.com/api/document?collection=cases-ca&amp;id=urn:contentItem:5F8T-N3V1-JTGH-B15S-00000-00&amp;context=" TargetMode="External" /><Relationship Id="rId1006" Type="http://schemas.openxmlformats.org/officeDocument/2006/relationships/hyperlink" Target="https://advance.lexis.com/api/document?collection=cases-ca&amp;id=urn:contentItem:5F7T-S7J1-JNS1-M22J-00000-00&amp;context=" TargetMode="External" /><Relationship Id="rId1007" Type="http://schemas.openxmlformats.org/officeDocument/2006/relationships/hyperlink" Target="https://advance.lexis.com/api/document?collection=cases-ca&amp;id=urn:contentItem:5F7T-S7D1-JS5Y-B28X-00000-00&amp;context=" TargetMode="External" /><Relationship Id="rId1008" Type="http://schemas.openxmlformats.org/officeDocument/2006/relationships/hyperlink" Target="https://advance.lexis.com/api/document?collection=cases-ca&amp;id=urn:contentItem:5F7T-S7D1-JG02-S35G-00000-00&amp;context=" TargetMode="External" /><Relationship Id="rId1009" Type="http://schemas.openxmlformats.org/officeDocument/2006/relationships/header" Target="header148.xml" /><Relationship Id="rId101" Type="http://schemas.openxmlformats.org/officeDocument/2006/relationships/hyperlink" Target="https://advance.lexis.com/api/document?collection=cases-ca&amp;id=urn:contentItem:5F8T-N3R1-JNS1-M131-00000-00&amp;context=" TargetMode="External" /><Relationship Id="rId1010" Type="http://schemas.openxmlformats.org/officeDocument/2006/relationships/header" Target="header149.xml" /><Relationship Id="rId1011" Type="http://schemas.openxmlformats.org/officeDocument/2006/relationships/footer" Target="footer148.xml" /><Relationship Id="rId1012" Type="http://schemas.openxmlformats.org/officeDocument/2006/relationships/footer" Target="footer149.xml" /><Relationship Id="rId1013" Type="http://schemas.openxmlformats.org/officeDocument/2006/relationships/header" Target="header150.xml" /><Relationship Id="rId1014" Type="http://schemas.openxmlformats.org/officeDocument/2006/relationships/footer" Target="footer150.xml" /><Relationship Id="rId1015" Type="http://schemas.openxmlformats.org/officeDocument/2006/relationships/hyperlink" Target="https://advance.lexis.com/api/document?collection=cases-ca&amp;id=urn:contentItem:5F7T-S7N1-JW09-M0R1-00000-00&amp;context=" TargetMode="External" /><Relationship Id="rId1016" Type="http://schemas.openxmlformats.org/officeDocument/2006/relationships/hyperlink" Target="https://advance.lexis.com/api/document?collection=legislation-ca&amp;id=urn:contentItem:5F41-1FJ1-JBDT-B069-00000-00&amp;context=" TargetMode="External" /><Relationship Id="rId1017" Type="http://schemas.openxmlformats.org/officeDocument/2006/relationships/hyperlink" Target="https://advance.lexis.com/api/document?collection=cases-ca&amp;id=urn:contentItem:5F7T-S7K1-JX3N-B2V4-00000-00&amp;context=" TargetMode="External" /><Relationship Id="rId1018" Type="http://schemas.openxmlformats.org/officeDocument/2006/relationships/hyperlink" Target="https://advance.lexis.com/api/document?collection=cases-ca&amp;id=urn:contentItem:5F8T-N3P1-F7ND-G14C-00000-00&amp;context=" TargetMode="External" /><Relationship Id="rId1019" Type="http://schemas.openxmlformats.org/officeDocument/2006/relationships/hyperlink" Target="https://advance.lexis.com/api/document?collection=cases-ca&amp;id=urn:contentItem:5F81-YGW1-DYFH-X025-00000-00&amp;context=" TargetMode="External" /><Relationship Id="rId102" Type="http://schemas.openxmlformats.org/officeDocument/2006/relationships/hyperlink" Target="https://advance.lexis.com/api/document?collection=cases-ca&amp;id=urn:contentItem:5F7T-S711-JC0G-62Y2-00000-00&amp;context=" TargetMode="External" /><Relationship Id="rId1020" Type="http://schemas.openxmlformats.org/officeDocument/2006/relationships/hyperlink" Target="https://advance.lexis.com/api/document?collection=cases-ca&amp;id=urn:contentItem:5F8P-SC71-JK4W-M2MK-00000-00&amp;context=" TargetMode="External" /><Relationship Id="rId1021" Type="http://schemas.openxmlformats.org/officeDocument/2006/relationships/hyperlink" Target="https://advance.lexis.com/api/document?collection=cases-ca&amp;id=urn:contentItem:5F7T-S7G1-JBT7-X40C-00000-00&amp;context=" TargetMode="External" /><Relationship Id="rId1022" Type="http://schemas.openxmlformats.org/officeDocument/2006/relationships/hyperlink" Target="https://advance.lexis.com/api/document?collection=cases-ca&amp;id=urn:contentItem:5F8T-N3V1-JF75-M3WX-00000-00&amp;context=" TargetMode="External" /><Relationship Id="rId1023" Type="http://schemas.openxmlformats.org/officeDocument/2006/relationships/hyperlink" Target="https://advance.lexis.com/api/document?collection=cases-ca&amp;id=urn:contentItem:5F7T-S7G1-JNY7-X443-00000-00&amp;context=" TargetMode="External" /><Relationship Id="rId1024" Type="http://schemas.openxmlformats.org/officeDocument/2006/relationships/hyperlink" Target="https://advance.lexis.com/api/document?collection=cases-ca&amp;id=urn:contentItem:5F7T-S711-JG02-S1F6-00000-00&amp;context=" TargetMode="External" /><Relationship Id="rId1025" Type="http://schemas.openxmlformats.org/officeDocument/2006/relationships/hyperlink" Target="https://advance.lexis.com/api/document?collection=cases-ca&amp;id=urn:contentItem:5F7T-S7N1-JWR6-S2JD-00000-00&amp;context=" TargetMode="External" /><Relationship Id="rId1026" Type="http://schemas.openxmlformats.org/officeDocument/2006/relationships/hyperlink" Target="https://advance.lexis.com/api/document?collection=cases-ca&amp;id=urn:contentItem:5F7T-S7K1-JKHB-62YV-00000-00&amp;context=" TargetMode="External" /><Relationship Id="rId1027" Type="http://schemas.openxmlformats.org/officeDocument/2006/relationships/hyperlink" Target="https://advance.lexis.com/api/document?collection=cases-ca&amp;id=urn:contentItem:5F7T-S7J1-DXWW-251K-00000-00&amp;context=" TargetMode="External" /><Relationship Id="rId1028" Type="http://schemas.openxmlformats.org/officeDocument/2006/relationships/hyperlink" Target="https://advance.lexis.com/api/document?collection=cases-ca&amp;id=urn:contentItem:5F7T-S771-JTGH-B136-00000-00&amp;context=" TargetMode="External" /><Relationship Id="rId1029" Type="http://schemas.openxmlformats.org/officeDocument/2006/relationships/hyperlink" Target="https://advance.lexis.com/api/document?collection=cases-ca&amp;id=urn:contentItem:5F7T-S7K1-F528-G2XC-00000-00&amp;context=" TargetMode="External" /><Relationship Id="rId103" Type="http://schemas.openxmlformats.org/officeDocument/2006/relationships/hyperlink" Target="https://advance.lexis.com/api/document?collection=cases-ca&amp;id=urn:contentItem:5F82-1SB1-F8SS-6458-00000-00&amp;context=" TargetMode="External" /><Relationship Id="rId1030" Type="http://schemas.openxmlformats.org/officeDocument/2006/relationships/hyperlink" Target="https://advance.lexis.com/api/document?collection=cases-ca&amp;id=urn:contentItem:5F7T-S7M1-F4W2-626V-00000-00&amp;context=" TargetMode="External" /><Relationship Id="rId1031" Type="http://schemas.openxmlformats.org/officeDocument/2006/relationships/hyperlink" Target="https://advance.lexis.com/api/document?collection=cases-ca&amp;id=urn:contentItem:5F7T-S7K1-F1H1-22C1-00000-00&amp;context=" TargetMode="External" /><Relationship Id="rId1032" Type="http://schemas.openxmlformats.org/officeDocument/2006/relationships/hyperlink" Target="https://advance.lexis.com/api/document?collection=cases-ca&amp;id=urn:contentItem:5F7T-S7D1-JN6B-S13K-00000-00&amp;context=" TargetMode="External" /><Relationship Id="rId1033" Type="http://schemas.openxmlformats.org/officeDocument/2006/relationships/hyperlink" Target="https://advance.lexis.com/api/document?collection=cases-ca&amp;id=urn:contentItem:5F7T-S7M1-F4W2-62BF-00000-00&amp;context=" TargetMode="External" /><Relationship Id="rId1034" Type="http://schemas.openxmlformats.org/officeDocument/2006/relationships/hyperlink" Target="https://advance.lexis.com/api/document?collection=cases-ca&amp;id=urn:contentItem:5F7T-S771-JSJC-X05N-00000-00&amp;context=" TargetMode="External" /><Relationship Id="rId1035" Type="http://schemas.openxmlformats.org/officeDocument/2006/relationships/hyperlink" Target="https://advance.lexis.com/api/document?collection=cases-ca&amp;id=urn:contentItem:5F7T-S7N1-F57G-S2M7-00000-00&amp;context=" TargetMode="External" /><Relationship Id="rId1036" Type="http://schemas.openxmlformats.org/officeDocument/2006/relationships/hyperlink" Target="https://advance.lexis.com/api/document?collection=cases-ca&amp;id=urn:contentItem:5F7T-S741-DY89-M3P5-00000-00&amp;context=" TargetMode="External" /><Relationship Id="rId1037" Type="http://schemas.openxmlformats.org/officeDocument/2006/relationships/hyperlink" Target="https://advance.lexis.com/api/document?collection=cases-ca&amp;id=urn:contentItem:5F7T-S721-FG12-6239-00000-00&amp;context=" TargetMode="External" /><Relationship Id="rId1038" Type="http://schemas.openxmlformats.org/officeDocument/2006/relationships/hyperlink" Target="https://advance.lexis.com/api/document?collection=cases-ca&amp;id=urn:contentItem:5F7T-S7H1-JFKM-62GF-00000-00&amp;context=" TargetMode="External" /><Relationship Id="rId1039" Type="http://schemas.openxmlformats.org/officeDocument/2006/relationships/hyperlink" Target="https://advance.lexis.com/api/document?collection=cases-ca&amp;id=urn:contentItem:5F7T-S771-JSJC-X038-00000-00&amp;context=" TargetMode="External" /><Relationship Id="rId104" Type="http://schemas.openxmlformats.org/officeDocument/2006/relationships/hyperlink" Target="https://advance.lexis.com/api/document?collection=cases-ca&amp;id=urn:contentItem:5F82-1SB1-F8SS-6451-00000-00&amp;context=" TargetMode="External" /><Relationship Id="rId1040" Type="http://schemas.openxmlformats.org/officeDocument/2006/relationships/hyperlink" Target="https://advance.lexis.com/api/document?collection=cases-ca&amp;id=urn:contentItem:5F7T-S791-JCJ5-251B-00000-00&amp;context=" TargetMode="External" /><Relationship Id="rId1041" Type="http://schemas.openxmlformats.org/officeDocument/2006/relationships/hyperlink" Target="https://advance.lexis.com/api/document?collection=cases-ca&amp;id=urn:contentItem:5F7T-S7M1-JNCK-22MK-00000-00&amp;context=" TargetMode="External" /><Relationship Id="rId1042" Type="http://schemas.openxmlformats.org/officeDocument/2006/relationships/numbering" Target="numbering.xml" /><Relationship Id="rId1043" Type="http://schemas.openxmlformats.org/officeDocument/2006/relationships/styles" Target="styles.xml" /><Relationship Id="rId105" Type="http://schemas.openxmlformats.org/officeDocument/2006/relationships/hyperlink" Target="https://advance.lexis.com/api/document?collection=cases-ca&amp;id=urn:contentItem:5F7T-S751-JG02-S2DC-00000-00&amp;context=" TargetMode="External" /><Relationship Id="rId106" Type="http://schemas.openxmlformats.org/officeDocument/2006/relationships/hyperlink" Target="https://advance.lexis.com/api/document?collection=cases-ca&amp;id=urn:contentItem:5F7V-3DK1-JNY7-X2CK-00000-00&amp;context=" TargetMode="External" /><Relationship Id="rId107" Type="http://schemas.openxmlformats.org/officeDocument/2006/relationships/hyperlink" Target="https://advance.lexis.com/api/document?collection=cases-ca&amp;id=urn:contentItem:5F81-YH41-JX8W-M05J-00000-00&amp;context=" TargetMode="External" /><Relationship Id="rId108" Type="http://schemas.openxmlformats.org/officeDocument/2006/relationships/hyperlink" Target="https://advance.lexis.com/api/document?collection=cases-ca&amp;id=urn:contentItem:5F7T-S781-FH4C-X2N3-00000-00&amp;context=" TargetMode="External" /><Relationship Id="rId109" Type="http://schemas.openxmlformats.org/officeDocument/2006/relationships/hyperlink" Target="https://advance.lexis.com/api/document?collection=cases-ca&amp;id=urn:contentItem:5F7T-S771-F361-M1CP-00000-00&amp;context=" TargetMode="External" /><Relationship Id="rId11" Type="http://schemas.openxmlformats.org/officeDocument/2006/relationships/hyperlink" Target="https://advance.lexis.com/api/document?collection=cases-ca&amp;id=urn:contentItem:5F7T-S7N1-JGHR-M38N-00000-00&amp;context=" TargetMode="External" /><Relationship Id="rId110" Type="http://schemas.openxmlformats.org/officeDocument/2006/relationships/hyperlink" Target="https://advance.lexis.com/api/document?collection=cases-ca&amp;id=urn:contentItem:5F7T-S721-FD4T-B13V-00000-00&amp;context=" TargetMode="External" /><Relationship Id="rId111" Type="http://schemas.openxmlformats.org/officeDocument/2006/relationships/hyperlink" Target="https://advance.lexis.com/api/document?collection=cases-ca&amp;id=urn:contentItem:5F8T-N3V1-JF75-M3S6-00000-00&amp;context=" TargetMode="External" /><Relationship Id="rId112" Type="http://schemas.openxmlformats.org/officeDocument/2006/relationships/hyperlink" Target="https://advance.lexis.com/api/document?collection=cases-ca&amp;id=urn:contentItem:5F8T-N3V1-JTGH-B153-00000-00&amp;context=" TargetMode="External" /><Relationship Id="rId113" Type="http://schemas.openxmlformats.org/officeDocument/2006/relationships/hyperlink" Target="https://advance.lexis.com/api/document?collection=cases-ca&amp;id=urn:contentItem:5F8T-N3V1-FH4C-X20M-00000-00&amp;context=" TargetMode="External" /><Relationship Id="rId114" Type="http://schemas.openxmlformats.org/officeDocument/2006/relationships/hyperlink" Target="https://advance.lexis.com/api/document?collection=cases-ca&amp;id=urn:contentItem:5F8T-N3V1-FH4C-X22V-00000-00&amp;context=" TargetMode="External" /><Relationship Id="rId115" Type="http://schemas.openxmlformats.org/officeDocument/2006/relationships/hyperlink" Target="https://advance.lexis.com/api/document?collection=cases-ca&amp;id=urn:contentItem:5F7T-S7M1-JNCK-22RP-00000-00&amp;context=" TargetMode="External" /><Relationship Id="rId116" Type="http://schemas.openxmlformats.org/officeDocument/2006/relationships/hyperlink" Target="https://advance.lexis.com/api/document?collection=cases-ca&amp;id=urn:contentItem:5F8T-N3V1-JTGH-B18F-00000-00&amp;context=" TargetMode="External" /><Relationship Id="rId117" Type="http://schemas.openxmlformats.org/officeDocument/2006/relationships/hyperlink" Target="https://advance.lexis.com/api/document?collection=cases-ca&amp;id=urn:contentItem:5F8T-N3T1-JFKM-655K-00000-00&amp;context=" TargetMode="External" /><Relationship Id="rId118" Type="http://schemas.openxmlformats.org/officeDocument/2006/relationships/hyperlink" Target="https://advance.lexis.com/api/document?collection=cases-ca&amp;id=urn:contentItem:5F7T-S7M1-DYMS-6201-00000-00&amp;context=" TargetMode="External" /><Relationship Id="rId119" Type="http://schemas.openxmlformats.org/officeDocument/2006/relationships/hyperlink" Target="https://advance.lexis.com/api/document?collection=cases-ca&amp;id=urn:contentItem:5F7T-S7N1-F06F-24BC-00000-00&amp;context=" TargetMode="External" /><Relationship Id="rId12" Type="http://schemas.openxmlformats.org/officeDocument/2006/relationships/hyperlink" Target="https://advance.lexis.com/api/document?collection=cases-ca&amp;id=urn:contentItem:5F7T-S7D1-FFFC-B1DT-00000-00&amp;context=" TargetMode="External" /><Relationship Id="rId120" Type="http://schemas.openxmlformats.org/officeDocument/2006/relationships/hyperlink" Target="https://advance.lexis.com/api/document?collection=cases-ca&amp;id=urn:contentItem:5F7T-S7M1-JCRC-B1T2-00000-00&amp;context=" TargetMode="External" /><Relationship Id="rId121" Type="http://schemas.openxmlformats.org/officeDocument/2006/relationships/hyperlink" Target="https://advance.lexis.com/api/document?collection=cases-ca&amp;id=urn:contentItem:5F8T-N3T1-JGHR-M1WB-00000-00&amp;context=" TargetMode="External" /><Relationship Id="rId122" Type="http://schemas.openxmlformats.org/officeDocument/2006/relationships/hyperlink" Target="https://advance.lexis.com/api/document?collection=cases-ca&amp;id=urn:contentItem:5F8T-N3T1-JGHR-M1Y2-00000-00&amp;context=" TargetMode="External" /><Relationship Id="rId123" Type="http://schemas.openxmlformats.org/officeDocument/2006/relationships/hyperlink" Target="https://advance.lexis.com/api/document?collection=cases-ca&amp;id=urn:contentItem:5F7T-S7C1-JCJ5-20S1-00000-00&amp;context=" TargetMode="External" /><Relationship Id="rId124" Type="http://schemas.openxmlformats.org/officeDocument/2006/relationships/hyperlink" Target="https://advance.lexis.com/api/document?collection=cases-ca&amp;id=urn:contentItem:5F7T-S7C1-JS0R-22BK-00000-00&amp;context=" TargetMode="External" /><Relationship Id="rId125" Type="http://schemas.openxmlformats.org/officeDocument/2006/relationships/hyperlink" Target="https://advance.lexis.com/api/document?collection=cases-ca&amp;id=urn:contentItem:5F82-1SF1-JKPJ-G2MS-00000-00&amp;context=" TargetMode="External" /><Relationship Id="rId126" Type="http://schemas.openxmlformats.org/officeDocument/2006/relationships/hyperlink" Target="https://advance.lexis.com/api/document?collection=cases-ca&amp;id=urn:contentItem:5F8T-N3V1-JF75-M3W7-00000-00&amp;context=" TargetMode="External" /><Relationship Id="rId127" Type="http://schemas.openxmlformats.org/officeDocument/2006/relationships/header" Target="header19.xml" /><Relationship Id="rId128" Type="http://schemas.openxmlformats.org/officeDocument/2006/relationships/header" Target="header20.xml" /><Relationship Id="rId129" Type="http://schemas.openxmlformats.org/officeDocument/2006/relationships/footer" Target="footer19.xml" /><Relationship Id="rId13" Type="http://schemas.openxmlformats.org/officeDocument/2006/relationships/hyperlink" Target="https://advance.lexis.com/api/document?collection=cases-ca&amp;id=urn:contentItem:5F7T-S7F1-FJTD-G3D8-00000-00&amp;context=" TargetMode="External" /><Relationship Id="rId130" Type="http://schemas.openxmlformats.org/officeDocument/2006/relationships/footer" Target="footer20.xml" /><Relationship Id="rId131" Type="http://schemas.openxmlformats.org/officeDocument/2006/relationships/header" Target="header21.xml" /><Relationship Id="rId132" Type="http://schemas.openxmlformats.org/officeDocument/2006/relationships/footer" Target="footer21.xml" /><Relationship Id="rId133" Type="http://schemas.openxmlformats.org/officeDocument/2006/relationships/hyperlink" Target="https://advance.lexis.com/api/document?collection=cases-ca&amp;id=urn:contentItem:5J4V-Y9D1-DXPM-S4PM-00000-00&amp;context=" TargetMode="External" /><Relationship Id="rId134" Type="http://schemas.openxmlformats.org/officeDocument/2006/relationships/hyperlink" Target="https://advance.lexis.com/api/document?collection=cases-ca&amp;id=urn:contentItem:5K6Y-81T1-JYYX-622T-00000-00&amp;context=" TargetMode="External" /><Relationship Id="rId135" Type="http://schemas.openxmlformats.org/officeDocument/2006/relationships/hyperlink" Target="https://advance.lexis.com/api/document?collection=legislation-ca&amp;id=urn:contentItem:5F41-1FJ1-JKPJ-G0P5-00000-00&amp;context=" TargetMode="External" /><Relationship Id="rId136" Type="http://schemas.openxmlformats.org/officeDocument/2006/relationships/image" Target="media/image1.png" /><Relationship Id="rId137" Type="http://schemas.openxmlformats.org/officeDocument/2006/relationships/hyperlink" Target="https://advance.lexis.com/api/document?collection=cases-ca&amp;id=urn:contentItem:5F7T-S7P1-JBDT-B196-00000-00&amp;context=" TargetMode="External" /><Relationship Id="rId138" Type="http://schemas.openxmlformats.org/officeDocument/2006/relationships/hyperlink" Target="https://advance.lexis.com/api/document?collection=cases-ca&amp;id=urn:contentItem:5F8T-N3V1-FC1F-M41J-00000-00&amp;context=" TargetMode="External" /><Relationship Id="rId139" Type="http://schemas.openxmlformats.org/officeDocument/2006/relationships/hyperlink" Target="https://advance.lexis.com/api/document?collection=cases-ca&amp;id=urn:contentItem:5F7T-S7K1-JSJC-X0RW-00000-00&amp;context=" TargetMode="External" /><Relationship Id="rId14" Type="http://schemas.openxmlformats.org/officeDocument/2006/relationships/hyperlink" Target="https://advance.lexis.com/api/document?collection=cases-ca&amp;id=urn:contentItem:5F8T-N3V1-FH4C-X252-00000-00&amp;context=" TargetMode="External" /><Relationship Id="rId140" Type="http://schemas.openxmlformats.org/officeDocument/2006/relationships/hyperlink" Target="https://advance.lexis.com/api/document?collection=cases-ca&amp;id=urn:contentItem:5F7T-S771-JSJC-X02P-00000-00&amp;context=" TargetMode="External" /><Relationship Id="rId141" Type="http://schemas.openxmlformats.org/officeDocument/2006/relationships/hyperlink" Target="https://advance.lexis.com/api/document?collection=cases-ca&amp;id=urn:contentItem:5F7T-S701-JJ6S-61FY-00000-00&amp;context=" TargetMode="External" /><Relationship Id="rId142" Type="http://schemas.openxmlformats.org/officeDocument/2006/relationships/hyperlink" Target="https://advance.lexis.com/api/document?collection=cases-ca&amp;id=urn:contentItem:5F7T-S771-F81W-22VF-00000-00&amp;context=" TargetMode="External" /><Relationship Id="rId143" Type="http://schemas.openxmlformats.org/officeDocument/2006/relationships/hyperlink" Target="https://advance.lexis.com/api/document?collection=cases-ca&amp;id=urn:contentItem:5F7T-S7J1-FGCG-S06H-00000-00&amp;context=" TargetMode="External" /><Relationship Id="rId144" Type="http://schemas.openxmlformats.org/officeDocument/2006/relationships/hyperlink" Target="https://advance.lexis.com/api/document?collection=cases-ca&amp;id=urn:contentItem:5F7T-S771-JSJC-X0KK-00000-00&amp;context=" TargetMode="External" /><Relationship Id="rId145" Type="http://schemas.openxmlformats.org/officeDocument/2006/relationships/hyperlink" Target="https://advance.lexis.com/api/document?collection=cases-ca&amp;id=urn:contentItem:5F7T-S7N1-DXWW-20KV-00000-00&amp;context=" TargetMode="External" /><Relationship Id="rId146" Type="http://schemas.openxmlformats.org/officeDocument/2006/relationships/hyperlink" Target="https://advance.lexis.com/api/document?collection=cases-ca&amp;id=urn:contentItem:5F7T-S7P1-JSJC-X1W2-00000-00&amp;context=" TargetMode="External" /><Relationship Id="rId147" Type="http://schemas.openxmlformats.org/officeDocument/2006/relationships/hyperlink" Target="https://advance.lexis.com/api/document?collection=cases-ca&amp;id=urn:contentItem:5F7T-S7K1-JWXF-2101-00000-00&amp;context=" TargetMode="External" /><Relationship Id="rId148" Type="http://schemas.openxmlformats.org/officeDocument/2006/relationships/hyperlink" Target="https://advance.lexis.com/api/document?collection=cases-ca&amp;id=urn:contentItem:5F7T-S7H1-F016-S3P5-00000-00&amp;context=" TargetMode="External" /><Relationship Id="rId149" Type="http://schemas.openxmlformats.org/officeDocument/2006/relationships/hyperlink" Target="https://advance.lexis.com/api/document?collection=cases-ca&amp;id=urn:contentItem:5F7T-S7K1-JSJC-X16V-00000-00&amp;context=" TargetMode="External" /><Relationship Id="rId15" Type="http://schemas.openxmlformats.org/officeDocument/2006/relationships/hyperlink" Target="https://advance.lexis.com/api/document?collection=cases-ca&amp;id=urn:contentItem:5F7T-S7P1-JP4G-61SG-00000-00&amp;context=" TargetMode="External" /><Relationship Id="rId150" Type="http://schemas.openxmlformats.org/officeDocument/2006/relationships/hyperlink" Target="https://advance.lexis.com/api/document?collection=cases-ca&amp;id=urn:contentItem:5F7T-S7D1-FBFS-S1M7-00000-00&amp;context=" TargetMode="External" /><Relationship Id="rId151" Type="http://schemas.openxmlformats.org/officeDocument/2006/relationships/hyperlink" Target="https://advance.lexis.com/api/document?collection=cases-ca&amp;id=urn:contentItem:5F7T-S7K1-JSJC-X168-00000-00&amp;context=" TargetMode="External" /><Relationship Id="rId152" Type="http://schemas.openxmlformats.org/officeDocument/2006/relationships/header" Target="header22.xml" /><Relationship Id="rId153" Type="http://schemas.openxmlformats.org/officeDocument/2006/relationships/header" Target="header23.xml" /><Relationship Id="rId154" Type="http://schemas.openxmlformats.org/officeDocument/2006/relationships/footer" Target="footer22.xml" /><Relationship Id="rId155" Type="http://schemas.openxmlformats.org/officeDocument/2006/relationships/footer" Target="footer23.xml" /><Relationship Id="rId156" Type="http://schemas.openxmlformats.org/officeDocument/2006/relationships/header" Target="header24.xml" /><Relationship Id="rId157" Type="http://schemas.openxmlformats.org/officeDocument/2006/relationships/footer" Target="footer24.xml" /><Relationship Id="rId158" Type="http://schemas.openxmlformats.org/officeDocument/2006/relationships/hyperlink" Target="https://advance.lexis.com/api/document?collection=cases-ca&amp;id=urn:contentItem:5F7T-S7P1-JBDT-B15X-00000-00&amp;context=" TargetMode="External" /><Relationship Id="rId159" Type="http://schemas.openxmlformats.org/officeDocument/2006/relationships/hyperlink" Target="https://advance.lexis.com/api/document?collection=legislation-ca&amp;id=urn:contentItem:5M4H-NFT1-DY89-M3HJ-00000-00&amp;context=" TargetMode="External" /><Relationship Id="rId16" Type="http://schemas.openxmlformats.org/officeDocument/2006/relationships/hyperlink" Target="https://advance.lexis.com/api/document?collection=cases-ca&amp;id=urn:contentItem:5F7T-S6Y1-JNY7-X2P3-00000-00&amp;context=" TargetMode="External" /><Relationship Id="rId160" Type="http://schemas.openxmlformats.org/officeDocument/2006/relationships/hyperlink" Target="https://advance.lexis.com/api/document?collection=cases-ca&amp;id=urn:contentItem:5F7T-S6Y1-FJDY-X23K-00000-00&amp;context=" TargetMode="External" /><Relationship Id="rId161" Type="http://schemas.openxmlformats.org/officeDocument/2006/relationships/hyperlink" Target="https://advance.lexis.com/api/document?collection=cases-ca&amp;id=urn:contentItem:5F16-93D1-JG02-S055-00000-00&amp;context=" TargetMode="External" /><Relationship Id="rId162" Type="http://schemas.openxmlformats.org/officeDocument/2006/relationships/hyperlink" Target="https://advance.lexis.com/api/document?collection=cases-ca&amp;id=urn:contentItem:5F7T-S7M1-JJK6-S208-00000-00&amp;context=" TargetMode="External" /><Relationship Id="rId163" Type="http://schemas.openxmlformats.org/officeDocument/2006/relationships/hyperlink" Target="https://advance.lexis.com/api/document?collection=cases-ca&amp;id=urn:contentItem:5F7T-XPY1-DXHD-G1TB-00000-00&amp;context=" TargetMode="External" /><Relationship Id="rId164" Type="http://schemas.openxmlformats.org/officeDocument/2006/relationships/hyperlink" Target="https://advance.lexis.com/api/document?collection=cases-ca&amp;id=urn:contentItem:5F7V-3DM1-JSJC-X2DC-00000-00&amp;context=" TargetMode="External" /><Relationship Id="rId165" Type="http://schemas.openxmlformats.org/officeDocument/2006/relationships/hyperlink" Target="https://advance.lexis.com/api/document?collection=cases-ca&amp;id=urn:contentItem:5F7T-S7K1-JKHB-62XG-00000-00&amp;context=" TargetMode="External" /><Relationship Id="rId166" Type="http://schemas.openxmlformats.org/officeDocument/2006/relationships/hyperlink" Target="https://advance.lexis.com/api/document?collection=cases-ca&amp;id=urn:contentItem:5F8T-N3S1-JT99-253F-00000-00&amp;context=" TargetMode="External" /><Relationship Id="rId167" Type="http://schemas.openxmlformats.org/officeDocument/2006/relationships/hyperlink" Target="https://advance.lexis.com/api/document?collection=cases-ca&amp;id=urn:contentItem:5F7T-S7N1-DXWW-20MM-00000-00&amp;context=" TargetMode="External" /><Relationship Id="rId168" Type="http://schemas.openxmlformats.org/officeDocument/2006/relationships/hyperlink" Target="https://advance.lexis.com/api/document?collection=cases-ca&amp;id=urn:contentItem:5F7T-S7K1-JSJC-X0P8-00000-00&amp;context=" TargetMode="External" /><Relationship Id="rId169" Type="http://schemas.openxmlformats.org/officeDocument/2006/relationships/hyperlink" Target="https://advance.lexis.com/api/document?collection=cases-ca&amp;id=urn:contentItem:5F7T-S7F1-DXWW-246K-00000-00&amp;context=" TargetMode="External" /><Relationship Id="rId17" Type="http://schemas.openxmlformats.org/officeDocument/2006/relationships/hyperlink" Target="https://advance.lexis.com/api/document?collection=cases-ca&amp;id=urn:contentItem:5GCC-XVB1-JSXV-G002-00000-00&amp;context=" TargetMode="External" /><Relationship Id="rId170" Type="http://schemas.openxmlformats.org/officeDocument/2006/relationships/hyperlink" Target="https://advance.lexis.com/api/document?collection=cases-ca&amp;id=urn:contentItem:5F8N-K741-JGBH-B1DC-00000-00&amp;context=" TargetMode="External" /><Relationship Id="rId171" Type="http://schemas.openxmlformats.org/officeDocument/2006/relationships/hyperlink" Target="https://advance.lexis.com/api/document?collection=cases-ca&amp;id=urn:contentItem:5F8P-SF71-DY33-B18T-00000-00&amp;context=" TargetMode="External" /><Relationship Id="rId172" Type="http://schemas.openxmlformats.org/officeDocument/2006/relationships/hyperlink" Target="https://advance.lexis.com/api/document?collection=cases-ca&amp;id=urn:contentItem:5F7T-S7F1-FJTD-G3FW-00000-00&amp;context=" TargetMode="External" /><Relationship Id="rId173" Type="http://schemas.openxmlformats.org/officeDocument/2006/relationships/hyperlink" Target="https://advance.lexis.com/api/document?collection=cases-ca&amp;id=urn:contentItem:5F8P-SF51-F5KY-B53B-00000-00&amp;context=" TargetMode="External" /><Relationship Id="rId174" Type="http://schemas.openxmlformats.org/officeDocument/2006/relationships/hyperlink" Target="https://advance.lexis.com/api/document?collection=cases-ca&amp;id=urn:contentItem:5F8P-SF71-FGCG-S3NF-00000-00&amp;context=" TargetMode="External" /><Relationship Id="rId175" Type="http://schemas.openxmlformats.org/officeDocument/2006/relationships/hyperlink" Target="https://advance.lexis.com/api/document?collection=cases-ca&amp;id=urn:contentItem:5F82-1SH1-F8KH-X24F-00000-00&amp;context=" TargetMode="External" /><Relationship Id="rId176" Type="http://schemas.openxmlformats.org/officeDocument/2006/relationships/hyperlink" Target="https://advance.lexis.com/api/document?collection=cases-ca&amp;id=urn:contentItem:5F8P-SFK1-JBDT-B354-00000-00&amp;context=" TargetMode="External" /><Relationship Id="rId177" Type="http://schemas.openxmlformats.org/officeDocument/2006/relationships/hyperlink" Target="https://advance.lexis.com/api/document?collection=cases-ca&amp;id=urn:contentItem:5F8T-N3V1-JTGH-B1C7-00000-00&amp;context=" TargetMode="External" /><Relationship Id="rId178" Type="http://schemas.openxmlformats.org/officeDocument/2006/relationships/hyperlink" Target="https://advance.lexis.com/api/document?collection=cases-ca&amp;id=urn:contentItem:5F7T-S791-FJTD-G2PM-00000-00&amp;context=" TargetMode="External" /><Relationship Id="rId179" Type="http://schemas.openxmlformats.org/officeDocument/2006/relationships/header" Target="header25.xml" /><Relationship Id="rId18" Type="http://schemas.openxmlformats.org/officeDocument/2006/relationships/hyperlink" Target="https://advance.lexis.com/api/document?collection=cases-ca&amp;id=urn:contentItem:5F8T-N3V1-JTGH-B192-00000-00&amp;context=" TargetMode="External" /><Relationship Id="rId180" Type="http://schemas.openxmlformats.org/officeDocument/2006/relationships/header" Target="header26.xml" /><Relationship Id="rId181" Type="http://schemas.openxmlformats.org/officeDocument/2006/relationships/footer" Target="footer25.xml" /><Relationship Id="rId182" Type="http://schemas.openxmlformats.org/officeDocument/2006/relationships/footer" Target="footer26.xml" /><Relationship Id="rId183" Type="http://schemas.openxmlformats.org/officeDocument/2006/relationships/header" Target="header27.xml" /><Relationship Id="rId184" Type="http://schemas.openxmlformats.org/officeDocument/2006/relationships/footer" Target="footer27.xml" /><Relationship Id="rId185" Type="http://schemas.openxmlformats.org/officeDocument/2006/relationships/hyperlink" Target="https://advance.lexis.com/api/document?collection=cases-ca&amp;id=urn:contentItem:5F7T-S7F1-FFFC-B217-00000-00&amp;context=" TargetMode="External" /><Relationship Id="rId186" Type="http://schemas.openxmlformats.org/officeDocument/2006/relationships/hyperlink" Target="https://advance.lexis.com/api/document?collection=legislation-ca&amp;id=urn:contentItem:5F41-1FH1-F361-M0G9-00000-00&amp;context=" TargetMode="External" /><Relationship Id="rId187" Type="http://schemas.openxmlformats.org/officeDocument/2006/relationships/hyperlink" Target="https://advance.lexis.com/api/document?collection=cases-ca&amp;id=urn:contentItem:5F7T-S751-JG02-S2J2-00000-00&amp;context=" TargetMode="External" /><Relationship Id="rId188" Type="http://schemas.openxmlformats.org/officeDocument/2006/relationships/hyperlink" Target="https://advance.lexis.com/api/document?collection=cases-ca&amp;id=urn:contentItem:5F7T-S7D1-JG02-S2RF-00000-00&amp;context=" TargetMode="External" /><Relationship Id="rId189" Type="http://schemas.openxmlformats.org/officeDocument/2006/relationships/hyperlink" Target="https://advance.lexis.com/api/document?collection=cases-ca&amp;id=urn:contentItem:5F7T-S781-JC5P-G1RW-00000-00&amp;context=" TargetMode="External" /><Relationship Id="rId19" Type="http://schemas.openxmlformats.org/officeDocument/2006/relationships/hyperlink" Target="https://advance.lexis.com/api/document?collection=cases-ca&amp;id=urn:contentItem:5F8T-N3T1-JFKM-654F-00000-00&amp;context=" TargetMode="External" /><Relationship Id="rId190" Type="http://schemas.openxmlformats.org/officeDocument/2006/relationships/hyperlink" Target="https://advance.lexis.com/api/document?collection=cases-ca&amp;id=urn:contentItem:5F7T-S771-FG68-G137-00000-00&amp;context=" TargetMode="External" /><Relationship Id="rId191" Type="http://schemas.openxmlformats.org/officeDocument/2006/relationships/hyperlink" Target="https://advance.lexis.com/api/document?collection=cases-ca&amp;id=urn:contentItem:5F7T-S761-JS5Y-B1JT-00000-00&amp;context=" TargetMode="External" /><Relationship Id="rId192" Type="http://schemas.openxmlformats.org/officeDocument/2006/relationships/hyperlink" Target="https://advance.lexis.com/api/document?collection=cases-ca&amp;id=urn:contentItem:5F7T-S7C1-F7VM-S3T2-00000-00&amp;context=" TargetMode="External" /><Relationship Id="rId193" Type="http://schemas.openxmlformats.org/officeDocument/2006/relationships/hyperlink" Target="https://advance.lexis.com/api/document?collection=cases-ca&amp;id=urn:contentItem:5F7T-S7C1-F7VM-S3BJ-00000-00&amp;context=" TargetMode="External" /><Relationship Id="rId194" Type="http://schemas.openxmlformats.org/officeDocument/2006/relationships/hyperlink" Target="https://advance.lexis.com/api/document?collection=cases-ca&amp;id=urn:contentItem:5F7T-S6W1-JYYX-61TX-00000-00&amp;context=" TargetMode="External" /><Relationship Id="rId195" Type="http://schemas.openxmlformats.org/officeDocument/2006/relationships/hyperlink" Target="https://advance.lexis.com/api/document?collection=cases-ca&amp;id=urn:contentItem:5F7T-S781-DYMS-61JF-00000-00&amp;context=" TargetMode="External" /><Relationship Id="rId196" Type="http://schemas.openxmlformats.org/officeDocument/2006/relationships/hyperlink" Target="https://advance.lexis.com/api/document?collection=cases-ca&amp;id=urn:contentItem:5F7T-S711-JNY7-X30K-00000-00&amp;context=" TargetMode="External" /><Relationship Id="rId197" Type="http://schemas.openxmlformats.org/officeDocument/2006/relationships/hyperlink" Target="https://advance.lexis.com/api/document?collection=cases-ca&amp;id=urn:contentItem:5F7T-S7C1-F7VM-S3SY-00000-00&amp;context=" TargetMode="External" /><Relationship Id="rId198" Type="http://schemas.openxmlformats.org/officeDocument/2006/relationships/hyperlink" Target="https://advance.lexis.com/api/document?collection=cases-ca&amp;id=urn:contentItem:5F7T-S7C1-F7ND-G014-00000-00&amp;context=" TargetMode="External" /><Relationship Id="rId199" Type="http://schemas.openxmlformats.org/officeDocument/2006/relationships/hyperlink" Target="https://advance.lexis.com/api/document?collection=cases-ca&amp;id=urn:contentItem:5F7T-S761-F7ND-G469-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ca&amp;id=urn:contentItem:5F8T-N3V1-FC1F-M4DM-00000-00&amp;context=" TargetMode="External" /><Relationship Id="rId200" Type="http://schemas.openxmlformats.org/officeDocument/2006/relationships/hyperlink" Target="https://advance.lexis.com/api/document?collection=cases-ca&amp;id=urn:contentItem:5F7T-S781-F27X-615P-00000-00&amp;context=" TargetMode="External" /><Relationship Id="rId201" Type="http://schemas.openxmlformats.org/officeDocument/2006/relationships/header" Target="header28.xml" /><Relationship Id="rId202" Type="http://schemas.openxmlformats.org/officeDocument/2006/relationships/header" Target="header29.xml" /><Relationship Id="rId203" Type="http://schemas.openxmlformats.org/officeDocument/2006/relationships/footer" Target="footer28.xml" /><Relationship Id="rId204" Type="http://schemas.openxmlformats.org/officeDocument/2006/relationships/footer" Target="footer29.xml" /><Relationship Id="rId205" Type="http://schemas.openxmlformats.org/officeDocument/2006/relationships/header" Target="header30.xml" /><Relationship Id="rId206" Type="http://schemas.openxmlformats.org/officeDocument/2006/relationships/footer" Target="footer30.xml" /><Relationship Id="rId207" Type="http://schemas.openxmlformats.org/officeDocument/2006/relationships/hyperlink" Target="https://advance.lexis.com/api/document?collection=cases-ca&amp;id=urn:contentItem:5F7T-S7N1-JGHR-M3FJ-00000-00&amp;context=" TargetMode="External" /><Relationship Id="rId208" Type="http://schemas.openxmlformats.org/officeDocument/2006/relationships/hyperlink" Target="https://advance.lexis.com/api/document?collection=legislation-ca&amp;id=urn:contentItem:5W2C-X5H1-FCYK-2010-00000-00&amp;context=" TargetMode="External" /><Relationship Id="rId209" Type="http://schemas.openxmlformats.org/officeDocument/2006/relationships/hyperlink" Target="https://advance.lexis.com/api/document?collection=legislation-ca&amp;id=urn:contentItem:5THR-S0P1-JN14-G0FB-00000-00&amp;context=" TargetMode="External" /><Relationship Id="rId21" Type="http://schemas.openxmlformats.org/officeDocument/2006/relationships/header" Target="header4.xml" /><Relationship Id="rId210" Type="http://schemas.openxmlformats.org/officeDocument/2006/relationships/hyperlink" Target="https://advance.lexis.com/api/document?collection=cases-ca&amp;id=urn:contentItem:5F7T-S7M1-JPP5-22M5-00000-00&amp;context=" TargetMode="External" /><Relationship Id="rId211" Type="http://schemas.openxmlformats.org/officeDocument/2006/relationships/hyperlink" Target="https://advance.lexis.com/api/document?collection=cases-ca&amp;id=urn:contentItem:5F7T-S7F1-FFFC-B25N-00000-00&amp;context=" TargetMode="External" /><Relationship Id="rId212" Type="http://schemas.openxmlformats.org/officeDocument/2006/relationships/hyperlink" Target="https://advance.lexis.com/api/document?collection=cases-ca&amp;id=urn:contentItem:5F8T-N3V1-FH4C-X1XK-00000-00&amp;context=" TargetMode="External" /><Relationship Id="rId213" Type="http://schemas.openxmlformats.org/officeDocument/2006/relationships/hyperlink" Target="https://advance.lexis.com/api/document?collection=cases-ca&amp;id=urn:contentItem:5F7T-S7B1-FH4C-X3GF-00000-00&amp;context=" TargetMode="External" /><Relationship Id="rId214" Type="http://schemas.openxmlformats.org/officeDocument/2006/relationships/hyperlink" Target="https://advance.lexis.com/api/document?collection=cases-ca&amp;id=urn:contentItem:5F8T-N3V1-JTGH-B19N-00000-00&amp;context=" TargetMode="External" /><Relationship Id="rId215" Type="http://schemas.openxmlformats.org/officeDocument/2006/relationships/hyperlink" Target="https://advance.lexis.com/api/document?collection=cases-ca&amp;id=urn:contentItem:5F8T-N3S1-JT99-253X-00000-00&amp;context=" TargetMode="External" /><Relationship Id="rId216" Type="http://schemas.openxmlformats.org/officeDocument/2006/relationships/hyperlink" Target="https://advance.lexis.com/api/document?collection=cases-ca&amp;id=urn:contentItem:5F7T-S7D1-F7ND-G0HC-00000-00&amp;context=" TargetMode="External" /><Relationship Id="rId217" Type="http://schemas.openxmlformats.org/officeDocument/2006/relationships/hyperlink" Target="https://advance.lexis.com/api/document?collection=cases-ca&amp;id=urn:contentItem:5F8T-N3V1-FC1F-M49J-00000-00&amp;context=" TargetMode="External" /><Relationship Id="rId218" Type="http://schemas.openxmlformats.org/officeDocument/2006/relationships/hyperlink" Target="https://advance.lexis.com/api/document?collection=cases-ca&amp;id=urn:contentItem:5F8T-N3T1-JFKM-652N-00000-00&amp;context=" TargetMode="External" /><Relationship Id="rId219" Type="http://schemas.openxmlformats.org/officeDocument/2006/relationships/hyperlink" Target="https://advance.lexis.com/api/document?collection=cases-ca&amp;id=urn:contentItem:5F7T-S7C1-JXG3-X03R-00000-00&amp;context=" TargetMode="External" /><Relationship Id="rId22" Type="http://schemas.openxmlformats.org/officeDocument/2006/relationships/header" Target="header5.xml" /><Relationship Id="rId220" Type="http://schemas.openxmlformats.org/officeDocument/2006/relationships/hyperlink" Target="https://advance.lexis.com/api/document?collection=cases-ca&amp;id=urn:contentItem:5F7T-S7C1-F4NT-X3HK-00000-00&amp;context=" TargetMode="External" /><Relationship Id="rId221" Type="http://schemas.openxmlformats.org/officeDocument/2006/relationships/hyperlink" Target="https://advance.lexis.com/api/document?collection=cases-ca&amp;id=urn:contentItem:5F7T-S7N1-F57G-S23B-00000-00&amp;context=" TargetMode="External" /><Relationship Id="rId222" Type="http://schemas.openxmlformats.org/officeDocument/2006/relationships/hyperlink" Target="https://advance.lexis.com/api/document?collection=cases-ca&amp;id=urn:contentItem:5F7T-S761-F7ND-G48N-00000-00&amp;context=" TargetMode="External" /><Relationship Id="rId223" Type="http://schemas.openxmlformats.org/officeDocument/2006/relationships/hyperlink" Target="https://advance.lexis.com/api/document?collection=cases-ca&amp;id=urn:contentItem:5F7T-S7K1-F1H1-22F0-00000-00&amp;context=" TargetMode="External" /><Relationship Id="rId224" Type="http://schemas.openxmlformats.org/officeDocument/2006/relationships/hyperlink" Target="https://advance.lexis.com/api/document?collection=cases-ca&amp;id=urn:contentItem:5F8P-SD51-F1H1-24BV-00000-00&amp;context=" TargetMode="External" /><Relationship Id="rId225" Type="http://schemas.openxmlformats.org/officeDocument/2006/relationships/hyperlink" Target="https://advance.lexis.com/api/document?collection=cases-ca&amp;id=urn:contentItem:5F7T-S751-FJDY-X419-00000-00&amp;context=" TargetMode="External" /><Relationship Id="rId226" Type="http://schemas.openxmlformats.org/officeDocument/2006/relationships/hyperlink" Target="https://advance.lexis.com/api/document?collection=cases-ca&amp;id=urn:contentItem:5F81-VJX1-FD4T-B2WK-00000-00&amp;context=" TargetMode="External" /><Relationship Id="rId227" Type="http://schemas.openxmlformats.org/officeDocument/2006/relationships/hyperlink" Target="https://advance.lexis.com/api/document?collection=cases-ca&amp;id=urn:contentItem:5F81-VJX1-JJYN-B519-00000-00&amp;context=" TargetMode="External" /><Relationship Id="rId228" Type="http://schemas.openxmlformats.org/officeDocument/2006/relationships/hyperlink" Target="https://advance.lexis.com/api/document?collection=cases-ca&amp;id=urn:contentItem:5F7T-S731-JNJT-B26G-00000-00&amp;context=" TargetMode="External" /><Relationship Id="rId229" Type="http://schemas.openxmlformats.org/officeDocument/2006/relationships/hyperlink" Target="https://advance.lexis.com/api/document?collection=cases-ca&amp;id=urn:contentItem:5F82-1SD1-FCK4-G356-00000-00&amp;context=" TargetMode="External" /><Relationship Id="rId23" Type="http://schemas.openxmlformats.org/officeDocument/2006/relationships/footer" Target="footer4.xml" /><Relationship Id="rId230" Type="http://schemas.openxmlformats.org/officeDocument/2006/relationships/hyperlink" Target="https://advance.lexis.com/api/document?collection=cases-ca&amp;id=urn:contentItem:5F7T-S761-F81W-21Y1-00000-00&amp;context=" TargetMode="External" /><Relationship Id="rId231" Type="http://schemas.openxmlformats.org/officeDocument/2006/relationships/header" Target="header31.xml" /><Relationship Id="rId232" Type="http://schemas.openxmlformats.org/officeDocument/2006/relationships/header" Target="header32.xml" /><Relationship Id="rId233" Type="http://schemas.openxmlformats.org/officeDocument/2006/relationships/footer" Target="footer31.xml" /><Relationship Id="rId234" Type="http://schemas.openxmlformats.org/officeDocument/2006/relationships/footer" Target="footer32.xml" /><Relationship Id="rId235" Type="http://schemas.openxmlformats.org/officeDocument/2006/relationships/header" Target="header33.xml" /><Relationship Id="rId236" Type="http://schemas.openxmlformats.org/officeDocument/2006/relationships/footer" Target="footer33.xml" /><Relationship Id="rId237" Type="http://schemas.openxmlformats.org/officeDocument/2006/relationships/hyperlink" Target="https://advance.lexis.com/api/document?collection=cases-ca&amp;id=urn:contentItem:5H6V-87H1-JCJ5-245W-00000-00&amp;context=" TargetMode="External" /><Relationship Id="rId238" Type="http://schemas.openxmlformats.org/officeDocument/2006/relationships/hyperlink" Target="https://advance.lexis.com/api/document?collection=legislation-ca&amp;id=urn:contentItem:5F41-1FJ1-JKPJ-G0P7-00000-00&amp;context=" TargetMode="External" /><Relationship Id="rId239" Type="http://schemas.openxmlformats.org/officeDocument/2006/relationships/hyperlink" Target="https://advance.lexis.com/api/document?collection=cases-ca&amp;id=urn:contentItem:5F7T-S761-JS5Y-B1DS-00000-00&amp;context=" TargetMode="External" /><Relationship Id="rId24" Type="http://schemas.openxmlformats.org/officeDocument/2006/relationships/footer" Target="footer5.xml" /><Relationship Id="rId240" Type="http://schemas.openxmlformats.org/officeDocument/2006/relationships/hyperlink" Target="https://advance.lexis.com/api/document?collection=cases-ca&amp;id=urn:contentItem:5F7T-S781-F06F-243P-00000-00&amp;context=" TargetMode="External" /><Relationship Id="rId241" Type="http://schemas.openxmlformats.org/officeDocument/2006/relationships/hyperlink" Target="https://advance.lexis.com/api/document?collection=cases-ca&amp;id=urn:contentItem:5F7T-S7H1-JCRC-B0VJ-00000-00&amp;context=" TargetMode="External" /><Relationship Id="rId242" Type="http://schemas.openxmlformats.org/officeDocument/2006/relationships/hyperlink" Target="https://advance.lexis.com/api/document?collection=cases-ca&amp;id=urn:contentItem:5F7T-S7N1-F57G-S293-00000-00&amp;context=" TargetMode="External" /><Relationship Id="rId243" Type="http://schemas.openxmlformats.org/officeDocument/2006/relationships/hyperlink" Target="https://advance.lexis.com/api/document?collection=cases-ca&amp;id=urn:contentItem:5F16-9361-F27X-612V-00000-00&amp;context=" TargetMode="External" /><Relationship Id="rId244" Type="http://schemas.openxmlformats.org/officeDocument/2006/relationships/header" Target="header34.xml" /><Relationship Id="rId245" Type="http://schemas.openxmlformats.org/officeDocument/2006/relationships/header" Target="header35.xml" /><Relationship Id="rId246" Type="http://schemas.openxmlformats.org/officeDocument/2006/relationships/footer" Target="footer34.xml" /><Relationship Id="rId247" Type="http://schemas.openxmlformats.org/officeDocument/2006/relationships/footer" Target="footer35.xml" /><Relationship Id="rId248" Type="http://schemas.openxmlformats.org/officeDocument/2006/relationships/header" Target="header36.xml" /><Relationship Id="rId249" Type="http://schemas.openxmlformats.org/officeDocument/2006/relationships/footer" Target="footer36.xml" /><Relationship Id="rId25" Type="http://schemas.openxmlformats.org/officeDocument/2006/relationships/header" Target="header6.xml" /><Relationship Id="rId250" Type="http://schemas.openxmlformats.org/officeDocument/2006/relationships/hyperlink" Target="https://advance.lexis.com/api/document?collection=cases-ca&amp;id=urn:contentItem:5F7T-S781-JC5P-G1D9-00000-00&amp;context=" TargetMode="External" /><Relationship Id="rId251" Type="http://schemas.openxmlformats.org/officeDocument/2006/relationships/hyperlink" Target="https://advance.lexis.com/api/document?collection=legislation-ca&amp;id=urn:contentItem:5F41-1FJ1-JBDT-B066-00000-00&amp;context=" TargetMode="External" /><Relationship Id="rId252" Type="http://schemas.openxmlformats.org/officeDocument/2006/relationships/hyperlink" Target="https://advance.lexis.com/api/document?collection=cases-ca&amp;id=urn:contentItem:5F8N-K6X1-JP4G-62FN-00000-00&amp;context=" TargetMode="External" /><Relationship Id="rId253" Type="http://schemas.openxmlformats.org/officeDocument/2006/relationships/hyperlink" Target="https://advance.lexis.com/api/document?collection=cases-ca&amp;id=urn:contentItem:5F8P-SD11-JGHR-M3WX-00000-00&amp;context=" TargetMode="External" /><Relationship Id="rId254" Type="http://schemas.openxmlformats.org/officeDocument/2006/relationships/hyperlink" Target="https://advance.lexis.com/api/document?collection=cases-ca&amp;id=urn:contentItem:5F7T-S771-JN14-G2K8-00000-00&amp;context=" TargetMode="External" /><Relationship Id="rId255" Type="http://schemas.openxmlformats.org/officeDocument/2006/relationships/hyperlink" Target="https://advance.lexis.com/api/document?collection=cases-ca&amp;id=urn:contentItem:5F7T-S7G1-JX3N-B2FC-00000-00&amp;context=" TargetMode="External" /><Relationship Id="rId256" Type="http://schemas.openxmlformats.org/officeDocument/2006/relationships/hyperlink" Target="https://advance.lexis.com/api/document?collection=cases-ca&amp;id=urn:contentItem:5F7T-S6W1-F528-G1K8-00000-00&amp;context=" TargetMode="External" /><Relationship Id="rId257" Type="http://schemas.openxmlformats.org/officeDocument/2006/relationships/hyperlink" Target="https://advance.lexis.com/api/document?collection=cases-ca&amp;id=urn:contentItem:5F7T-S7G1-JBT7-X4B5-00000-00&amp;context=" TargetMode="External" /><Relationship Id="rId258" Type="http://schemas.openxmlformats.org/officeDocument/2006/relationships/hyperlink" Target="https://advance.lexis.com/api/document?collection=cases-ca&amp;id=urn:contentItem:5F7T-S711-JB2B-S150-00000-00&amp;context=" TargetMode="External" /><Relationship Id="rId259" Type="http://schemas.openxmlformats.org/officeDocument/2006/relationships/hyperlink" Target="https://advance.lexis.com/api/document?collection=cases-ca&amp;id=urn:contentItem:5F7T-S731-F60C-X1DG-00000-00&amp;context=" TargetMode="External" /><Relationship Id="rId26" Type="http://schemas.openxmlformats.org/officeDocument/2006/relationships/footer" Target="footer6.xml" /><Relationship Id="rId260" Type="http://schemas.openxmlformats.org/officeDocument/2006/relationships/hyperlink" Target="https://advance.lexis.com/api/document?collection=cases-ca&amp;id=urn:contentItem:5F7T-S741-F8D9-M1N4-00000-00&amp;context=" TargetMode="External" /><Relationship Id="rId261" Type="http://schemas.openxmlformats.org/officeDocument/2006/relationships/hyperlink" Target="https://advance.lexis.com/api/document?collection=cases-ca&amp;id=urn:contentItem:5F7T-S741-FJM6-61NG-00000-00&amp;context=" TargetMode="External" /><Relationship Id="rId262" Type="http://schemas.openxmlformats.org/officeDocument/2006/relationships/hyperlink" Target="https://advance.lexis.com/api/document?collection=cases-ca&amp;id=urn:contentItem:5F7T-S6W1-JB7K-21C8-00000-00&amp;context=" TargetMode="External" /><Relationship Id="rId263" Type="http://schemas.openxmlformats.org/officeDocument/2006/relationships/hyperlink" Target="https://advance.lexis.com/api/document?collection=cases-ca&amp;id=urn:contentItem:5F7T-S6X1-JXNB-62S7-00000-00&amp;context=" TargetMode="External" /><Relationship Id="rId264" Type="http://schemas.openxmlformats.org/officeDocument/2006/relationships/hyperlink" Target="https://advance.lexis.com/api/document?collection=cases-ca&amp;id=urn:contentItem:5F8T-N3R1-JJSF-22TC-00000-00&amp;context=" TargetMode="External" /><Relationship Id="rId265" Type="http://schemas.openxmlformats.org/officeDocument/2006/relationships/hyperlink" Target="https://advance.lexis.com/api/document?collection=cases-ca&amp;id=urn:contentItem:5F8T-N3R1-FJDY-X389-00000-00&amp;context=" TargetMode="External" /><Relationship Id="rId266" Type="http://schemas.openxmlformats.org/officeDocument/2006/relationships/hyperlink" Target="https://advance.lexis.com/api/document?collection=cases-ca&amp;id=urn:contentItem:5F7T-S7H1-JFKM-6292-00000-00&amp;context=" TargetMode="External" /><Relationship Id="rId267" Type="http://schemas.openxmlformats.org/officeDocument/2006/relationships/hyperlink" Target="https://advance.lexis.com/api/document?collection=cases-ca&amp;id=urn:contentItem:5F8T-N3R1-JBDT-B539-00000-00&amp;context=" TargetMode="External" /><Relationship Id="rId268" Type="http://schemas.openxmlformats.org/officeDocument/2006/relationships/hyperlink" Target="https://advance.lexis.com/api/document?collection=cases-ca&amp;id=urn:contentItem:5F7T-S751-JX3N-B16N-00000-00&amp;context=" TargetMode="External" /><Relationship Id="rId269" Type="http://schemas.openxmlformats.org/officeDocument/2006/relationships/hyperlink" Target="https://advance.lexis.com/api/document?collection=cases-ca&amp;id=urn:contentItem:5F7T-S761-JGHR-M2C0-00000-00&amp;context=" TargetMode="External" /><Relationship Id="rId27" Type="http://schemas.openxmlformats.org/officeDocument/2006/relationships/hyperlink" Target="https://advance.lexis.com/api/document?collection=cases-ca&amp;id=urn:contentItem:5F7T-S7P1-JBDT-B108-00000-00&amp;context=" TargetMode="External" /><Relationship Id="rId270" Type="http://schemas.openxmlformats.org/officeDocument/2006/relationships/hyperlink" Target="https://advance.lexis.com/api/document?collection=cases-ca&amp;id=urn:contentItem:5F8T-N3T1-JJSF-2361-00000-00&amp;context=" TargetMode="External" /><Relationship Id="rId271" Type="http://schemas.openxmlformats.org/officeDocument/2006/relationships/hyperlink" Target="https://advance.lexis.com/api/document?collection=cases-ca&amp;id=urn:contentItem:5F8T-N3S1-JT99-24MJ-00000-00&amp;context=" TargetMode="External" /><Relationship Id="rId272" Type="http://schemas.openxmlformats.org/officeDocument/2006/relationships/hyperlink" Target="https://advance.lexis.com/api/document?collection=cases-ca&amp;id=urn:contentItem:5F7T-S771-F81W-22SH-00000-00&amp;context=" TargetMode="External" /><Relationship Id="rId273" Type="http://schemas.openxmlformats.org/officeDocument/2006/relationships/hyperlink" Target="https://advance.lexis.com/api/document?collection=cases-ca&amp;id=urn:contentItem:5F7T-S771-F81W-22T1-00000-00&amp;context=" TargetMode="External" /><Relationship Id="rId274" Type="http://schemas.openxmlformats.org/officeDocument/2006/relationships/hyperlink" Target="https://advance.lexis.com/api/document?collection=cases-ca&amp;id=urn:contentItem:5F7T-S771-F361-M1JD-00000-00&amp;context=" TargetMode="External" /><Relationship Id="rId275" Type="http://schemas.openxmlformats.org/officeDocument/2006/relationships/hyperlink" Target="https://advance.lexis.com/api/document?collection=cases-ca&amp;id=urn:contentItem:5F7T-S771-JW5H-X21Y-00000-00&amp;context=" TargetMode="External" /><Relationship Id="rId276" Type="http://schemas.openxmlformats.org/officeDocument/2006/relationships/hyperlink" Target="https://advance.lexis.com/api/document?collection=cases-ca&amp;id=urn:contentItem:5F7T-S781-FH4C-X327-00000-00&amp;context=" TargetMode="External" /><Relationship Id="rId277" Type="http://schemas.openxmlformats.org/officeDocument/2006/relationships/hyperlink" Target="https://advance.lexis.com/api/document?collection=cases-ca&amp;id=urn:contentItem:5F7T-S761-JS5Y-B1X2-00000-00&amp;context=" TargetMode="External" /><Relationship Id="rId278" Type="http://schemas.openxmlformats.org/officeDocument/2006/relationships/hyperlink" Target="https://advance.lexis.com/api/document?collection=cases-ca&amp;id=urn:contentItem:5F7T-S761-F81W-21T9-00000-00&amp;context=" TargetMode="External" /><Relationship Id="rId279" Type="http://schemas.openxmlformats.org/officeDocument/2006/relationships/hyperlink" Target="https://advance.lexis.com/api/document?collection=cases-ca&amp;id=urn:contentItem:5F7T-S761-JS5Y-B1K5-00000-00&amp;context=" TargetMode="External" /><Relationship Id="rId28" Type="http://schemas.openxmlformats.org/officeDocument/2006/relationships/hyperlink" Target="https://advance.lexis.com/api/document?collection=legislation-ca&amp;id=urn:contentItem:5TBM-3RN1-FBV7-B0M1-00000-00&amp;context=" TargetMode="External" /><Relationship Id="rId280" Type="http://schemas.openxmlformats.org/officeDocument/2006/relationships/hyperlink" Target="https://advance.lexis.com/api/document?collection=cases-ca&amp;id=urn:contentItem:5F7T-S771-F361-M1P2-00000-00&amp;context=" TargetMode="External" /><Relationship Id="rId281" Type="http://schemas.openxmlformats.org/officeDocument/2006/relationships/hyperlink" Target="https://advance.lexis.com/api/document?collection=cases-ca&amp;id=urn:contentItem:5F7T-S771-JJD0-G160-00000-00&amp;context=" TargetMode="External" /><Relationship Id="rId282" Type="http://schemas.openxmlformats.org/officeDocument/2006/relationships/hyperlink" Target="https://advance.lexis.com/api/document?collection=cases-ca&amp;id=urn:contentItem:5F7T-S781-F06F-23W0-00000-00&amp;context=" TargetMode="External" /><Relationship Id="rId283" Type="http://schemas.openxmlformats.org/officeDocument/2006/relationships/hyperlink" Target="https://advance.lexis.com/api/document?collection=cases-ca&amp;id=urn:contentItem:5F7T-S761-JS5Y-B1J4-00000-00&amp;context=" TargetMode="External" /><Relationship Id="rId284" Type="http://schemas.openxmlformats.org/officeDocument/2006/relationships/hyperlink" Target="https://advance.lexis.com/api/document?collection=cases-ca&amp;id=urn:contentItem:5F7T-S751-JP4G-61BC-00000-00&amp;context=" TargetMode="External" /><Relationship Id="rId285" Type="http://schemas.openxmlformats.org/officeDocument/2006/relationships/hyperlink" Target="https://advance.lexis.com/api/document?collection=cases-ca&amp;id=urn:contentItem:5F7T-S751-JNS1-M1V7-00000-00&amp;context=" TargetMode="External" /><Relationship Id="rId286" Type="http://schemas.openxmlformats.org/officeDocument/2006/relationships/hyperlink" Target="https://advance.lexis.com/api/document?collection=cases-ca&amp;id=urn:contentItem:5F7T-S701-JBT7-X23F-00000-00&amp;context=" TargetMode="External" /><Relationship Id="rId287" Type="http://schemas.openxmlformats.org/officeDocument/2006/relationships/hyperlink" Target="https://advance.lexis.com/api/document?collection=cases-ca&amp;id=urn:contentItem:5F7T-S731-FFFC-B0K2-00000-00&amp;context=" TargetMode="External" /><Relationship Id="rId288" Type="http://schemas.openxmlformats.org/officeDocument/2006/relationships/hyperlink" Target="https://advance.lexis.com/api/document?collection=cases-ca&amp;id=urn:contentItem:5F8T-N3S1-JT99-250W-00000-00&amp;context=" TargetMode="External" /><Relationship Id="rId289" Type="http://schemas.openxmlformats.org/officeDocument/2006/relationships/hyperlink" Target="https://advance.lexis.com/api/document?collection=cases-ca&amp;id=urn:contentItem:5F7T-S771-JN14-G2PR-00000-00&amp;context=" TargetMode="External" /><Relationship Id="rId29" Type="http://schemas.openxmlformats.org/officeDocument/2006/relationships/hyperlink" Target="https://advance.lexis.com/api/document?collection=cases-ca&amp;id=urn:contentItem:5F8T-N3V1-FC1F-M46D-00000-00&amp;context=" TargetMode="External" /><Relationship Id="rId290" Type="http://schemas.openxmlformats.org/officeDocument/2006/relationships/header" Target="header37.xml" /><Relationship Id="rId291" Type="http://schemas.openxmlformats.org/officeDocument/2006/relationships/header" Target="header38.xml" /><Relationship Id="rId292" Type="http://schemas.openxmlformats.org/officeDocument/2006/relationships/footer" Target="footer37.xml" /><Relationship Id="rId293" Type="http://schemas.openxmlformats.org/officeDocument/2006/relationships/footer" Target="footer38.xml" /><Relationship Id="rId294" Type="http://schemas.openxmlformats.org/officeDocument/2006/relationships/header" Target="header39.xml" /><Relationship Id="rId295" Type="http://schemas.openxmlformats.org/officeDocument/2006/relationships/footer" Target="footer39.xml" /><Relationship Id="rId296" Type="http://schemas.openxmlformats.org/officeDocument/2006/relationships/hyperlink" Target="https://advance.lexis.com/api/document?collection=cases-ca&amp;id=urn:contentItem:5F7T-S7P1-JSJC-X1BH-00000-00&amp;context=" TargetMode="External" /><Relationship Id="rId297" Type="http://schemas.openxmlformats.org/officeDocument/2006/relationships/hyperlink" Target="https://advance.lexis.com/api/document?collection=cases-ca&amp;id=urn:contentItem:5K6Y-81N1-JFDC-X1TV-00000-00&amp;context=" TargetMode="External" /><Relationship Id="rId298" Type="http://schemas.openxmlformats.org/officeDocument/2006/relationships/hyperlink" Target="https://advance.lexis.com/api/document?collection=legislation-ca&amp;id=urn:contentItem:5F41-1FM1-FCK4-G051-00000-00&amp;context=" TargetMode="External" /><Relationship Id="rId299" Type="http://schemas.openxmlformats.org/officeDocument/2006/relationships/hyperlink" Target="https://advance.lexis.com/api/document?collection=cases-ca&amp;id=urn:contentItem:5F8T-N3V1-JTGH-B16R-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8T-N3V1-FC1F-M497-00000-00&amp;context=" TargetMode="External" /><Relationship Id="rId300" Type="http://schemas.openxmlformats.org/officeDocument/2006/relationships/hyperlink" Target="https://advance.lexis.com/api/document?collection=cases-ca&amp;id=urn:contentItem:5F8T-N3T1-JJSF-2339-00000-00&amp;context=" TargetMode="External" /><Relationship Id="rId301" Type="http://schemas.openxmlformats.org/officeDocument/2006/relationships/hyperlink" Target="https://advance.lexis.com/api/document?collection=cases-ca&amp;id=urn:contentItem:5F7T-S7F1-JFKM-622N-00000-00&amp;context=" TargetMode="External" /><Relationship Id="rId302" Type="http://schemas.openxmlformats.org/officeDocument/2006/relationships/hyperlink" Target="https://advance.lexis.com/api/document?collection=cases-ca&amp;id=urn:contentItem:5F7T-S781-JSC5-M4CB-00000-00&amp;context=" TargetMode="External" /><Relationship Id="rId303" Type="http://schemas.openxmlformats.org/officeDocument/2006/relationships/hyperlink" Target="https://advance.lexis.com/api/document?collection=cases-ca&amp;id=urn:contentItem:5F7T-S6W1-F956-S0VF-00000-00&amp;context=" TargetMode="External" /><Relationship Id="rId304" Type="http://schemas.openxmlformats.org/officeDocument/2006/relationships/hyperlink" Target="https://advance.lexis.com/api/document?collection=cases-ca&amp;id=urn:contentItem:5F7T-S741-F8D9-M1PR-00000-00&amp;context=" TargetMode="External" /><Relationship Id="rId305" Type="http://schemas.openxmlformats.org/officeDocument/2006/relationships/hyperlink" Target="https://advance.lexis.com/api/document?collection=cases-ca&amp;id=urn:contentItem:5F8T-N3V1-JTGH-B0YX-00000-00&amp;context=" TargetMode="External" /><Relationship Id="rId306" Type="http://schemas.openxmlformats.org/officeDocument/2006/relationships/hyperlink" Target="https://advance.lexis.com/api/document?collection=cases-ca&amp;id=urn:contentItem:5F8T-N3V1-JTGH-B1H4-00000-00&amp;context=" TargetMode="External" /><Relationship Id="rId307" Type="http://schemas.openxmlformats.org/officeDocument/2006/relationships/header" Target="header40.xml" /><Relationship Id="rId308" Type="http://schemas.openxmlformats.org/officeDocument/2006/relationships/header" Target="header41.xml" /><Relationship Id="rId309" Type="http://schemas.openxmlformats.org/officeDocument/2006/relationships/footer" Target="footer40.xml" /><Relationship Id="rId31" Type="http://schemas.openxmlformats.org/officeDocument/2006/relationships/hyperlink" Target="https://advance.lexis.com/api/document?collection=cases-ca&amp;id=urn:contentItem:5F16-9381-JJSF-220K-00000-00&amp;context=" TargetMode="External" /><Relationship Id="rId310" Type="http://schemas.openxmlformats.org/officeDocument/2006/relationships/footer" Target="footer41.xml" /><Relationship Id="rId311" Type="http://schemas.openxmlformats.org/officeDocument/2006/relationships/header" Target="header42.xml" /><Relationship Id="rId312" Type="http://schemas.openxmlformats.org/officeDocument/2006/relationships/footer" Target="footer42.xml" /><Relationship Id="rId313" Type="http://schemas.openxmlformats.org/officeDocument/2006/relationships/hyperlink" Target="https://advance.lexis.com/api/document?collection=cases-ca&amp;id=urn:contentItem:5F7T-S7J1-JYYX-624X-00000-00&amp;context=" TargetMode="External" /><Relationship Id="rId314" Type="http://schemas.openxmlformats.org/officeDocument/2006/relationships/hyperlink" Target="https://advance.lexis.com/api/document?collection=legislation-ca&amp;id=urn:contentItem:5F41-1FH1-JSRM-60KH-00000-00&amp;context=" TargetMode="External" /><Relationship Id="rId315" Type="http://schemas.openxmlformats.org/officeDocument/2006/relationships/hyperlink" Target="https://advance.lexis.com/api/document?collection=cases-ca&amp;id=urn:contentItem:5F7T-S6V1-JFKM-6133-00000-00&amp;context=" TargetMode="External" /><Relationship Id="rId316" Type="http://schemas.openxmlformats.org/officeDocument/2006/relationships/hyperlink" Target="https://advance.lexis.com/api/document?collection=cases-ca&amp;id=urn:contentItem:5F7T-S6T1-FJTD-G1NJ-00000-00&amp;context=" TargetMode="External" /><Relationship Id="rId317" Type="http://schemas.openxmlformats.org/officeDocument/2006/relationships/hyperlink" Target="https://advance.lexis.com/api/document?collection=cases-ca&amp;id=urn:contentItem:5F7T-S7G1-JNY7-X3K8-00000-00&amp;context=" TargetMode="External" /><Relationship Id="rId318" Type="http://schemas.openxmlformats.org/officeDocument/2006/relationships/hyperlink" Target="https://advance.lexis.com/api/document?collection=cases-ca&amp;id=urn:contentItem:5F7T-S7D1-DY89-M463-00000-00&amp;context=" TargetMode="External" /><Relationship Id="rId319" Type="http://schemas.openxmlformats.org/officeDocument/2006/relationships/hyperlink" Target="https://advance.lexis.com/api/document?collection=cases-ca&amp;id=urn:contentItem:5F82-1SB1-JPP5-24PH-00000-00&amp;context=" TargetMode="External" /><Relationship Id="rId32" Type="http://schemas.openxmlformats.org/officeDocument/2006/relationships/hyperlink" Target="https://advance.lexis.com/api/document?collection=cases-ca&amp;id=urn:contentItem:5F8P-SF11-JF1Y-B2X7-00000-00&amp;context=" TargetMode="External" /><Relationship Id="rId320" Type="http://schemas.openxmlformats.org/officeDocument/2006/relationships/hyperlink" Target="https://advance.lexis.com/api/document?collection=cases-ca&amp;id=urn:contentItem:5F7T-S7F1-F7VM-S475-00000-00&amp;context=" TargetMode="External" /><Relationship Id="rId321" Type="http://schemas.openxmlformats.org/officeDocument/2006/relationships/hyperlink" Target="https://advance.lexis.com/api/document?collection=cases-ca&amp;id=urn:contentItem:5F7T-S6W1-JB7K-21F4-00000-00&amp;context=" TargetMode="External" /><Relationship Id="rId322" Type="http://schemas.openxmlformats.org/officeDocument/2006/relationships/hyperlink" Target="https://advance.lexis.com/api/document?collection=cases-ca&amp;id=urn:contentItem:5F7T-S6X1-JTNR-M3X3-00000-00&amp;context=" TargetMode="External" /><Relationship Id="rId323" Type="http://schemas.openxmlformats.org/officeDocument/2006/relationships/header" Target="header43.xml" /><Relationship Id="rId324" Type="http://schemas.openxmlformats.org/officeDocument/2006/relationships/header" Target="header44.xml" /><Relationship Id="rId325" Type="http://schemas.openxmlformats.org/officeDocument/2006/relationships/footer" Target="footer43.xml" /><Relationship Id="rId326" Type="http://schemas.openxmlformats.org/officeDocument/2006/relationships/footer" Target="footer44.xml" /><Relationship Id="rId327" Type="http://schemas.openxmlformats.org/officeDocument/2006/relationships/header" Target="header45.xml" /><Relationship Id="rId328" Type="http://schemas.openxmlformats.org/officeDocument/2006/relationships/footer" Target="footer45.xml" /><Relationship Id="rId329" Type="http://schemas.openxmlformats.org/officeDocument/2006/relationships/hyperlink" Target="https://advance.lexis.com/api/document?collection=cases-ca&amp;id=urn:contentItem:5F7T-S781-F27X-610F-00000-00&amp;context=" TargetMode="External" /><Relationship Id="rId33" Type="http://schemas.openxmlformats.org/officeDocument/2006/relationships/hyperlink" Target="https://advance.lexis.com/api/document?collection=cases-ca&amp;id=urn:contentItem:5F8P-SD91-F30T-B4NB-00000-00&amp;context=" TargetMode="External" /><Relationship Id="rId330" Type="http://schemas.openxmlformats.org/officeDocument/2006/relationships/hyperlink" Target="https://advance.lexis.com/api/document?collection=cases-ca&amp;id=urn:contentItem:5F7T-S741-F57G-S1KP-00000-00&amp;context=" TargetMode="External" /><Relationship Id="rId331" Type="http://schemas.openxmlformats.org/officeDocument/2006/relationships/hyperlink" Target="https://advance.lexis.com/api/document?collection=cases-ca&amp;id=urn:contentItem:5F7T-S751-JNS1-M1PR-00000-00&amp;context=" TargetMode="External" /><Relationship Id="rId332" Type="http://schemas.openxmlformats.org/officeDocument/2006/relationships/header" Target="header46.xml" /><Relationship Id="rId333" Type="http://schemas.openxmlformats.org/officeDocument/2006/relationships/header" Target="header47.xml" /><Relationship Id="rId334" Type="http://schemas.openxmlformats.org/officeDocument/2006/relationships/footer" Target="footer46.xml" /><Relationship Id="rId335" Type="http://schemas.openxmlformats.org/officeDocument/2006/relationships/footer" Target="footer47.xml" /><Relationship Id="rId336" Type="http://schemas.openxmlformats.org/officeDocument/2006/relationships/header" Target="header48.xml" /><Relationship Id="rId337" Type="http://schemas.openxmlformats.org/officeDocument/2006/relationships/footer" Target="footer48.xml" /><Relationship Id="rId338" Type="http://schemas.openxmlformats.org/officeDocument/2006/relationships/hyperlink" Target="https://advance.lexis.com/api/document?collection=cases-ca&amp;id=urn:contentItem:5K6Y-81M1-JGPY-X21R-00000-00&amp;context=" TargetMode="External" /><Relationship Id="rId339" Type="http://schemas.openxmlformats.org/officeDocument/2006/relationships/hyperlink" Target="https://advance.lexis.com/api/document?collection=cases-ca&amp;id=urn:contentItem:5F7T-S7F1-F7VM-S43J-00000-00&amp;context=" TargetMode="External" /><Relationship Id="rId34" Type="http://schemas.openxmlformats.org/officeDocument/2006/relationships/hyperlink" Target="https://advance.lexis.com/api/document?collection=cases-ca&amp;id=urn:contentItem:5F8T-N3V1-FC1F-M486-00000-00&amp;context=" TargetMode="External" /><Relationship Id="rId340" Type="http://schemas.openxmlformats.org/officeDocument/2006/relationships/hyperlink" Target="https://advance.lexis.com/api/document?collection=legislation-ca&amp;id=urn:contentItem:5F41-1FH1-JSRM-60JR-00000-00&amp;context=" TargetMode="External" /><Relationship Id="rId341" Type="http://schemas.openxmlformats.org/officeDocument/2006/relationships/hyperlink" Target="https://advance.lexis.com/api/document?collection=cases-ca&amp;id=urn:contentItem:5F7T-S6S1-DXHD-G0S7-00000-00&amp;context=" TargetMode="External" /><Relationship Id="rId342" Type="http://schemas.openxmlformats.org/officeDocument/2006/relationships/hyperlink" Target="https://advance.lexis.com/api/document?collection=cases-ca&amp;id=urn:contentItem:5F7T-S7F1-JX3N-B1R4-00000-00&amp;context=" TargetMode="External" /><Relationship Id="rId343" Type="http://schemas.openxmlformats.org/officeDocument/2006/relationships/hyperlink" Target="https://advance.lexis.com/api/document?collection=cases-ca&amp;id=urn:contentItem:5F7T-S7F1-JBT7-X2WG-00000-00&amp;context=" TargetMode="External" /><Relationship Id="rId344" Type="http://schemas.openxmlformats.org/officeDocument/2006/relationships/header" Target="header49.xml" /><Relationship Id="rId345" Type="http://schemas.openxmlformats.org/officeDocument/2006/relationships/header" Target="header50.xml" /><Relationship Id="rId346" Type="http://schemas.openxmlformats.org/officeDocument/2006/relationships/footer" Target="footer49.xml" /><Relationship Id="rId347" Type="http://schemas.openxmlformats.org/officeDocument/2006/relationships/footer" Target="footer50.xml" /><Relationship Id="rId348" Type="http://schemas.openxmlformats.org/officeDocument/2006/relationships/header" Target="header51.xml" /><Relationship Id="rId349" Type="http://schemas.openxmlformats.org/officeDocument/2006/relationships/footer" Target="footer51.xml" /><Relationship Id="rId35" Type="http://schemas.openxmlformats.org/officeDocument/2006/relationships/header" Target="header7.xml" /><Relationship Id="rId350" Type="http://schemas.openxmlformats.org/officeDocument/2006/relationships/hyperlink" Target="https://advance.lexis.com/api/document?collection=cases-ca&amp;id=urn:contentItem:5F7T-S7P1-JG02-S4DB-00000-00&amp;context=" TargetMode="External" /><Relationship Id="rId351" Type="http://schemas.openxmlformats.org/officeDocument/2006/relationships/hyperlink" Target="https://advance.lexis.com/api/document?collection=legislation-ca&amp;id=urn:contentItem:5F3B-B7K1-DY89-M237-00000-00&amp;context=" TargetMode="External" /><Relationship Id="rId352" Type="http://schemas.openxmlformats.org/officeDocument/2006/relationships/hyperlink" Target="https://advance.lexis.com/api/document?collection=legislation-ca&amp;id=urn:contentItem:5F41-1FJ1-JPGX-S0S5-00000-00&amp;context=" TargetMode="External" /><Relationship Id="rId353" Type="http://schemas.openxmlformats.org/officeDocument/2006/relationships/hyperlink" Target="https://advance.lexis.com/api/document?collection=cases-ca&amp;id=urn:contentItem:5F7T-S7H1-FCSB-S3MX-00000-00&amp;context=" TargetMode="External" /><Relationship Id="rId354" Type="http://schemas.openxmlformats.org/officeDocument/2006/relationships/hyperlink" Target="https://advance.lexis.com/api/document?collection=cases-ca&amp;id=urn:contentItem:5F8T-N3V1-FC1F-M4BS-00000-00&amp;context=" TargetMode="External" /><Relationship Id="rId355" Type="http://schemas.openxmlformats.org/officeDocument/2006/relationships/hyperlink" Target="https://advance.lexis.com/api/document?collection=cases-ca&amp;id=urn:contentItem:5F7T-S7M1-F4W2-622C-00000-00&amp;context=" TargetMode="External" /><Relationship Id="rId356" Type="http://schemas.openxmlformats.org/officeDocument/2006/relationships/hyperlink" Target="https://advance.lexis.com/api/document?collection=cases-ca&amp;id=urn:contentItem:5F7T-S7B1-JSRM-608F-00000-00&amp;context=" TargetMode="External" /><Relationship Id="rId357" Type="http://schemas.openxmlformats.org/officeDocument/2006/relationships/hyperlink" Target="https://advance.lexis.com/api/document?collection=cases-ca&amp;id=urn:contentItem:5F7T-S7J1-JYYX-6211-00000-00&amp;context=" TargetMode="External" /><Relationship Id="rId358" Type="http://schemas.openxmlformats.org/officeDocument/2006/relationships/hyperlink" Target="https://advance.lexis.com/api/document?collection=cases-ca&amp;id=urn:contentItem:5F7T-S6V1-F956-S05H-00000-00&amp;context=" TargetMode="External" /><Relationship Id="rId359" Type="http://schemas.openxmlformats.org/officeDocument/2006/relationships/hyperlink" Target="https://advance.lexis.com/api/document?collection=cases-ca&amp;id=urn:contentItem:5F7T-S7K1-JNY7-X49B-00000-00&amp;context=" TargetMode="External" /><Relationship Id="rId36" Type="http://schemas.openxmlformats.org/officeDocument/2006/relationships/header" Target="header8.xml" /><Relationship Id="rId360" Type="http://schemas.openxmlformats.org/officeDocument/2006/relationships/hyperlink" Target="https://advance.lexis.com/api/document?collection=cases-ca&amp;id=urn:contentItem:5F7T-S741-F1H1-21CY-00000-00&amp;context=" TargetMode="External" /><Relationship Id="rId361" Type="http://schemas.openxmlformats.org/officeDocument/2006/relationships/header" Target="header52.xml" /><Relationship Id="rId362" Type="http://schemas.openxmlformats.org/officeDocument/2006/relationships/header" Target="header53.xml" /><Relationship Id="rId363" Type="http://schemas.openxmlformats.org/officeDocument/2006/relationships/footer" Target="footer52.xml" /><Relationship Id="rId364" Type="http://schemas.openxmlformats.org/officeDocument/2006/relationships/footer" Target="footer53.xml" /><Relationship Id="rId365" Type="http://schemas.openxmlformats.org/officeDocument/2006/relationships/header" Target="header54.xml" /><Relationship Id="rId366" Type="http://schemas.openxmlformats.org/officeDocument/2006/relationships/footer" Target="footer54.xml" /><Relationship Id="rId367" Type="http://schemas.openxmlformats.org/officeDocument/2006/relationships/hyperlink" Target="https://advance.lexis.com/api/document?collection=cases-ca&amp;id=urn:contentItem:5F7T-S7G1-JPP5-2228-00000-00&amp;context=" TargetMode="External" /><Relationship Id="rId368" Type="http://schemas.openxmlformats.org/officeDocument/2006/relationships/hyperlink" Target="https://advance.lexis.com/api/document?collection=cases-ca&amp;id=urn:contentItem:5F8T-N3V1-FC1F-M428-00000-00&amp;context=" TargetMode="External" /><Relationship Id="rId369" Type="http://schemas.openxmlformats.org/officeDocument/2006/relationships/header" Target="header55.xml" /><Relationship Id="rId37" Type="http://schemas.openxmlformats.org/officeDocument/2006/relationships/footer" Target="footer7.xml" /><Relationship Id="rId370" Type="http://schemas.openxmlformats.org/officeDocument/2006/relationships/header" Target="header56.xml" /><Relationship Id="rId371" Type="http://schemas.openxmlformats.org/officeDocument/2006/relationships/footer" Target="footer55.xml" /><Relationship Id="rId372" Type="http://schemas.openxmlformats.org/officeDocument/2006/relationships/footer" Target="footer56.xml" /><Relationship Id="rId373" Type="http://schemas.openxmlformats.org/officeDocument/2006/relationships/header" Target="header57.xml" /><Relationship Id="rId374" Type="http://schemas.openxmlformats.org/officeDocument/2006/relationships/footer" Target="footer57.xml" /><Relationship Id="rId375" Type="http://schemas.openxmlformats.org/officeDocument/2006/relationships/hyperlink" Target="https://advance.lexis.com/api/document?collection=cases-ca&amp;id=urn:contentItem:5F7T-S7P1-JG02-S468-00000-00&amp;context=" TargetMode="External" /><Relationship Id="rId376" Type="http://schemas.openxmlformats.org/officeDocument/2006/relationships/hyperlink" Target="https://advance.lexis.com/api/document?collection=legislation-ca&amp;id=urn:contentItem:5VYK-W9V1-F4NT-X509-00000-00&amp;context=" TargetMode="External" /><Relationship Id="rId377" Type="http://schemas.openxmlformats.org/officeDocument/2006/relationships/hyperlink" Target="https://advance.lexis.com/api/document?collection=legislation-ca&amp;id=urn:contentItem:5F41-1FK1-JSJC-X1MH-00000-00&amp;context=" TargetMode="External" /><Relationship Id="rId378" Type="http://schemas.openxmlformats.org/officeDocument/2006/relationships/hyperlink" Target="https://advance.lexis.com/api/document?collection=cases-ca&amp;id=urn:contentItem:5F7T-S7M1-JJK6-S23T-00000-00&amp;context=" TargetMode="External" /><Relationship Id="rId379" Type="http://schemas.openxmlformats.org/officeDocument/2006/relationships/hyperlink" Target="https://advance.lexis.com/api/document?collection=cases-ca&amp;id=urn:contentItem:5F7T-S7D1-FC6N-X0FW-00000-00&amp;context=" TargetMode="External" /><Relationship Id="rId38" Type="http://schemas.openxmlformats.org/officeDocument/2006/relationships/footer" Target="footer8.xml" /><Relationship Id="rId380" Type="http://schemas.openxmlformats.org/officeDocument/2006/relationships/hyperlink" Target="https://advance.lexis.com/api/document?collection=cases-ca&amp;id=urn:contentItem:5F7T-S7B1-JSRM-60KR-00000-00&amp;context=" TargetMode="External" /><Relationship Id="rId381" Type="http://schemas.openxmlformats.org/officeDocument/2006/relationships/hyperlink" Target="https://advance.lexis.com/api/document?collection=cases-ca&amp;id=urn:contentItem:5F7T-S771-F361-M1HH-00000-00&amp;context=" TargetMode="External" /><Relationship Id="rId382" Type="http://schemas.openxmlformats.org/officeDocument/2006/relationships/hyperlink" Target="https://advance.lexis.com/api/document?collection=cases-ca&amp;id=urn:contentItem:5F7T-S6X1-F06F-22JH-00000-00&amp;context=" TargetMode="External" /><Relationship Id="rId383" Type="http://schemas.openxmlformats.org/officeDocument/2006/relationships/header" Target="header58.xml" /><Relationship Id="rId384" Type="http://schemas.openxmlformats.org/officeDocument/2006/relationships/header" Target="header59.xml" /><Relationship Id="rId385" Type="http://schemas.openxmlformats.org/officeDocument/2006/relationships/footer" Target="footer58.xml" /><Relationship Id="rId386" Type="http://schemas.openxmlformats.org/officeDocument/2006/relationships/footer" Target="footer59.xml" /><Relationship Id="rId387" Type="http://schemas.openxmlformats.org/officeDocument/2006/relationships/header" Target="header60.xml" /><Relationship Id="rId388" Type="http://schemas.openxmlformats.org/officeDocument/2006/relationships/footer" Target="footer60.xml" /><Relationship Id="rId389" Type="http://schemas.openxmlformats.org/officeDocument/2006/relationships/hyperlink" Target="https://advance.lexis.com/api/document?collection=cases-ca&amp;id=urn:contentItem:5F7T-S7J1-JYYX-62GJ-00000-00&amp;context=" TargetMode="External" /><Relationship Id="rId39" Type="http://schemas.openxmlformats.org/officeDocument/2006/relationships/header" Target="header9.xml" /><Relationship Id="rId390" Type="http://schemas.openxmlformats.org/officeDocument/2006/relationships/hyperlink" Target="https://advance.lexis.com/api/document?collection=cases-ca&amp;id=urn:contentItem:5F81-YH41-JX8W-M05P-00000-00&amp;context=" TargetMode="External" /><Relationship Id="rId391" Type="http://schemas.openxmlformats.org/officeDocument/2006/relationships/hyperlink" Target="https://advance.lexis.com/api/document?collection=cases-ca&amp;id=urn:contentItem:5F7T-S7G1-JBT7-X3JN-00000-00&amp;context=" TargetMode="External" /><Relationship Id="rId392" Type="http://schemas.openxmlformats.org/officeDocument/2006/relationships/hyperlink" Target="https://advance.lexis.com/api/document?collection=cases-ca&amp;id=urn:contentItem:5F7T-S7F1-JFKM-61YH-00000-00&amp;context=" TargetMode="External" /><Relationship Id="rId393" Type="http://schemas.openxmlformats.org/officeDocument/2006/relationships/hyperlink" Target="https://advance.lexis.com/api/document?collection=cases-ca&amp;id=urn:contentItem:5F7T-S7F1-JK4W-M1NF-00000-00&amp;context=" TargetMode="External" /><Relationship Id="rId394" Type="http://schemas.openxmlformats.org/officeDocument/2006/relationships/hyperlink" Target="https://advance.lexis.com/api/document?collection=cases-ca&amp;id=urn:contentItem:5F7T-S7F1-JK4W-M1D6-00000-00&amp;context=" TargetMode="External" /><Relationship Id="rId395" Type="http://schemas.openxmlformats.org/officeDocument/2006/relationships/hyperlink" Target="https://advance.lexis.com/api/document?collection=cases-ca&amp;id=urn:contentItem:5F7T-S7F1-FFFC-B20P-00000-00&amp;context=" TargetMode="External" /><Relationship Id="rId396" Type="http://schemas.openxmlformats.org/officeDocument/2006/relationships/hyperlink" Target="https://advance.lexis.com/api/document?collection=cases-ca&amp;id=urn:contentItem:5F7T-S7D1-FFFC-B149-00000-00&amp;context=" TargetMode="External" /><Relationship Id="rId397" Type="http://schemas.openxmlformats.org/officeDocument/2006/relationships/hyperlink" Target="https://advance.lexis.com/api/document?collection=cases-ca&amp;id=urn:contentItem:5F7T-S7C1-JSRM-60RD-00000-00&amp;context=" TargetMode="External" /><Relationship Id="rId398" Type="http://schemas.openxmlformats.org/officeDocument/2006/relationships/hyperlink" Target="https://advance.lexis.com/api/document?collection=cases-ca&amp;id=urn:contentItem:5F7T-S7H1-K054-G2HN-00000-00&amp;context=" TargetMode="External" /><Relationship Id="rId399" Type="http://schemas.openxmlformats.org/officeDocument/2006/relationships/hyperlink" Target="https://advance.lexis.com/api/document?collection=cases-ca&amp;id=urn:contentItem:5F7T-S7H1-F016-S410-00000-00&amp;context=" TargetMode="External" /><Relationship Id="rId4" Type="http://schemas.openxmlformats.org/officeDocument/2006/relationships/header" Target="header1.xml" /><Relationship Id="rId40" Type="http://schemas.openxmlformats.org/officeDocument/2006/relationships/footer" Target="footer9.xml" /><Relationship Id="rId400" Type="http://schemas.openxmlformats.org/officeDocument/2006/relationships/hyperlink" Target="https://advance.lexis.com/api/document?collection=cases-ca&amp;id=urn:contentItem:5F7T-S7H1-F4GK-M30J-00000-00&amp;context=" TargetMode="External" /><Relationship Id="rId401" Type="http://schemas.openxmlformats.org/officeDocument/2006/relationships/hyperlink" Target="https://advance.lexis.com/api/document?collection=cases-ca&amp;id=urn:contentItem:5F7T-S7F1-DXWW-24JP-00000-00&amp;context=" TargetMode="External" /><Relationship Id="rId402" Type="http://schemas.openxmlformats.org/officeDocument/2006/relationships/hyperlink" Target="https://advance.lexis.com/api/document?collection=cases-ca&amp;id=urn:contentItem:5F7T-S7D1-JG02-S2S3-00000-00&amp;context=" TargetMode="External" /><Relationship Id="rId403" Type="http://schemas.openxmlformats.org/officeDocument/2006/relationships/hyperlink" Target="https://advance.lexis.com/api/document?collection=cases-ca&amp;id=urn:contentItem:5F7T-S7H1-JCRC-B0XB-00000-00&amp;context=" TargetMode="External" /><Relationship Id="rId404" Type="http://schemas.openxmlformats.org/officeDocument/2006/relationships/hyperlink" Target="https://advance.lexis.com/api/document?collection=cases-ca&amp;id=urn:contentItem:5F7T-S7F1-DXWW-23VS-00000-00&amp;context=" TargetMode="External" /><Relationship Id="rId405" Type="http://schemas.openxmlformats.org/officeDocument/2006/relationships/hyperlink" Target="https://advance.lexis.com/api/document?collection=cases-ca&amp;id=urn:contentItem:5F7T-S7F1-JBT7-X30W-00000-00&amp;context=" TargetMode="External" /><Relationship Id="rId406" Type="http://schemas.openxmlformats.org/officeDocument/2006/relationships/hyperlink" Target="https://advance.lexis.com/api/document?collection=cases-ca&amp;id=urn:contentItem:5F7T-S7F1-JK4W-M1JH-00000-00&amp;context=" TargetMode="External" /><Relationship Id="rId407" Type="http://schemas.openxmlformats.org/officeDocument/2006/relationships/hyperlink" Target="https://advance.lexis.com/api/document?collection=cases-ca&amp;id=urn:contentItem:5F7T-S731-F60C-X11W-00000-00&amp;context=" TargetMode="External" /><Relationship Id="rId408" Type="http://schemas.openxmlformats.org/officeDocument/2006/relationships/header" Target="header61.xml" /><Relationship Id="rId409" Type="http://schemas.openxmlformats.org/officeDocument/2006/relationships/header" Target="header62.xml" /><Relationship Id="rId41" Type="http://schemas.openxmlformats.org/officeDocument/2006/relationships/hyperlink" Target="https://advance.lexis.com/api/document?collection=cases-ca&amp;id=urn:contentItem:5F7T-S7N1-JGHR-M39B-00000-00&amp;context=" TargetMode="External" /><Relationship Id="rId410" Type="http://schemas.openxmlformats.org/officeDocument/2006/relationships/footer" Target="footer61.xml" /><Relationship Id="rId411" Type="http://schemas.openxmlformats.org/officeDocument/2006/relationships/footer" Target="footer62.xml" /><Relationship Id="rId412" Type="http://schemas.openxmlformats.org/officeDocument/2006/relationships/header" Target="header63.xml" /><Relationship Id="rId413" Type="http://schemas.openxmlformats.org/officeDocument/2006/relationships/footer" Target="footer63.xml" /><Relationship Id="rId414" Type="http://schemas.openxmlformats.org/officeDocument/2006/relationships/hyperlink" Target="https://advance.lexis.com/api/document?collection=cases-ca&amp;id=urn:contentItem:5F7T-S781-F7G6-63ST-00000-00&amp;context=" TargetMode="External" /><Relationship Id="rId415" Type="http://schemas.openxmlformats.org/officeDocument/2006/relationships/hyperlink" Target="https://advance.lexis.com/api/document?collection=cases-ca&amp;id=urn:contentItem:5F7T-S771-JSJC-X060-00000-00&amp;context=" TargetMode="External" /><Relationship Id="rId416" Type="http://schemas.openxmlformats.org/officeDocument/2006/relationships/hyperlink" Target="https://advance.lexis.com/api/document?collection=cases-ca&amp;id=urn:contentItem:5F7T-S761-JX8W-M2W3-00000-00&amp;context=" TargetMode="External" /><Relationship Id="rId417" Type="http://schemas.openxmlformats.org/officeDocument/2006/relationships/hyperlink" Target="https://advance.lexis.com/api/document?collection=cases-ca&amp;id=urn:contentItem:5F7T-S741-F2F4-G2B9-00000-00&amp;context=" TargetMode="External" /><Relationship Id="rId418" Type="http://schemas.openxmlformats.org/officeDocument/2006/relationships/hyperlink" Target="https://advance.lexis.com/api/document?collection=cases-ca&amp;id=urn:contentItem:5F7T-S6Y1-JTNR-M4CY-00000-00&amp;context=" TargetMode="External" /><Relationship Id="rId419" Type="http://schemas.openxmlformats.org/officeDocument/2006/relationships/hyperlink" Target="https://advance.lexis.com/api/document?collection=cases-ca&amp;id=urn:contentItem:5F7T-S701-F8KH-X150-00000-00&amp;context=" TargetMode="External" /><Relationship Id="rId42" Type="http://schemas.openxmlformats.org/officeDocument/2006/relationships/hyperlink" Target="https://advance.lexis.com/api/document?collection=legislation-ca&amp;id=urn:contentItem:5F41-1FH1-F361-M0F6-00000-00&amp;context=" TargetMode="External" /><Relationship Id="rId420" Type="http://schemas.openxmlformats.org/officeDocument/2006/relationships/hyperlink" Target="https://advance.lexis.com/api/document?collection=cases-ca&amp;id=urn:contentItem:5F7T-S6S1-F8SS-62D4-00000-00&amp;context=" TargetMode="External" /><Relationship Id="rId421" Type="http://schemas.openxmlformats.org/officeDocument/2006/relationships/hyperlink" Target="https://advance.lexis.com/api/document?collection=cases-ca&amp;id=urn:contentItem:5F7T-S6Y1-JNY7-X2CF-00000-00&amp;context=" TargetMode="External" /><Relationship Id="rId422" Type="http://schemas.openxmlformats.org/officeDocument/2006/relationships/hyperlink" Target="https://advance.lexis.com/api/document?collection=cases-ca&amp;id=urn:contentItem:5F81-VJW1-JF75-M1NT-00000-00&amp;context=" TargetMode="External" /><Relationship Id="rId423" Type="http://schemas.openxmlformats.org/officeDocument/2006/relationships/hyperlink" Target="https://advance.lexis.com/api/document?collection=cases-ca&amp;id=urn:contentItem:5F7T-S711-JNS1-M14R-00000-00&amp;context=" TargetMode="External" /><Relationship Id="rId424" Type="http://schemas.openxmlformats.org/officeDocument/2006/relationships/hyperlink" Target="https://advance.lexis.com/api/document?collection=cases-ca&amp;id=urn:contentItem:5F8T-N3T1-JJSF-239W-00000-00&amp;context=" TargetMode="External" /><Relationship Id="rId425" Type="http://schemas.openxmlformats.org/officeDocument/2006/relationships/hyperlink" Target="https://advance.lexis.com/api/document?collection=cases-ca&amp;id=urn:contentItem:5F7T-S6Y1-JP9P-G1F0-00000-00&amp;context=" TargetMode="External" /><Relationship Id="rId426" Type="http://schemas.openxmlformats.org/officeDocument/2006/relationships/hyperlink" Target="https://advance.lexis.com/api/document?collection=cases-ca&amp;id=urn:contentItem:5F81-VJV1-JK4W-M4GH-00000-00&amp;context=" TargetMode="External" /><Relationship Id="rId427" Type="http://schemas.openxmlformats.org/officeDocument/2006/relationships/hyperlink" Target="https://advance.lexis.com/api/document?collection=cases-ca&amp;id=urn:contentItem:5F7T-S721-F8D9-M0RP-00000-00&amp;context=" TargetMode="External" /><Relationship Id="rId428" Type="http://schemas.openxmlformats.org/officeDocument/2006/relationships/hyperlink" Target="https://advance.lexis.com/api/document?collection=cases-ca&amp;id=urn:contentItem:5F7T-S711-F27X-60HN-00000-00&amp;context=" TargetMode="External" /><Relationship Id="rId429" Type="http://schemas.openxmlformats.org/officeDocument/2006/relationships/hyperlink" Target="https://advance.lexis.com/api/document?collection=cases-ca&amp;id=urn:contentItem:5F7T-S741-DXPM-S0RB-00000-00&amp;context=" TargetMode="External" /><Relationship Id="rId43" Type="http://schemas.openxmlformats.org/officeDocument/2006/relationships/hyperlink" Target="https://advance.lexis.com/api/document?collection=cases-ca&amp;id=urn:contentItem:5F7T-S7D1-FC6N-X0FM-00000-00&amp;context=" TargetMode="External" /><Relationship Id="rId430" Type="http://schemas.openxmlformats.org/officeDocument/2006/relationships/header" Target="header64.xml" /><Relationship Id="rId431" Type="http://schemas.openxmlformats.org/officeDocument/2006/relationships/header" Target="header65.xml" /><Relationship Id="rId432" Type="http://schemas.openxmlformats.org/officeDocument/2006/relationships/footer" Target="footer64.xml" /><Relationship Id="rId433" Type="http://schemas.openxmlformats.org/officeDocument/2006/relationships/footer" Target="footer65.xml" /><Relationship Id="rId434" Type="http://schemas.openxmlformats.org/officeDocument/2006/relationships/header" Target="header66.xml" /><Relationship Id="rId435" Type="http://schemas.openxmlformats.org/officeDocument/2006/relationships/footer" Target="footer66.xml" /><Relationship Id="rId436" Type="http://schemas.openxmlformats.org/officeDocument/2006/relationships/hyperlink" Target="https://advance.lexis.com/api/document?collection=cases-ca&amp;id=urn:contentItem:5F7T-S7G1-JPP5-21X8-00000-00&amp;context=" TargetMode="External" /><Relationship Id="rId437" Type="http://schemas.openxmlformats.org/officeDocument/2006/relationships/hyperlink" Target="https://advance.lexis.com/api/document?collection=cases-ca&amp;id=urn:contentItem:5K6Y-81M1-JGPY-X215-00000-00&amp;context=" TargetMode="External" /><Relationship Id="rId438" Type="http://schemas.openxmlformats.org/officeDocument/2006/relationships/hyperlink" Target="https://advance.lexis.com/api/document?collection=legislation-ca&amp;id=urn:contentItem:5F41-1FH1-F361-M0HC-00000-00&amp;context=" TargetMode="External" /><Relationship Id="rId439" Type="http://schemas.openxmlformats.org/officeDocument/2006/relationships/hyperlink" Target="https://advance.lexis.com/api/document?collection=cases-ca&amp;id=urn:contentItem:5F7T-S751-JG02-S2HX-00000-00&amp;context=" TargetMode="External" /><Relationship Id="rId44" Type="http://schemas.openxmlformats.org/officeDocument/2006/relationships/hyperlink" Target="https://advance.lexis.com/api/document?collection=cases-ca&amp;id=urn:contentItem:5F7T-S7F1-JX3N-B1SG-00000-00&amp;context=" TargetMode="External" /><Relationship Id="rId440" Type="http://schemas.openxmlformats.org/officeDocument/2006/relationships/hyperlink" Target="https://advance.lexis.com/api/document?collection=cases-ca&amp;id=urn:contentItem:5F7T-S711-F4W2-61WK-00000-00&amp;context=" TargetMode="External" /><Relationship Id="rId441" Type="http://schemas.openxmlformats.org/officeDocument/2006/relationships/hyperlink" Target="https://advance.lexis.com/api/document?collection=cases-ca&amp;id=urn:contentItem:5F7T-S6Y1-FJDY-X1KK-00000-00&amp;context=" TargetMode="External" /><Relationship Id="rId442" Type="http://schemas.openxmlformats.org/officeDocument/2006/relationships/hyperlink" Target="https://advance.lexis.com/api/document?collection=cases-ca&amp;id=urn:contentItem:5F7T-S731-F60C-X1K0-00000-00&amp;context=" TargetMode="External" /><Relationship Id="rId443" Type="http://schemas.openxmlformats.org/officeDocument/2006/relationships/hyperlink" Target="https://advance.lexis.com/api/document?collection=cases-ca&amp;id=urn:contentItem:5F7T-S751-JBM1-M211-00000-00&amp;context=" TargetMode="External" /><Relationship Id="rId444" Type="http://schemas.openxmlformats.org/officeDocument/2006/relationships/hyperlink" Target="https://advance.lexis.com/api/document?collection=cases-ca&amp;id=urn:contentItem:5F7T-S771-FG68-G0Y1-00000-00&amp;context=" TargetMode="External" /><Relationship Id="rId445" Type="http://schemas.openxmlformats.org/officeDocument/2006/relationships/hyperlink" Target="https://advance.lexis.com/api/document?collection=cases-ca&amp;id=urn:contentItem:5F7T-S771-F81W-22K3-00000-00&amp;context=" TargetMode="External" /><Relationship Id="rId446" Type="http://schemas.openxmlformats.org/officeDocument/2006/relationships/hyperlink" Target="https://advance.lexis.com/api/document?collection=cases-ca&amp;id=urn:contentItem:5F7T-S751-JBM1-M28M-00000-00&amp;context=" TargetMode="External" /><Relationship Id="rId447" Type="http://schemas.openxmlformats.org/officeDocument/2006/relationships/hyperlink" Target="https://advance.lexis.com/api/document?collection=cases-ca&amp;id=urn:contentItem:5F7T-S761-F81W-21RK-00000-00&amp;context=" TargetMode="External" /><Relationship Id="rId448" Type="http://schemas.openxmlformats.org/officeDocument/2006/relationships/hyperlink" Target="https://advance.lexis.com/api/document?collection=cases-ca&amp;id=urn:contentItem:5F7T-S751-JP4G-612P-00000-00&amp;context=" TargetMode="External" /><Relationship Id="rId449" Type="http://schemas.openxmlformats.org/officeDocument/2006/relationships/hyperlink" Target="https://advance.lexis.com/api/document?collection=cases-ca&amp;id=urn:contentItem:5F7T-S7F1-DXWW-242B-00000-00&amp;context=" TargetMode="External" /><Relationship Id="rId45" Type="http://schemas.openxmlformats.org/officeDocument/2006/relationships/hyperlink" Target="https://advance.lexis.com/api/document?collection=cases-ca&amp;id=urn:contentItem:5F7T-S7F1-FBN1-21VK-00000-00&amp;context=" TargetMode="External" /><Relationship Id="rId450" Type="http://schemas.openxmlformats.org/officeDocument/2006/relationships/header" Target="header67.xml" /><Relationship Id="rId451" Type="http://schemas.openxmlformats.org/officeDocument/2006/relationships/header" Target="header68.xml" /><Relationship Id="rId452" Type="http://schemas.openxmlformats.org/officeDocument/2006/relationships/footer" Target="footer67.xml" /><Relationship Id="rId453" Type="http://schemas.openxmlformats.org/officeDocument/2006/relationships/footer" Target="footer68.xml" /><Relationship Id="rId454" Type="http://schemas.openxmlformats.org/officeDocument/2006/relationships/header" Target="header69.xml" /><Relationship Id="rId455" Type="http://schemas.openxmlformats.org/officeDocument/2006/relationships/footer" Target="footer69.xml" /><Relationship Id="rId456" Type="http://schemas.openxmlformats.org/officeDocument/2006/relationships/hyperlink" Target="https://advance.lexis.com/api/document?collection=cases-ca&amp;id=urn:contentItem:5F7T-S7N1-DXWW-20MH-00000-00&amp;context=" TargetMode="External" /><Relationship Id="rId457" Type="http://schemas.openxmlformats.org/officeDocument/2006/relationships/hyperlink" Target="https://advance.lexis.com/api/document?collection=cases-ca&amp;id=urn:contentItem:5F7T-S781-F06F-23XV-00000-00&amp;context=" TargetMode="External" /><Relationship Id="rId458" Type="http://schemas.openxmlformats.org/officeDocument/2006/relationships/hyperlink" Target="https://advance.lexis.com/api/document?collection=cases-ca&amp;id=urn:contentItem:5F7T-S7K1-JKHB-6305-00000-00&amp;context=" TargetMode="External" /><Relationship Id="rId459" Type="http://schemas.openxmlformats.org/officeDocument/2006/relationships/hyperlink" Target="https://advance.lexis.com/api/document?collection=cases-ca&amp;id=urn:contentItem:5F7T-S7M1-F4W2-6236-00000-00&amp;context=" TargetMode="External" /><Relationship Id="rId46" Type="http://schemas.openxmlformats.org/officeDocument/2006/relationships/hyperlink" Target="https://advance.lexis.com/api/document?collection=cases-ca&amp;id=urn:contentItem:5F7T-S7F1-JX3N-B1MN-00000-00&amp;context=" TargetMode="External" /><Relationship Id="rId460" Type="http://schemas.openxmlformats.org/officeDocument/2006/relationships/hyperlink" Target="https://advance.lexis.com/api/document?collection=cases-ca&amp;id=urn:contentItem:5F7T-S771-JN14-G27W-00000-00&amp;context=" TargetMode="External" /><Relationship Id="rId461" Type="http://schemas.openxmlformats.org/officeDocument/2006/relationships/hyperlink" Target="https://advance.lexis.com/api/document?collection=cases-ca&amp;id=urn:contentItem:5F7T-S7F1-JBT7-X2YP-00000-00&amp;context=" TargetMode="External" /><Relationship Id="rId462" Type="http://schemas.openxmlformats.org/officeDocument/2006/relationships/hyperlink" Target="https://advance.lexis.com/api/document?collection=cases-ca&amp;id=urn:contentItem:5F7T-S711-F27X-60R5-00000-00&amp;context=" TargetMode="External" /><Relationship Id="rId463" Type="http://schemas.openxmlformats.org/officeDocument/2006/relationships/hyperlink" Target="https://advance.lexis.com/api/document?collection=cases-ca&amp;id=urn:contentItem:5F7T-S7D1-FCSB-S2WC-00000-00&amp;context=" TargetMode="External" /><Relationship Id="rId464" Type="http://schemas.openxmlformats.org/officeDocument/2006/relationships/hyperlink" Target="https://advance.lexis.com/api/document?collection=cases-ca&amp;id=urn:contentItem:5F7T-S7D1-JS5Y-B2FB-00000-00&amp;context=" TargetMode="External" /><Relationship Id="rId465" Type="http://schemas.openxmlformats.org/officeDocument/2006/relationships/hyperlink" Target="https://advance.lexis.com/api/document?collection=cases-ca&amp;id=urn:contentItem:5F7T-S7K1-JSJC-X10Y-00000-00&amp;context=" TargetMode="External" /><Relationship Id="rId466" Type="http://schemas.openxmlformats.org/officeDocument/2006/relationships/hyperlink" Target="https://advance.lexis.com/api/document?collection=cases-ca&amp;id=urn:contentItem:5F7T-S7K1-JKHB-633Y-00000-00&amp;context=" TargetMode="External" /><Relationship Id="rId467" Type="http://schemas.openxmlformats.org/officeDocument/2006/relationships/header" Target="header70.xml" /><Relationship Id="rId468" Type="http://schemas.openxmlformats.org/officeDocument/2006/relationships/header" Target="header71.xml" /><Relationship Id="rId469" Type="http://schemas.openxmlformats.org/officeDocument/2006/relationships/footer" Target="footer70.xml" /><Relationship Id="rId47" Type="http://schemas.openxmlformats.org/officeDocument/2006/relationships/hyperlink" Target="https://advance.lexis.com/api/document?collection=cases-ca&amp;id=urn:contentItem:5F7T-S7F1-JK4W-M1CF-00000-00&amp;context=" TargetMode="External" /><Relationship Id="rId470" Type="http://schemas.openxmlformats.org/officeDocument/2006/relationships/footer" Target="footer71.xml" /><Relationship Id="rId471" Type="http://schemas.openxmlformats.org/officeDocument/2006/relationships/header" Target="header72.xml" /><Relationship Id="rId472" Type="http://schemas.openxmlformats.org/officeDocument/2006/relationships/footer" Target="footer72.xml" /><Relationship Id="rId473" Type="http://schemas.openxmlformats.org/officeDocument/2006/relationships/hyperlink" Target="https://advance.lexis.com/api/document?collection=cases-ca&amp;id=urn:contentItem:5F7T-S7K1-JSJC-X0R6-00000-00&amp;context=" TargetMode="External" /><Relationship Id="rId474" Type="http://schemas.openxmlformats.org/officeDocument/2006/relationships/hyperlink" Target="https://advance.lexis.com/api/document?collection=cases-ca&amp;id=urn:contentItem:5K6Y-81M1-F81W-23T1-00000-00&amp;context=" TargetMode="External" /><Relationship Id="rId475" Type="http://schemas.openxmlformats.org/officeDocument/2006/relationships/hyperlink" Target="https://advance.lexis.com/api/document?collection=cases-ca&amp;id=urn:contentItem:5F7T-S7K1-JKHB-62W8-00000-00&amp;context=" TargetMode="External" /><Relationship Id="rId476" Type="http://schemas.openxmlformats.org/officeDocument/2006/relationships/hyperlink" Target="https://advance.lexis.com/api/document?collection=legislation-ca&amp;id=urn:contentItem:5F41-1FH1-JSRM-60KK-00000-00&amp;context=" TargetMode="External" /><Relationship Id="rId477" Type="http://schemas.openxmlformats.org/officeDocument/2006/relationships/hyperlink" Target="https://advance.lexis.com/api/document?collection=cases-ca&amp;id=urn:contentItem:5F81-YH21-JPGX-S00R-00000-00&amp;context=" TargetMode="External" /><Relationship Id="rId478" Type="http://schemas.openxmlformats.org/officeDocument/2006/relationships/hyperlink" Target="https://advance.lexis.com/api/document?collection=cases-ca&amp;id=urn:contentItem:5F8P-SD61-JX8W-M3KN-00000-00&amp;context=" TargetMode="External" /><Relationship Id="rId479" Type="http://schemas.openxmlformats.org/officeDocument/2006/relationships/hyperlink" Target="https://advance.lexis.com/api/document?collection=cases-ca&amp;id=urn:contentItem:5F8T-N3T1-JGHR-M249-00000-00&amp;context=" TargetMode="External" /><Relationship Id="rId48" Type="http://schemas.openxmlformats.org/officeDocument/2006/relationships/hyperlink" Target="https://advance.lexis.com/api/document?collection=cases-ca&amp;id=urn:contentItem:5F7T-S731-JNJT-B1VB-00000-00&amp;context=" TargetMode="External" /><Relationship Id="rId480" Type="http://schemas.openxmlformats.org/officeDocument/2006/relationships/hyperlink" Target="https://advance.lexis.com/api/document?collection=cases-ca&amp;id=urn:contentItem:5F7T-S781-F900-G174-00000-00&amp;context=" TargetMode="External" /><Relationship Id="rId481" Type="http://schemas.openxmlformats.org/officeDocument/2006/relationships/hyperlink" Target="https://advance.lexis.com/api/document?collection=cases-ca&amp;id=urn:contentItem:5F7T-S6S1-DXHD-G0TY-00000-00&amp;context=" TargetMode="External" /><Relationship Id="rId482" Type="http://schemas.openxmlformats.org/officeDocument/2006/relationships/hyperlink" Target="https://advance.lexis.com/api/document?collection=cases-ca&amp;id=urn:contentItem:5F7T-S6X1-FCCX-60KX-00000-00&amp;context=" TargetMode="External" /><Relationship Id="rId483" Type="http://schemas.openxmlformats.org/officeDocument/2006/relationships/hyperlink" Target="https://advance.lexis.com/api/document?collection=cases-ca&amp;id=urn:contentItem:5F7T-S751-JNS1-M1HV-00000-00&amp;context=" TargetMode="External" /><Relationship Id="rId484" Type="http://schemas.openxmlformats.org/officeDocument/2006/relationships/hyperlink" Target="https://advance.lexis.com/api/document?collection=cases-ca&amp;id=urn:contentItem:5F8T-N3R1-FJDY-X3BM-00000-00&amp;context=" TargetMode="External" /><Relationship Id="rId485" Type="http://schemas.openxmlformats.org/officeDocument/2006/relationships/hyperlink" Target="https://advance.lexis.com/api/document?collection=cases-ca&amp;id=urn:contentItem:5F7T-S741-F1H1-21DT-00000-00&amp;context=" TargetMode="External" /><Relationship Id="rId486" Type="http://schemas.openxmlformats.org/officeDocument/2006/relationships/hyperlink" Target="https://advance.lexis.com/api/document?collection=cases-ca&amp;id=urn:contentItem:5F7T-S741-DY89-M36K-00000-00&amp;context=" TargetMode="External" /><Relationship Id="rId487" Type="http://schemas.openxmlformats.org/officeDocument/2006/relationships/hyperlink" Target="https://advance.lexis.com/api/document?collection=cases-ca&amp;id=urn:contentItem:5F7T-S711-F5KY-B13W-00000-00&amp;context=" TargetMode="External" /><Relationship Id="rId488" Type="http://schemas.openxmlformats.org/officeDocument/2006/relationships/hyperlink" Target="https://advance.lexis.com/api/document?collection=cases-ca&amp;id=urn:contentItem:5F7T-S741-F8D9-M1VS-00000-00&amp;context=" TargetMode="External" /><Relationship Id="rId489" Type="http://schemas.openxmlformats.org/officeDocument/2006/relationships/hyperlink" Target="https://advance.lexis.com/api/document?collection=cases-ca&amp;id=urn:contentItem:5F7T-XPW1-JJK6-S31B-00000-00&amp;context=" TargetMode="External" /><Relationship Id="rId49" Type="http://schemas.openxmlformats.org/officeDocument/2006/relationships/hyperlink" Target="https://advance.lexis.com/api/document?collection=cases-ca&amp;id=urn:contentItem:5F7T-S7C1-JCJ5-20B2-00000-00&amp;context=" TargetMode="External" /><Relationship Id="rId490" Type="http://schemas.openxmlformats.org/officeDocument/2006/relationships/hyperlink" Target="https://advance.lexis.com/api/document?collection=cases-ca&amp;id=urn:contentItem:5F16-9361-JYYX-634C-00000-00&amp;context=" TargetMode="External" /><Relationship Id="rId491" Type="http://schemas.openxmlformats.org/officeDocument/2006/relationships/header" Target="header73.xml" /><Relationship Id="rId492" Type="http://schemas.openxmlformats.org/officeDocument/2006/relationships/header" Target="header74.xml" /><Relationship Id="rId493" Type="http://schemas.openxmlformats.org/officeDocument/2006/relationships/footer" Target="footer73.xml" /><Relationship Id="rId494" Type="http://schemas.openxmlformats.org/officeDocument/2006/relationships/footer" Target="footer74.xml" /><Relationship Id="rId495" Type="http://schemas.openxmlformats.org/officeDocument/2006/relationships/header" Target="header75.xml" /><Relationship Id="rId496" Type="http://schemas.openxmlformats.org/officeDocument/2006/relationships/footer" Target="footer75.xml" /><Relationship Id="rId497" Type="http://schemas.openxmlformats.org/officeDocument/2006/relationships/hyperlink" Target="https://advance.lexis.com/api/document?collection=cases-ca&amp;id=urn:contentItem:5F7T-S7N1-JW09-M0MG-00000-00&amp;context=" TargetMode="External" /><Relationship Id="rId498" Type="http://schemas.openxmlformats.org/officeDocument/2006/relationships/hyperlink" Target="https://advance.lexis.com/api/document?collection=legislation-ca&amp;id=urn:contentItem:5F41-1FH1-F361-M0DV-00000-00&amp;context=" TargetMode="External" /><Relationship Id="rId499" Type="http://schemas.openxmlformats.org/officeDocument/2006/relationships/hyperlink" Target="https://advance.lexis.com/api/document?collection=cases-ca&amp;id=urn:contentItem:5F7T-S7C1-F30T-B2JK-00000-00&amp;context=" TargetMode="External" /><Relationship Id="rId5" Type="http://schemas.openxmlformats.org/officeDocument/2006/relationships/header" Target="header2.xml" /><Relationship Id="rId50" Type="http://schemas.openxmlformats.org/officeDocument/2006/relationships/hyperlink" Target="https://advance.lexis.com/api/document?collection=cases-ca&amp;id=urn:contentItem:5F7T-S7D1-F7ND-G0JS-00000-00&amp;context=" TargetMode="External" /><Relationship Id="rId500" Type="http://schemas.openxmlformats.org/officeDocument/2006/relationships/hyperlink" Target="https://advance.lexis.com/api/document?collection=cases-ca&amp;id=urn:contentItem:5F7T-S7M1-F4W2-62BB-00000-00&amp;context=" TargetMode="External" /><Relationship Id="rId501" Type="http://schemas.openxmlformats.org/officeDocument/2006/relationships/hyperlink" Target="https://advance.lexis.com/api/document?collection=cases-ca&amp;id=urn:contentItem:5F7T-S7F1-DXWW-244S-00000-00&amp;context=" TargetMode="External" /><Relationship Id="rId502" Type="http://schemas.openxmlformats.org/officeDocument/2006/relationships/header" Target="header76.xml" /><Relationship Id="rId503" Type="http://schemas.openxmlformats.org/officeDocument/2006/relationships/header" Target="header77.xml" /><Relationship Id="rId504" Type="http://schemas.openxmlformats.org/officeDocument/2006/relationships/footer" Target="footer76.xml" /><Relationship Id="rId505" Type="http://schemas.openxmlformats.org/officeDocument/2006/relationships/footer" Target="footer77.xml" /><Relationship Id="rId506" Type="http://schemas.openxmlformats.org/officeDocument/2006/relationships/header" Target="header78.xml" /><Relationship Id="rId507" Type="http://schemas.openxmlformats.org/officeDocument/2006/relationships/footer" Target="footer78.xml" /><Relationship Id="rId508" Type="http://schemas.openxmlformats.org/officeDocument/2006/relationships/hyperlink" Target="https://advance.lexis.com/api/document?collection=cases-ca&amp;id=urn:contentItem:5F7T-S7K1-JSJC-X0XR-00000-00&amp;context=" TargetMode="External" /><Relationship Id="rId509" Type="http://schemas.openxmlformats.org/officeDocument/2006/relationships/hyperlink" Target="https://advance.lexis.com/api/document?collection=cases-ca&amp;id=urn:contentItem:5F7T-S7J1-JGBH-B25W-00000-00&amp;context=" TargetMode="External" /><Relationship Id="rId51" Type="http://schemas.openxmlformats.org/officeDocument/2006/relationships/hyperlink" Target="https://advance.lexis.com/api/document?collection=cases-ca&amp;id=urn:contentItem:5F7T-S7H1-F016-S42B-00000-00&amp;context=" TargetMode="External" /><Relationship Id="rId510" Type="http://schemas.openxmlformats.org/officeDocument/2006/relationships/hyperlink" Target="https://advance.lexis.com/api/document?collection=cases-ca&amp;id=urn:contentItem:5F7T-S741-DY89-M3K8-00000-00&amp;context=" TargetMode="External" /><Relationship Id="rId511" Type="http://schemas.openxmlformats.org/officeDocument/2006/relationships/hyperlink" Target="https://advance.lexis.com/api/document?collection=cases-ca&amp;id=urn:contentItem:5F7T-S7J1-JGBH-B28D-00000-00&amp;context=" TargetMode="External" /><Relationship Id="rId512" Type="http://schemas.openxmlformats.org/officeDocument/2006/relationships/hyperlink" Target="https://advance.lexis.com/api/document?collection=cases-ca&amp;id=urn:contentItem:5F7T-S761-JCBX-S0MY-00000-00&amp;context=" TargetMode="External" /><Relationship Id="rId513" Type="http://schemas.openxmlformats.org/officeDocument/2006/relationships/header" Target="header79.xml" /><Relationship Id="rId514" Type="http://schemas.openxmlformats.org/officeDocument/2006/relationships/header" Target="header80.xml" /><Relationship Id="rId515" Type="http://schemas.openxmlformats.org/officeDocument/2006/relationships/footer" Target="footer79.xml" /><Relationship Id="rId516" Type="http://schemas.openxmlformats.org/officeDocument/2006/relationships/footer" Target="footer80.xml" /><Relationship Id="rId517" Type="http://schemas.openxmlformats.org/officeDocument/2006/relationships/header" Target="header81.xml" /><Relationship Id="rId518" Type="http://schemas.openxmlformats.org/officeDocument/2006/relationships/footer" Target="footer81.xml" /><Relationship Id="rId519" Type="http://schemas.openxmlformats.org/officeDocument/2006/relationships/hyperlink" Target="https://advance.lexis.com/api/document?collection=cases-ca&amp;id=urn:contentItem:5F7T-S7D1-FFFC-B1FJ-00000-00&amp;context=" TargetMode="External" /><Relationship Id="rId52" Type="http://schemas.openxmlformats.org/officeDocument/2006/relationships/hyperlink" Target="https://advance.lexis.com/api/document?collection=cases-ca&amp;id=urn:contentItem:5F7T-S7J1-FGCG-S0FH-00000-00&amp;context=" TargetMode="External" /><Relationship Id="rId520" Type="http://schemas.openxmlformats.org/officeDocument/2006/relationships/hyperlink" Target="https://advance.lexis.com/api/document?collection=cases-ca&amp;id=urn:contentItem:5K6Y-81M1-F65M-61H8-00000-00&amp;context=" TargetMode="External" /><Relationship Id="rId521" Type="http://schemas.openxmlformats.org/officeDocument/2006/relationships/hyperlink" Target="https://advance.lexis.com/api/document?collection=cases-ca&amp;id=urn:contentItem:5F7T-S711-F27X-60JN-00000-00&amp;context=" TargetMode="External" /><Relationship Id="rId522" Type="http://schemas.openxmlformats.org/officeDocument/2006/relationships/hyperlink" Target="https://advance.lexis.com/api/document?collection=cases-ca&amp;id=urn:contentItem:5F8N-K711-FG68-G48F-00000-00&amp;context=" TargetMode="External" /><Relationship Id="rId523" Type="http://schemas.openxmlformats.org/officeDocument/2006/relationships/hyperlink" Target="https://advance.lexis.com/api/document?collection=cases-ca&amp;id=urn:contentItem:5F7T-S721-F5T5-M29M-00000-00&amp;context=" TargetMode="External" /><Relationship Id="rId524" Type="http://schemas.openxmlformats.org/officeDocument/2006/relationships/hyperlink" Target="https://advance.lexis.com/api/document?collection=cases-ca&amp;id=urn:contentItem:5F8T-N3V1-JFKM-609S-00000-00&amp;context=" TargetMode="External" /><Relationship Id="rId525" Type="http://schemas.openxmlformats.org/officeDocument/2006/relationships/hyperlink" Target="https://advance.lexis.com/api/document?collection=cases-ca&amp;id=urn:contentItem:5F8T-N3T1-JFKM-6545-00000-00&amp;context=" TargetMode="External" /><Relationship Id="rId526" Type="http://schemas.openxmlformats.org/officeDocument/2006/relationships/hyperlink" Target="https://advance.lexis.com/api/document?collection=cases-ca&amp;id=urn:contentItem:5F8T-N3V1-FC1F-M48M-00000-00&amp;context=" TargetMode="External" /><Relationship Id="rId527" Type="http://schemas.openxmlformats.org/officeDocument/2006/relationships/hyperlink" Target="https://advance.lexis.com/api/document?collection=cases-ca&amp;id=urn:contentItem:5F7T-S741-F528-G2CX-00000-00&amp;context=" TargetMode="External" /><Relationship Id="rId528" Type="http://schemas.openxmlformats.org/officeDocument/2006/relationships/hyperlink" Target="https://advance.lexis.com/api/document?collection=cases-ca&amp;id=urn:contentItem:5F8T-N3S1-JBDT-B087-00000-00&amp;context=" TargetMode="External" /><Relationship Id="rId529" Type="http://schemas.openxmlformats.org/officeDocument/2006/relationships/hyperlink" Target="https://advance.lexis.com/api/document?collection=cases-ca&amp;id=urn:contentItem:5F7T-S6W1-JB7K-21K9-00000-00&amp;context=" TargetMode="External" /><Relationship Id="rId53" Type="http://schemas.openxmlformats.org/officeDocument/2006/relationships/hyperlink" Target="https://advance.lexis.com/api/document?collection=cases-ca&amp;id=urn:contentItem:5F7T-S7M1-JJK6-S23S-00000-00&amp;context=" TargetMode="External" /><Relationship Id="rId530" Type="http://schemas.openxmlformats.org/officeDocument/2006/relationships/hyperlink" Target="https://advance.lexis.com/api/document?collection=cases-ca&amp;id=urn:contentItem:5F8T-N3V1-JF75-M3GT-00000-00&amp;context=" TargetMode="External" /><Relationship Id="rId531" Type="http://schemas.openxmlformats.org/officeDocument/2006/relationships/hyperlink" Target="https://advance.lexis.com/api/document?collection=cases-ca&amp;id=urn:contentItem:5F7V-3DH1-FCK4-G0SS-00000-00&amp;context=" TargetMode="External" /><Relationship Id="rId532" Type="http://schemas.openxmlformats.org/officeDocument/2006/relationships/hyperlink" Target="https://advance.lexis.com/api/document?collection=cases-ca&amp;id=urn:contentItem:5F7T-S771-JW5H-X21M-00000-00&amp;context=" TargetMode="External" /><Relationship Id="rId533" Type="http://schemas.openxmlformats.org/officeDocument/2006/relationships/hyperlink" Target="https://advance.lexis.com/api/document?collection=cases-ca&amp;id=urn:contentItem:5F8T-N3S1-JBDT-B0FY-00000-00&amp;context=" TargetMode="External" /><Relationship Id="rId534" Type="http://schemas.openxmlformats.org/officeDocument/2006/relationships/hyperlink" Target="https://advance.lexis.com/api/document?collection=cases-ca&amp;id=urn:contentItem:5F7T-S751-JGHR-M1Y5-00000-00&amp;context=" TargetMode="External" /><Relationship Id="rId535" Type="http://schemas.openxmlformats.org/officeDocument/2006/relationships/hyperlink" Target="https://advance.lexis.com/api/document?collection=cases-ca&amp;id=urn:contentItem:5F8P-SDK1-JP9P-G3DN-00000-00&amp;context=" TargetMode="External" /><Relationship Id="rId536" Type="http://schemas.openxmlformats.org/officeDocument/2006/relationships/hyperlink" Target="https://advance.lexis.com/api/document?collection=cases-ca&amp;id=urn:contentItem:5F81-VJX1-FD4T-B2VV-00000-00&amp;context=" TargetMode="External" /><Relationship Id="rId537" Type="http://schemas.openxmlformats.org/officeDocument/2006/relationships/hyperlink" Target="https://advance.lexis.com/api/document?collection=cases-ca&amp;id=urn:contentItem:5F8P-T8W1-F2F4-G1CP-00000-00&amp;context=" TargetMode="External" /><Relationship Id="rId538" Type="http://schemas.openxmlformats.org/officeDocument/2006/relationships/hyperlink" Target="https://advance.lexis.com/api/document?collection=cases-ca&amp;id=urn:contentItem:5F7T-S771-JWBS-61G8-00000-00&amp;context=" TargetMode="External" /><Relationship Id="rId539" Type="http://schemas.openxmlformats.org/officeDocument/2006/relationships/hyperlink" Target="https://advance.lexis.com/api/document?collection=cases-ca&amp;id=urn:contentItem:5F8T-N3R1-JNS1-M0R1-00000-00&amp;context=" TargetMode="External" /><Relationship Id="rId54" Type="http://schemas.openxmlformats.org/officeDocument/2006/relationships/hyperlink" Target="https://advance.lexis.com/api/document?collection=cases-ca&amp;id=urn:contentItem:5F7T-S7C1-JSRM-60NW-00000-00&amp;context=" TargetMode="External" /><Relationship Id="rId540" Type="http://schemas.openxmlformats.org/officeDocument/2006/relationships/hyperlink" Target="https://advance.lexis.com/api/document?collection=cases-ca&amp;id=urn:contentItem:5F7T-S7G1-JX3N-B2JF-00000-00&amp;context=" TargetMode="External" /><Relationship Id="rId541" Type="http://schemas.openxmlformats.org/officeDocument/2006/relationships/hyperlink" Target="https://advance.lexis.com/api/document?collection=cases-ca&amp;id=urn:contentItem:5F7T-S7D1-FC6N-X11F-00000-00&amp;context=" TargetMode="External" /><Relationship Id="rId542" Type="http://schemas.openxmlformats.org/officeDocument/2006/relationships/hyperlink" Target="https://advance.lexis.com/api/document?collection=cases-ca&amp;id=urn:contentItem:5F7T-S6V1-F956-S055-00000-00&amp;context=" TargetMode="External" /><Relationship Id="rId543" Type="http://schemas.openxmlformats.org/officeDocument/2006/relationships/hyperlink" Target="https://advance.lexis.com/api/document?collection=cases-ca&amp;id=urn:contentItem:5F7T-S6X1-F7ND-G3DV-00000-00&amp;context=" TargetMode="External" /><Relationship Id="rId544" Type="http://schemas.openxmlformats.org/officeDocument/2006/relationships/hyperlink" Target="https://advance.lexis.com/api/document?collection=cases-ca&amp;id=urn:contentItem:5F16-9351-FCYK-21XX-00000-00&amp;context=" TargetMode="External" /><Relationship Id="rId545" Type="http://schemas.openxmlformats.org/officeDocument/2006/relationships/header" Target="header82.xml" /><Relationship Id="rId546" Type="http://schemas.openxmlformats.org/officeDocument/2006/relationships/header" Target="header83.xml" /><Relationship Id="rId547" Type="http://schemas.openxmlformats.org/officeDocument/2006/relationships/footer" Target="footer82.xml" /><Relationship Id="rId548" Type="http://schemas.openxmlformats.org/officeDocument/2006/relationships/footer" Target="footer83.xml" /><Relationship Id="rId549" Type="http://schemas.openxmlformats.org/officeDocument/2006/relationships/header" Target="header84.xml" /><Relationship Id="rId55" Type="http://schemas.openxmlformats.org/officeDocument/2006/relationships/header" Target="header10.xml" /><Relationship Id="rId550" Type="http://schemas.openxmlformats.org/officeDocument/2006/relationships/footer" Target="footer84.xml" /><Relationship Id="rId551" Type="http://schemas.openxmlformats.org/officeDocument/2006/relationships/hyperlink" Target="https://advance.lexis.com/api/document?collection=cases-ca&amp;id=urn:contentItem:5F7T-S7M1-JCRC-B1XS-00000-00&amp;context=" TargetMode="External" /><Relationship Id="rId552" Type="http://schemas.openxmlformats.org/officeDocument/2006/relationships/hyperlink" Target="https://advance.lexis.com/api/document?collection=cases-ca&amp;id=urn:contentItem:5F7T-S7G1-F5KY-B1F0-00000-00&amp;context=" TargetMode="External" /><Relationship Id="rId553" Type="http://schemas.openxmlformats.org/officeDocument/2006/relationships/hyperlink" Target="https://advance.lexis.com/api/document?collection=cases-ca&amp;id=urn:contentItem:5F7T-S7D1-FCSB-S31N-00000-00&amp;context=" TargetMode="External" /><Relationship Id="rId554" Type="http://schemas.openxmlformats.org/officeDocument/2006/relationships/hyperlink" Target="https://advance.lexis.com/api/document?collection=cases-ca&amp;id=urn:contentItem:5F7T-S711-JB2B-S15D-00000-00&amp;context=" TargetMode="External" /><Relationship Id="rId555" Type="http://schemas.openxmlformats.org/officeDocument/2006/relationships/header" Target="header85.xml" /><Relationship Id="rId556" Type="http://schemas.openxmlformats.org/officeDocument/2006/relationships/header" Target="header86.xml" /><Relationship Id="rId557" Type="http://schemas.openxmlformats.org/officeDocument/2006/relationships/footer" Target="footer85.xml" /><Relationship Id="rId558" Type="http://schemas.openxmlformats.org/officeDocument/2006/relationships/footer" Target="footer86.xml" /><Relationship Id="rId559" Type="http://schemas.openxmlformats.org/officeDocument/2006/relationships/header" Target="header87.xml" /><Relationship Id="rId56" Type="http://schemas.openxmlformats.org/officeDocument/2006/relationships/header" Target="header11.xml" /><Relationship Id="rId560" Type="http://schemas.openxmlformats.org/officeDocument/2006/relationships/footer" Target="footer87.xml" /><Relationship Id="rId561" Type="http://schemas.openxmlformats.org/officeDocument/2006/relationships/hyperlink" Target="https://advance.lexis.com/api/document?collection=cases-ca&amp;id=urn:contentItem:5F7T-S7F1-FFFC-B1R7-00000-00&amp;context=" TargetMode="External" /><Relationship Id="rId562" Type="http://schemas.openxmlformats.org/officeDocument/2006/relationships/hyperlink" Target="https://advance.lexis.com/api/document?collection=cases-ca&amp;id=urn:contentItem:5F7T-S7D1-JG02-S2WF-00000-00&amp;context=" TargetMode="External" /><Relationship Id="rId563" Type="http://schemas.openxmlformats.org/officeDocument/2006/relationships/hyperlink" Target="https://advance.lexis.com/api/document?collection=cases-ca&amp;id=urn:contentItem:5F7T-S7D1-JS5Y-B2FJ-00000-00&amp;context=" TargetMode="External" /><Relationship Id="rId564" Type="http://schemas.openxmlformats.org/officeDocument/2006/relationships/hyperlink" Target="https://advance.lexis.com/api/document?collection=cases-ca&amp;id=urn:contentItem:5F7T-S771-F361-M1J8-00000-00&amp;context=" TargetMode="External" /><Relationship Id="rId565" Type="http://schemas.openxmlformats.org/officeDocument/2006/relationships/hyperlink" Target="https://advance.lexis.com/api/document?collection=cases-ca&amp;id=urn:contentItem:5F7T-S761-JX8W-M2NW-00000-00&amp;context=" TargetMode="External" /><Relationship Id="rId566" Type="http://schemas.openxmlformats.org/officeDocument/2006/relationships/hyperlink" Target="https://advance.lexis.com/api/document?collection=cases-ca&amp;id=urn:contentItem:5F8P-SGB1-F873-B2H2-00000-00&amp;context=" TargetMode="External" /><Relationship Id="rId567" Type="http://schemas.openxmlformats.org/officeDocument/2006/relationships/hyperlink" Target="https://advance.lexis.com/api/document?collection=cases-ca&amp;id=urn:contentItem:5F81-VJX1-FFTT-X1KB-00000-00&amp;context=" TargetMode="External" /><Relationship Id="rId568" Type="http://schemas.openxmlformats.org/officeDocument/2006/relationships/hyperlink" Target="https://advance.lexis.com/api/document?collection=cases-ca&amp;id=urn:contentItem:5F81-VJX1-FFTT-X1MT-00000-00&amp;context=" TargetMode="External" /><Relationship Id="rId569" Type="http://schemas.openxmlformats.org/officeDocument/2006/relationships/hyperlink" Target="https://advance.lexis.com/api/document?collection=cases-ca&amp;id=urn:contentItem:5F7T-S771-FG68-G103-00000-00&amp;context=" TargetMode="External" /><Relationship Id="rId57" Type="http://schemas.openxmlformats.org/officeDocument/2006/relationships/footer" Target="footer10.xml" /><Relationship Id="rId570" Type="http://schemas.openxmlformats.org/officeDocument/2006/relationships/hyperlink" Target="https://advance.lexis.com/api/document?collection=cases-ca&amp;id=urn:contentItem:5F82-1SD1-JFKM-60FX-00000-00&amp;context=" TargetMode="External" /><Relationship Id="rId571" Type="http://schemas.openxmlformats.org/officeDocument/2006/relationships/hyperlink" Target="https://advance.lexis.com/api/document?collection=cases-ca&amp;id=urn:contentItem:5F8P-SD81-JX8W-M4JF-00000-00&amp;context=" TargetMode="External" /><Relationship Id="rId572" Type="http://schemas.openxmlformats.org/officeDocument/2006/relationships/hyperlink" Target="https://advance.lexis.com/api/document?collection=cases-ca&amp;id=urn:contentItem:5F7T-S771-JWBS-61X0-00000-00&amp;context=" TargetMode="External" /><Relationship Id="rId573" Type="http://schemas.openxmlformats.org/officeDocument/2006/relationships/hyperlink" Target="https://advance.lexis.com/api/document?collection=cases-ca&amp;id=urn:contentItem:5F7T-S7C1-F4NT-X3K2-00000-00&amp;context=" TargetMode="External" /><Relationship Id="rId574" Type="http://schemas.openxmlformats.org/officeDocument/2006/relationships/hyperlink" Target="https://advance.lexis.com/api/document?collection=cases-ca&amp;id=urn:contentItem:5F7T-S761-F81W-21TF-00000-00&amp;context=" TargetMode="External" /><Relationship Id="rId575" Type="http://schemas.openxmlformats.org/officeDocument/2006/relationships/hyperlink" Target="https://advance.lexis.com/api/document?collection=cases-ca&amp;id=urn:contentItem:5F7T-S771-JTGH-B1G5-00000-00&amp;context=" TargetMode="External" /><Relationship Id="rId576" Type="http://schemas.openxmlformats.org/officeDocument/2006/relationships/hyperlink" Target="https://advance.lexis.com/api/document?collection=cases-ca&amp;id=urn:contentItem:5F8P-SD71-FG68-G52G-00000-00&amp;context=" TargetMode="External" /><Relationship Id="rId577" Type="http://schemas.openxmlformats.org/officeDocument/2006/relationships/hyperlink" Target="https://advance.lexis.com/api/document?collection=cases-ca&amp;id=urn:contentItem:5F8P-JGG1-JX8W-M55C-00000-00&amp;context=" TargetMode="External" /><Relationship Id="rId578" Type="http://schemas.openxmlformats.org/officeDocument/2006/relationships/hyperlink" Target="https://advance.lexis.com/api/document?collection=cases-ca&amp;id=urn:contentItem:5F8P-JGF1-F016-S2HF-00000-00&amp;context=" TargetMode="External" /><Relationship Id="rId579" Type="http://schemas.openxmlformats.org/officeDocument/2006/relationships/hyperlink" Target="https://advance.lexis.com/api/document?collection=cases-ca&amp;id=urn:contentItem:5F7T-S731-F016-S31K-00000-00&amp;context=" TargetMode="External" /><Relationship Id="rId58" Type="http://schemas.openxmlformats.org/officeDocument/2006/relationships/footer" Target="footer11.xml" /><Relationship Id="rId580" Type="http://schemas.openxmlformats.org/officeDocument/2006/relationships/header" Target="header88.xml" /><Relationship Id="rId581" Type="http://schemas.openxmlformats.org/officeDocument/2006/relationships/header" Target="header89.xml" /><Relationship Id="rId582" Type="http://schemas.openxmlformats.org/officeDocument/2006/relationships/footer" Target="footer88.xml" /><Relationship Id="rId583" Type="http://schemas.openxmlformats.org/officeDocument/2006/relationships/footer" Target="footer89.xml" /><Relationship Id="rId584" Type="http://schemas.openxmlformats.org/officeDocument/2006/relationships/header" Target="header90.xml" /><Relationship Id="rId585" Type="http://schemas.openxmlformats.org/officeDocument/2006/relationships/footer" Target="footer90.xml" /><Relationship Id="rId586" Type="http://schemas.openxmlformats.org/officeDocument/2006/relationships/hyperlink" Target="https://advance.lexis.com/api/document?collection=cases-ca&amp;id=urn:contentItem:5GCC-XVB1-JSXV-G06R-00000-00&amp;context=" TargetMode="External" /><Relationship Id="rId587" Type="http://schemas.openxmlformats.org/officeDocument/2006/relationships/hyperlink" Target="https://advance.lexis.com/api/document?collection=cases-ca&amp;id=urn:contentItem:5F7T-S7K1-JSJC-X0TF-00000-00&amp;context=" TargetMode="External" /><Relationship Id="rId588" Type="http://schemas.openxmlformats.org/officeDocument/2006/relationships/hyperlink" Target="https://advance.lexis.com/api/document?collection=cases-ca&amp;id=urn:contentItem:5F8T-N3V1-JTGH-B0Y9-00000-00&amp;context=" TargetMode="External" /><Relationship Id="rId589" Type="http://schemas.openxmlformats.org/officeDocument/2006/relationships/hyperlink" Target="https://advance.lexis.com/api/document?collection=cases-ca&amp;id=urn:contentItem:5F7T-S7B1-FH4C-X381-00000-00&amp;context=" TargetMode="External" /><Relationship Id="rId59" Type="http://schemas.openxmlformats.org/officeDocument/2006/relationships/header" Target="header12.xml" /><Relationship Id="rId590" Type="http://schemas.openxmlformats.org/officeDocument/2006/relationships/hyperlink" Target="https://advance.lexis.com/api/document?collection=cases-ca&amp;id=urn:contentItem:5F7T-S7D1-JN6B-S131-00000-00&amp;context=" TargetMode="External" /><Relationship Id="rId591" Type="http://schemas.openxmlformats.org/officeDocument/2006/relationships/hyperlink" Target="https://advance.lexis.com/api/document?collection=cases-ca&amp;id=urn:contentItem:5F7T-S7M1-JCRC-B1TW-00000-00&amp;context=" TargetMode="External" /><Relationship Id="rId592" Type="http://schemas.openxmlformats.org/officeDocument/2006/relationships/hyperlink" Target="https://advance.lexis.com/api/document?collection=cases-ca&amp;id=urn:contentItem:5F7T-S7K1-F1H1-2211-00000-00&amp;context=" TargetMode="External" /><Relationship Id="rId593" Type="http://schemas.openxmlformats.org/officeDocument/2006/relationships/hyperlink" Target="https://advance.lexis.com/api/document?collection=cases-ca&amp;id=urn:contentItem:5F7T-S781-FH4C-X361-00000-00&amp;context=" TargetMode="External" /><Relationship Id="rId594" Type="http://schemas.openxmlformats.org/officeDocument/2006/relationships/hyperlink" Target="https://advance.lexis.com/api/document?collection=cases-ca&amp;id=urn:contentItem:5F7T-S7K1-JNY7-X4CM-00000-00&amp;context=" TargetMode="External" /><Relationship Id="rId595" Type="http://schemas.openxmlformats.org/officeDocument/2006/relationships/hyperlink" Target="https://advance.lexis.com/api/document?collection=cases-ca&amp;id=urn:contentItem:5F7T-S7J1-JNS1-M265-00000-00&amp;context=" TargetMode="External" /><Relationship Id="rId596" Type="http://schemas.openxmlformats.org/officeDocument/2006/relationships/hyperlink" Target="https://advance.lexis.com/api/document?collection=cases-ca&amp;id=urn:contentItem:5F7T-S7H1-JS5Y-B37X-00000-00&amp;context=" TargetMode="External" /><Relationship Id="rId597" Type="http://schemas.openxmlformats.org/officeDocument/2006/relationships/hyperlink" Target="https://advance.lexis.com/api/document?collection=cases-ca&amp;id=urn:contentItem:5F7T-S7M1-F4W2-62H4-00000-00&amp;context=" TargetMode="External" /><Relationship Id="rId598" Type="http://schemas.openxmlformats.org/officeDocument/2006/relationships/hyperlink" Target="https://advance.lexis.com/api/document?collection=cases-ca&amp;id=urn:contentItem:5F7T-S7D1-F7ND-G0MH-00000-00&amp;context=" TargetMode="External" /><Relationship Id="rId599" Type="http://schemas.openxmlformats.org/officeDocument/2006/relationships/hyperlink" Target="https://advance.lexis.com/api/document?collection=cases-ca&amp;id=urn:contentItem:5F7T-S7K1-JKHB-62PC-00000-00&amp;context=" TargetMode="External" /><Relationship Id="rId6" Type="http://schemas.openxmlformats.org/officeDocument/2006/relationships/footer" Target="footer1.xml" /><Relationship Id="rId60" Type="http://schemas.openxmlformats.org/officeDocument/2006/relationships/footer" Target="footer12.xml" /><Relationship Id="rId600" Type="http://schemas.openxmlformats.org/officeDocument/2006/relationships/hyperlink" Target="https://advance.lexis.com/api/document?collection=cases-ca&amp;id=urn:contentItem:5F7T-S7K1-DY33-B1KT-00000-00&amp;context=" TargetMode="External" /><Relationship Id="rId601" Type="http://schemas.openxmlformats.org/officeDocument/2006/relationships/hyperlink" Target="https://advance.lexis.com/api/document?collection=cases-ca&amp;id=urn:contentItem:5F7T-S7H1-F016-S3X8-00000-00&amp;context=" TargetMode="External" /><Relationship Id="rId602" Type="http://schemas.openxmlformats.org/officeDocument/2006/relationships/hyperlink" Target="https://advance.lexis.com/api/document?collection=cases-ca&amp;id=urn:contentItem:5F7T-S7G1-FCYK-207V-00000-00&amp;context=" TargetMode="External" /><Relationship Id="rId603" Type="http://schemas.openxmlformats.org/officeDocument/2006/relationships/hyperlink" Target="https://advance.lexis.com/api/document?collection=cases-ca&amp;id=urn:contentItem:5F7T-S7K1-JSJC-X0R5-00000-00&amp;context=" TargetMode="External" /><Relationship Id="rId604" Type="http://schemas.openxmlformats.org/officeDocument/2006/relationships/hyperlink" Target="https://advance.lexis.com/api/document?collection=cases-ca&amp;id=urn:contentItem:5F7T-S701-JF75-M4N2-00000-00&amp;context=" TargetMode="External" /><Relationship Id="rId605" Type="http://schemas.openxmlformats.org/officeDocument/2006/relationships/hyperlink" Target="https://advance.lexis.com/api/document?collection=cases-ca&amp;id=urn:contentItem:5F7T-S7K1-DY33-B1K8-00000-00&amp;context=" TargetMode="External" /><Relationship Id="rId606" Type="http://schemas.openxmlformats.org/officeDocument/2006/relationships/hyperlink" Target="https://advance.lexis.com/api/document?collection=cases-ca&amp;id=urn:contentItem:5F7T-S731-F1WF-M2HD-00000-00&amp;context=" TargetMode="External" /><Relationship Id="rId607" Type="http://schemas.openxmlformats.org/officeDocument/2006/relationships/hyperlink" Target="https://advance.lexis.com/api/document?collection=cases-ca&amp;id=urn:contentItem:5F7T-S731-F016-S3C6-00000-00&amp;context=" TargetMode="External" /><Relationship Id="rId608" Type="http://schemas.openxmlformats.org/officeDocument/2006/relationships/hyperlink" Target="https://advance.lexis.com/api/document?collection=cases-ca&amp;id=urn:contentItem:5F7T-S7M1-JNCK-22SH-00000-00&amp;context=" TargetMode="External" /><Relationship Id="rId609" Type="http://schemas.openxmlformats.org/officeDocument/2006/relationships/hyperlink" Target="https://advance.lexis.com/api/document?collection=cases-ca&amp;id=urn:contentItem:5F7T-S7F1-JX3N-B19D-00000-00&amp;context=" TargetMode="External" /><Relationship Id="rId61" Type="http://schemas.openxmlformats.org/officeDocument/2006/relationships/hyperlink" Target="https://advance.lexis.com/api/document?collection=cases-ca&amp;id=urn:contentItem:5F7T-S7M1-F4W2-621H-00000-00&amp;context=" TargetMode="External" /><Relationship Id="rId610" Type="http://schemas.openxmlformats.org/officeDocument/2006/relationships/image" Target="media/image2.jpeg" /><Relationship Id="rId611" Type="http://schemas.openxmlformats.org/officeDocument/2006/relationships/header" Target="header91.xml" /><Relationship Id="rId612" Type="http://schemas.openxmlformats.org/officeDocument/2006/relationships/header" Target="header92.xml" /><Relationship Id="rId613" Type="http://schemas.openxmlformats.org/officeDocument/2006/relationships/footer" Target="footer91.xml" /><Relationship Id="rId614" Type="http://schemas.openxmlformats.org/officeDocument/2006/relationships/footer" Target="footer92.xml" /><Relationship Id="rId615" Type="http://schemas.openxmlformats.org/officeDocument/2006/relationships/header" Target="header93.xml" /><Relationship Id="rId616" Type="http://schemas.openxmlformats.org/officeDocument/2006/relationships/footer" Target="footer93.xml" /><Relationship Id="rId617" Type="http://schemas.openxmlformats.org/officeDocument/2006/relationships/hyperlink" Target="https://advance.lexis.com/api/document?collection=cases-ca&amp;id=urn:contentItem:5XH9-1WM1-JPP5-238Y-00000-00&amp;context=" TargetMode="External" /><Relationship Id="rId618" Type="http://schemas.openxmlformats.org/officeDocument/2006/relationships/image" Target="media/image3.jpeg" /><Relationship Id="rId619" Type="http://schemas.openxmlformats.org/officeDocument/2006/relationships/image" Target="media/image4.png" /><Relationship Id="rId62" Type="http://schemas.openxmlformats.org/officeDocument/2006/relationships/hyperlink" Target="https://advance.lexis.com/api/document?collection=legislation-ca&amp;id=urn:contentItem:5F41-1FG1-FC1F-M0TW-00000-00&amp;context=" TargetMode="External" /><Relationship Id="rId620" Type="http://schemas.openxmlformats.org/officeDocument/2006/relationships/hyperlink" Target="https://advance.lexis.com/api/document?collection=cases-ca&amp;id=urn:contentItem:5X7C-XYF1-JJK6-S0XB-00000-00&amp;context=" TargetMode="External" /><Relationship Id="rId621" Type="http://schemas.openxmlformats.org/officeDocument/2006/relationships/hyperlink" Target="https://advance.lexis.com/api/document?collection=cases-ca&amp;id=urn:contentItem:5F7T-S7P1-F2TK-23S9-00000-00&amp;context=" TargetMode="External" /><Relationship Id="rId622" Type="http://schemas.openxmlformats.org/officeDocument/2006/relationships/hyperlink" Target="https://advance.lexis.com/api/document?collection=cases-ca&amp;id=urn:contentItem:5HNM-S131-JSJC-X4WR-00000-00&amp;context=" TargetMode="External" /><Relationship Id="rId623" Type="http://schemas.openxmlformats.org/officeDocument/2006/relationships/hyperlink" Target="https://advance.lexis.com/api/document?collection=cases-ca&amp;id=urn:contentItem:5GCC-XVC1-JSRM-60G5-00000-00&amp;context=" TargetMode="External" /><Relationship Id="rId624" Type="http://schemas.openxmlformats.org/officeDocument/2006/relationships/hyperlink" Target="https://advance.lexis.com/api/document?collection=cases-ca&amp;id=urn:contentItem:5F7T-S7N1-JW09-M0NS-00000-00&amp;context=" TargetMode="External" /><Relationship Id="rId625" Type="http://schemas.openxmlformats.org/officeDocument/2006/relationships/hyperlink" Target="https://advance.lexis.com/api/document?collection=cases-ca&amp;id=urn:contentItem:5J11-G3N1-DXHD-G418-00000-00&amp;context=" TargetMode="External" /><Relationship Id="rId626" Type="http://schemas.openxmlformats.org/officeDocument/2006/relationships/hyperlink" Target="https://advance.lexis.com/api/document?collection=cases-ca&amp;id=urn:contentItem:5F7T-S7M1-F4W2-621N-00000-00&amp;context=" TargetMode="External" /><Relationship Id="rId627" Type="http://schemas.openxmlformats.org/officeDocument/2006/relationships/hyperlink" Target="https://advance.lexis.com/api/document?collection=cases-ca&amp;id=urn:contentItem:5F7T-S7M1-DYMS-625V-00000-00&amp;context=" TargetMode="External" /><Relationship Id="rId628" Type="http://schemas.openxmlformats.org/officeDocument/2006/relationships/hyperlink" Target="https://advance.lexis.com/api/document?collection=cases-ca&amp;id=urn:contentItem:5TW9-5481-JF75-M35T-00000-00&amp;context=" TargetMode="External" /><Relationship Id="rId629" Type="http://schemas.openxmlformats.org/officeDocument/2006/relationships/hyperlink" Target="https://advance.lexis.com/api/document?collection=cases-ca&amp;id=urn:contentItem:5F8T-N3V1-JTGH-B0YB-00000-00&amp;context=" TargetMode="External" /><Relationship Id="rId63" Type="http://schemas.openxmlformats.org/officeDocument/2006/relationships/hyperlink" Target="https://advance.lexis.com/api/document?collection=cases-ca&amp;id=urn:contentItem:5F8T-N3V1-JF75-M3KJ-00000-00&amp;context=" TargetMode="External" /><Relationship Id="rId630" Type="http://schemas.openxmlformats.org/officeDocument/2006/relationships/hyperlink" Target="https://advance.lexis.com/api/document?collection=cases-ca&amp;id=urn:contentItem:5F7T-S7B1-F7ND-G4YK-00000-00&amp;context=" TargetMode="External" /><Relationship Id="rId631" Type="http://schemas.openxmlformats.org/officeDocument/2006/relationships/image" Target="media/image5.jpeg" /><Relationship Id="rId632" Type="http://schemas.openxmlformats.org/officeDocument/2006/relationships/hyperlink" Target="https://advance.lexis.com/api/document?collection=cases-ca&amp;id=urn:contentItem:5HR4-FPP1-JG02-S2D4-00000-00&amp;context=" TargetMode="External" /><Relationship Id="rId633" Type="http://schemas.openxmlformats.org/officeDocument/2006/relationships/hyperlink" Target="https://advance.lexis.com/api/document?collection=cases-ca&amp;id=urn:contentItem:5F7T-S781-JSC5-M4GD-00000-00&amp;context=" TargetMode="External" /><Relationship Id="rId634" Type="http://schemas.openxmlformats.org/officeDocument/2006/relationships/hyperlink" Target="https://advance.lexis.com/api/document?collection=cases-ca&amp;id=urn:contentItem:5F7T-S771-F361-M1WV-00000-00&amp;context=" TargetMode="External" /><Relationship Id="rId635" Type="http://schemas.openxmlformats.org/officeDocument/2006/relationships/image" Target="media/image6.png" /><Relationship Id="rId636" Type="http://schemas.openxmlformats.org/officeDocument/2006/relationships/header" Target="header94.xml" /><Relationship Id="rId637" Type="http://schemas.openxmlformats.org/officeDocument/2006/relationships/header" Target="header95.xml" /><Relationship Id="rId638" Type="http://schemas.openxmlformats.org/officeDocument/2006/relationships/footer" Target="footer94.xml" /><Relationship Id="rId639" Type="http://schemas.openxmlformats.org/officeDocument/2006/relationships/footer" Target="footer95.xml" /><Relationship Id="rId64" Type="http://schemas.openxmlformats.org/officeDocument/2006/relationships/header" Target="header13.xml" /><Relationship Id="rId640" Type="http://schemas.openxmlformats.org/officeDocument/2006/relationships/header" Target="header96.xml" /><Relationship Id="rId641" Type="http://schemas.openxmlformats.org/officeDocument/2006/relationships/footer" Target="footer96.xml" /><Relationship Id="rId642" Type="http://schemas.openxmlformats.org/officeDocument/2006/relationships/hyperlink" Target="https://advance.lexis.com/api/document?collection=cases-ca&amp;id=urn:contentItem:5G8K-Y431-JWR6-S2CN-00000-00&amp;context=" TargetMode="External" /><Relationship Id="rId643" Type="http://schemas.openxmlformats.org/officeDocument/2006/relationships/hyperlink" Target="https://advance.lexis.com/api/document?collection=cases-ca&amp;id=urn:contentItem:5F7T-S7C1-JSRM-60TP-00000-00&amp;context=" TargetMode="External" /><Relationship Id="rId644" Type="http://schemas.openxmlformats.org/officeDocument/2006/relationships/hyperlink" Target="https://advance.lexis.com/api/document?collection=cases-ca&amp;id=urn:contentItem:5F7T-S7N1-JWR6-S2GP-00000-00&amp;context=" TargetMode="External" /><Relationship Id="rId645" Type="http://schemas.openxmlformats.org/officeDocument/2006/relationships/hyperlink" Target="https://advance.lexis.com/api/document?collection=cases-ca&amp;id=urn:contentItem:5F7T-S7P1-F2TK-2376-00000-00&amp;context=" TargetMode="External" /><Relationship Id="rId646" Type="http://schemas.openxmlformats.org/officeDocument/2006/relationships/hyperlink" Target="https://advance.lexis.com/api/document?collection=cases-ca&amp;id=urn:contentItem:5F7T-S7N1-JWR6-S25K-00000-00&amp;context=" TargetMode="External" /><Relationship Id="rId647" Type="http://schemas.openxmlformats.org/officeDocument/2006/relationships/hyperlink" Target="https://advance.lexis.com/api/document?collection=cases-ca&amp;id=urn:contentItem:5F7T-S7P1-JSJC-X1SJ-00000-00&amp;context=" TargetMode="External" /><Relationship Id="rId648" Type="http://schemas.openxmlformats.org/officeDocument/2006/relationships/hyperlink" Target="https://advance.lexis.com/api/document?collection=cases-ca&amp;id=urn:contentItem:5F7T-S7N1-F57G-S262-00000-00&amp;context=" TargetMode="External" /><Relationship Id="rId649" Type="http://schemas.openxmlformats.org/officeDocument/2006/relationships/hyperlink" Target="https://advance.lexis.com/api/document?collection=cases-ca&amp;id=urn:contentItem:5F7T-S7K1-JWXF-218V-00000-00&amp;context=" TargetMode="External" /><Relationship Id="rId65" Type="http://schemas.openxmlformats.org/officeDocument/2006/relationships/header" Target="header14.xml" /><Relationship Id="rId650" Type="http://schemas.openxmlformats.org/officeDocument/2006/relationships/hyperlink" Target="https://advance.lexis.com/api/document?collection=cases-ca&amp;id=urn:contentItem:5F7T-S7K1-JKHB-62T2-00000-00&amp;context=" TargetMode="External" /><Relationship Id="rId651" Type="http://schemas.openxmlformats.org/officeDocument/2006/relationships/hyperlink" Target="https://advance.lexis.com/api/document?collection=cases-ca&amp;id=urn:contentItem:5F7T-S7D1-DY89-M4C9-00000-00&amp;context=" TargetMode="External" /><Relationship Id="rId652" Type="http://schemas.openxmlformats.org/officeDocument/2006/relationships/hyperlink" Target="https://advance.lexis.com/api/document?collection=cases-ca&amp;id=urn:contentItem:5F7T-S7K1-F1H1-21YC-00000-00&amp;context=" TargetMode="External" /><Relationship Id="rId653" Type="http://schemas.openxmlformats.org/officeDocument/2006/relationships/hyperlink" Target="https://advance.lexis.com/api/document?collection=cases-ca&amp;id=urn:contentItem:5F7T-S7P1-JSJC-X18M-00000-00&amp;context=" TargetMode="External" /><Relationship Id="rId654" Type="http://schemas.openxmlformats.org/officeDocument/2006/relationships/hyperlink" Target="https://advance.lexis.com/api/document?collection=cases-ca&amp;id=urn:contentItem:5G6F-0731-JSJC-X1B6-00000-00&amp;context=" TargetMode="External" /><Relationship Id="rId655" Type="http://schemas.openxmlformats.org/officeDocument/2006/relationships/hyperlink" Target="https://advance.lexis.com/api/document?collection=cases-ca&amp;id=urn:contentItem:5F7T-S7N1-JGHR-M3DR-00000-00&amp;context=" TargetMode="External" /><Relationship Id="rId656" Type="http://schemas.openxmlformats.org/officeDocument/2006/relationships/hyperlink" Target="https://advance.lexis.com/api/document?collection=cases-ca&amp;id=urn:contentItem:5F7T-S7J1-JNS1-M2G2-00000-00&amp;context=" TargetMode="External" /><Relationship Id="rId657" Type="http://schemas.openxmlformats.org/officeDocument/2006/relationships/hyperlink" Target="https://advance.lexis.com/api/document?collection=cases-ca&amp;id=urn:contentItem:5F7T-S7B1-F7ND-G50F-00000-00&amp;context=" TargetMode="External" /><Relationship Id="rId658" Type="http://schemas.openxmlformats.org/officeDocument/2006/relationships/hyperlink" Target="https://advance.lexis.com/api/document?collection=cases-ca&amp;id=urn:contentItem:5F7T-S731-DY33-B0YN-00000-00&amp;context=" TargetMode="External" /><Relationship Id="rId659" Type="http://schemas.openxmlformats.org/officeDocument/2006/relationships/hyperlink" Target="https://advance.lexis.com/api/document?collection=cases-ca&amp;id=urn:contentItem:5F7T-S7M1-DYMS-62FG-00000-00&amp;context=" TargetMode="External" /><Relationship Id="rId66" Type="http://schemas.openxmlformats.org/officeDocument/2006/relationships/footer" Target="footer13.xml" /><Relationship Id="rId660" Type="http://schemas.openxmlformats.org/officeDocument/2006/relationships/hyperlink" Target="https://advance.lexis.com/api/document?collection=cases-ca&amp;id=urn:contentItem:5F7T-S7M1-JCRC-B1SF-00000-00&amp;context=" TargetMode="External" /><Relationship Id="rId661" Type="http://schemas.openxmlformats.org/officeDocument/2006/relationships/hyperlink" Target="https://advance.lexis.com/api/document?collection=cases-ca&amp;id=urn:contentItem:5F7T-S7N1-JWR6-S235-00000-00&amp;context=" TargetMode="External" /><Relationship Id="rId662" Type="http://schemas.openxmlformats.org/officeDocument/2006/relationships/hyperlink" Target="https://advance.lexis.com/api/document?collection=cases-ca&amp;id=urn:contentItem:5F8T-N3V1-FC1F-M4BC-00000-00&amp;context=" TargetMode="External" /><Relationship Id="rId663" Type="http://schemas.openxmlformats.org/officeDocument/2006/relationships/image" Target="media/image7.jpeg" /><Relationship Id="rId664" Type="http://schemas.openxmlformats.org/officeDocument/2006/relationships/header" Target="header97.xml" /><Relationship Id="rId665" Type="http://schemas.openxmlformats.org/officeDocument/2006/relationships/header" Target="header98.xml" /><Relationship Id="rId666" Type="http://schemas.openxmlformats.org/officeDocument/2006/relationships/footer" Target="footer97.xml" /><Relationship Id="rId667" Type="http://schemas.openxmlformats.org/officeDocument/2006/relationships/footer" Target="footer98.xml" /><Relationship Id="rId668" Type="http://schemas.openxmlformats.org/officeDocument/2006/relationships/header" Target="header99.xml" /><Relationship Id="rId669" Type="http://schemas.openxmlformats.org/officeDocument/2006/relationships/footer" Target="footer99.xml" /><Relationship Id="rId67" Type="http://schemas.openxmlformats.org/officeDocument/2006/relationships/footer" Target="footer14.xml" /><Relationship Id="rId670" Type="http://schemas.openxmlformats.org/officeDocument/2006/relationships/hyperlink" Target="https://advance.lexis.com/api/document?collection=cases-ca&amp;id=urn:contentItem:5RK4-9231-JBM1-M38C-00000-00&amp;context=" TargetMode="External" /><Relationship Id="rId671" Type="http://schemas.openxmlformats.org/officeDocument/2006/relationships/hyperlink" Target="https://advance.lexis.com/api/document?collection=cases-ca&amp;id=urn:contentItem:5T05-70H1-F2MB-S088-00000-00&amp;context=" TargetMode="External" /><Relationship Id="rId672" Type="http://schemas.openxmlformats.org/officeDocument/2006/relationships/hyperlink" Target="https://advance.lexis.com/api/document?collection=cases-ca&amp;id=urn:contentItem:5R6N-V6G1-FGY5-M51K-00000-00&amp;context=" TargetMode="External" /><Relationship Id="rId673" Type="http://schemas.openxmlformats.org/officeDocument/2006/relationships/hyperlink" Target="https://advance.lexis.com/api/document?collection=cases-ca&amp;id=urn:contentItem:5F7T-S7C1-F7VM-S3T7-00000-00&amp;context=" TargetMode="External" /><Relationship Id="rId674" Type="http://schemas.openxmlformats.org/officeDocument/2006/relationships/hyperlink" Target="https://advance.lexis.com/api/document?collection=cases-ca&amp;id=urn:contentItem:5JH9-BW81-F22N-X486-00000-00&amp;context=" TargetMode="External" /><Relationship Id="rId675" Type="http://schemas.openxmlformats.org/officeDocument/2006/relationships/hyperlink" Target="https://advance.lexis.com/api/document?collection=cases-ca&amp;id=urn:contentItem:5MJ7-NBJ1-F1WF-M26W-00000-00&amp;context=" TargetMode="External" /><Relationship Id="rId676" Type="http://schemas.openxmlformats.org/officeDocument/2006/relationships/hyperlink" Target="https://advance.lexis.com/api/document?collection=cases-ca&amp;id=urn:contentItem:5PF4-4KK1-JJ6S-64SR-00000-00&amp;context=" TargetMode="External" /><Relationship Id="rId677" Type="http://schemas.openxmlformats.org/officeDocument/2006/relationships/hyperlink" Target="https://advance.lexis.com/api/document?collection=cases-ca&amp;id=urn:contentItem:5F7T-S7P1-JSJC-X1MC-00000-00&amp;context=" TargetMode="External" /><Relationship Id="rId678" Type="http://schemas.openxmlformats.org/officeDocument/2006/relationships/hyperlink" Target="https://advance.lexis.com/api/document?collection=cases-ca&amp;id=urn:contentItem:5F7T-S7C1-F7VM-S3NW-00000-00&amp;context=" TargetMode="External" /><Relationship Id="rId679" Type="http://schemas.openxmlformats.org/officeDocument/2006/relationships/header" Target="header100.xml" /><Relationship Id="rId68" Type="http://schemas.openxmlformats.org/officeDocument/2006/relationships/header" Target="header15.xml" /><Relationship Id="rId680" Type="http://schemas.openxmlformats.org/officeDocument/2006/relationships/header" Target="header101.xml" /><Relationship Id="rId681" Type="http://schemas.openxmlformats.org/officeDocument/2006/relationships/footer" Target="footer100.xml" /><Relationship Id="rId682" Type="http://schemas.openxmlformats.org/officeDocument/2006/relationships/footer" Target="footer101.xml" /><Relationship Id="rId683" Type="http://schemas.openxmlformats.org/officeDocument/2006/relationships/header" Target="header102.xml" /><Relationship Id="rId684" Type="http://schemas.openxmlformats.org/officeDocument/2006/relationships/footer" Target="footer102.xml" /><Relationship Id="rId685" Type="http://schemas.openxmlformats.org/officeDocument/2006/relationships/hyperlink" Target="https://advance.lexis.com/api/document?collection=cases-ca&amp;id=urn:contentItem:5K6Y-81M1-JJ1H-X30J-00000-00&amp;context=" TargetMode="External" /><Relationship Id="rId686" Type="http://schemas.openxmlformats.org/officeDocument/2006/relationships/hyperlink" Target="https://advance.lexis.com/api/document?collection=cases-ca&amp;id=urn:contentItem:5F7T-S771-F81W-22VB-00000-00&amp;context=" TargetMode="External" /><Relationship Id="rId687" Type="http://schemas.openxmlformats.org/officeDocument/2006/relationships/hyperlink" Target="https://advance.lexis.com/api/document?collection=legislation-ca&amp;id=urn:contentItem:5F41-1FG1-JJYN-B0DY-00000-00&amp;context=" TargetMode="External" /><Relationship Id="rId688" Type="http://schemas.openxmlformats.org/officeDocument/2006/relationships/hyperlink" Target="https://advance.lexis.com/api/document?collection=cases-ca&amp;id=urn:contentItem:5F8T-N3V1-FC1F-M432-00000-00&amp;context=" TargetMode="External" /><Relationship Id="rId689" Type="http://schemas.openxmlformats.org/officeDocument/2006/relationships/hyperlink" Target="https://advance.lexis.com/api/document?collection=cases-ca&amp;id=urn:contentItem:5F2P-NNM1-JCRC-B520-00000-00&amp;context=" TargetMode="External" /><Relationship Id="rId69" Type="http://schemas.openxmlformats.org/officeDocument/2006/relationships/footer" Target="footer15.xml" /><Relationship Id="rId690" Type="http://schemas.openxmlformats.org/officeDocument/2006/relationships/hyperlink" Target="https://advance.lexis.com/api/document?collection=cases-ca&amp;id=urn:contentItem:5F7T-S731-F016-S3G9-00000-00&amp;context=" TargetMode="External" /><Relationship Id="rId691" Type="http://schemas.openxmlformats.org/officeDocument/2006/relationships/hyperlink" Target="https://advance.lexis.com/api/document?collection=cases-ca&amp;id=urn:contentItem:5F7T-S6S1-JX3N-B0M7-00000-00&amp;context=" TargetMode="External" /><Relationship Id="rId692" Type="http://schemas.openxmlformats.org/officeDocument/2006/relationships/hyperlink" Target="https://advance.lexis.com/api/document?collection=cases-ca&amp;id=urn:contentItem:5F7T-S6Y1-F4GK-M1TG-00000-00&amp;context=" TargetMode="External" /><Relationship Id="rId693" Type="http://schemas.openxmlformats.org/officeDocument/2006/relationships/hyperlink" Target="https://advance.lexis.com/api/document?collection=cases-ca&amp;id=urn:contentItem:5F7T-S6X1-F7ND-G3R0-00000-00&amp;context=" TargetMode="External" /><Relationship Id="rId694" Type="http://schemas.openxmlformats.org/officeDocument/2006/relationships/hyperlink" Target="https://advance.lexis.com/api/document?collection=cases-ca&amp;id=urn:contentItem:5F7T-S751-JG02-S28K-00000-00&amp;context=" TargetMode="External" /><Relationship Id="rId695" Type="http://schemas.openxmlformats.org/officeDocument/2006/relationships/hyperlink" Target="https://advance.lexis.com/api/document?collection=cases-ca&amp;id=urn:contentItem:5F7T-S741-FJM6-61CT-00000-00&amp;context=" TargetMode="External" /><Relationship Id="rId696" Type="http://schemas.openxmlformats.org/officeDocument/2006/relationships/hyperlink" Target="https://advance.lexis.com/api/document?collection=cases-ca&amp;id=urn:contentItem:5F7T-S6W1-F7ND-G2MW-00000-00&amp;context=" TargetMode="External" /><Relationship Id="rId697" Type="http://schemas.openxmlformats.org/officeDocument/2006/relationships/hyperlink" Target="https://advance.lexis.com/api/document?collection=cases-ca&amp;id=urn:contentItem:5F7H-KW61-F7VM-S020-00000-00&amp;context=" TargetMode="External" /><Relationship Id="rId698" Type="http://schemas.openxmlformats.org/officeDocument/2006/relationships/hyperlink" Target="https://advance.lexis.com/api/document?collection=cases-ca&amp;id=urn:contentItem:5F8T-N3V1-JF75-M3KC-00000-00&amp;context=" TargetMode="External" /><Relationship Id="rId699" Type="http://schemas.openxmlformats.org/officeDocument/2006/relationships/hyperlink" Target="https://advance.lexis.com/api/document?collection=cases-ca&amp;id=urn:contentItem:5F7T-S721-JSC5-M3H3-00000-00&amp;context=" TargetMode="External" /><Relationship Id="rId7" Type="http://schemas.openxmlformats.org/officeDocument/2006/relationships/footer" Target="footer2.xml" /><Relationship Id="rId70" Type="http://schemas.openxmlformats.org/officeDocument/2006/relationships/hyperlink" Target="https://advance.lexis.com/api/document?collection=cases-ca&amp;id=urn:contentItem:5WCH-7DY1-DYFH-X1DH-00000-00&amp;context=" TargetMode="External" /><Relationship Id="rId700" Type="http://schemas.openxmlformats.org/officeDocument/2006/relationships/hyperlink" Target="https://advance.lexis.com/api/document?collection=cases-ca&amp;id=urn:contentItem:5F7T-S741-F2F4-G2BN-00000-00&amp;context=" TargetMode="External" /><Relationship Id="rId701" Type="http://schemas.openxmlformats.org/officeDocument/2006/relationships/hyperlink" Target="https://advance.lexis.com/api/document?collection=cases-ca&amp;id=urn:contentItem:5F8P-SD31-JC5P-G220-00000-00&amp;context=" TargetMode="External" /><Relationship Id="rId702" Type="http://schemas.openxmlformats.org/officeDocument/2006/relationships/hyperlink" Target="https://advance.lexis.com/api/document?collection=cases-ca&amp;id=urn:contentItem:5F8T-N3R1-JNS1-M12X-00000-00&amp;context=" TargetMode="External" /><Relationship Id="rId703" Type="http://schemas.openxmlformats.org/officeDocument/2006/relationships/hyperlink" Target="https://advance.lexis.com/api/document?collection=cases-ca&amp;id=urn:contentItem:5F8T-N3R1-FJDY-X2VJ-00000-00&amp;context=" TargetMode="External" /><Relationship Id="rId704" Type="http://schemas.openxmlformats.org/officeDocument/2006/relationships/hyperlink" Target="https://advance.lexis.com/api/document?collection=cases-ca&amp;id=urn:contentItem:5F81-VJX1-F5KY-B3WB-00000-00&amp;context=" TargetMode="External" /><Relationship Id="rId705" Type="http://schemas.openxmlformats.org/officeDocument/2006/relationships/hyperlink" Target="https://advance.lexis.com/api/document?collection=cases-ca&amp;id=urn:contentItem:5F81-VJX1-JX3N-B1ST-00000-00&amp;context=" TargetMode="External" /><Relationship Id="rId706" Type="http://schemas.openxmlformats.org/officeDocument/2006/relationships/hyperlink" Target="https://advance.lexis.com/api/document?collection=cases-ca&amp;id=urn:contentItem:5F81-VJX1-F5KY-B439-00000-00&amp;context=" TargetMode="External" /><Relationship Id="rId707" Type="http://schemas.openxmlformats.org/officeDocument/2006/relationships/hyperlink" Target="https://advance.lexis.com/api/document?collection=cases-ca&amp;id=urn:contentItem:5K6Y-81K1-JC0G-61R5-00000-00&amp;context=" TargetMode="External" /><Relationship Id="rId708" Type="http://schemas.openxmlformats.org/officeDocument/2006/relationships/hyperlink" Target="https://advance.lexis.com/api/document?collection=cases-ca&amp;id=urn:contentItem:5F81-VJT1-FD4T-B2CW-00000-00&amp;context=" TargetMode="External" /><Relationship Id="rId709" Type="http://schemas.openxmlformats.org/officeDocument/2006/relationships/hyperlink" Target="https://advance.lexis.com/api/document?collection=cases-ca&amp;id=urn:contentItem:5F7H-KW51-JGHR-M0X3-00000-00&amp;context=" TargetMode="External" /><Relationship Id="rId71" Type="http://schemas.openxmlformats.org/officeDocument/2006/relationships/hyperlink" Target="https://advance.lexis.com/api/document?collection=cases-ca&amp;id=urn:contentItem:5J58-W6W1-FG12-61N9-00000-00&amp;context=" TargetMode="External" /><Relationship Id="rId710" Type="http://schemas.openxmlformats.org/officeDocument/2006/relationships/hyperlink" Target="https://advance.lexis.com/api/document?collection=cases-ca&amp;id=urn:contentItem:5F81-VJS1-JN6B-S3GW-00000-00&amp;context=" TargetMode="External" /><Relationship Id="rId711" Type="http://schemas.openxmlformats.org/officeDocument/2006/relationships/hyperlink" Target="https://advance.lexis.com/api/document?collection=cases-ca&amp;id=urn:contentItem:5F7T-S711-FJDY-X39R-00000-00&amp;context=" TargetMode="External" /><Relationship Id="rId712" Type="http://schemas.openxmlformats.org/officeDocument/2006/relationships/hyperlink" Target="https://advance.lexis.com/api/document?collection=cases-ca&amp;id=urn:contentItem:5F7T-S751-F361-M15T-00000-00&amp;context=" TargetMode="External" /><Relationship Id="rId713" Type="http://schemas.openxmlformats.org/officeDocument/2006/relationships/hyperlink" Target="https://advance.lexis.com/api/document?collection=cases-ca&amp;id=urn:contentItem:5K6Y-81M1-JBM1-M22M-00000-00&amp;context=" TargetMode="External" /><Relationship Id="rId714" Type="http://schemas.openxmlformats.org/officeDocument/2006/relationships/hyperlink" Target="https://advance.lexis.com/api/document?collection=cases-ca&amp;id=urn:contentItem:5F7T-S741-F57G-S1RY-00000-00&amp;context=" TargetMode="External" /><Relationship Id="rId715" Type="http://schemas.openxmlformats.org/officeDocument/2006/relationships/hyperlink" Target="https://advance.lexis.com/api/document?collection=cases-ca&amp;id=urn:contentItem:5F7T-S751-JG02-S2HK-00000-00&amp;context=" TargetMode="External" /><Relationship Id="rId716" Type="http://schemas.openxmlformats.org/officeDocument/2006/relationships/header" Target="header103.xml" /><Relationship Id="rId717" Type="http://schemas.openxmlformats.org/officeDocument/2006/relationships/header" Target="header104.xml" /><Relationship Id="rId718" Type="http://schemas.openxmlformats.org/officeDocument/2006/relationships/footer" Target="footer103.xml" /><Relationship Id="rId719" Type="http://schemas.openxmlformats.org/officeDocument/2006/relationships/footer" Target="footer104.xml" /><Relationship Id="rId72" Type="http://schemas.openxmlformats.org/officeDocument/2006/relationships/hyperlink" Target="https://advance.lexis.com/api/document?collection=cases-ca&amp;id=urn:contentItem:5F7T-S7F1-JBT7-X35F-00000-00&amp;context=" TargetMode="External" /><Relationship Id="rId720" Type="http://schemas.openxmlformats.org/officeDocument/2006/relationships/header" Target="header105.xml" /><Relationship Id="rId721" Type="http://schemas.openxmlformats.org/officeDocument/2006/relationships/footer" Target="footer105.xml" /><Relationship Id="rId722" Type="http://schemas.openxmlformats.org/officeDocument/2006/relationships/hyperlink" Target="https://advance.lexis.com/api/document?collection=cases-ca&amp;id=urn:contentItem:5MS1-JVC1-F7VM-S3T1-00000-00&amp;context=" TargetMode="External" /><Relationship Id="rId723" Type="http://schemas.openxmlformats.org/officeDocument/2006/relationships/hyperlink" Target="https://advance.lexis.com/api/document?collection=legislation-ca&amp;id=urn:contentItem:5VYK-WB21-FBN1-24MH-00000-00&amp;context=" TargetMode="External" /><Relationship Id="rId724" Type="http://schemas.openxmlformats.org/officeDocument/2006/relationships/hyperlink" Target="https://advance.lexis.com/api/document?collection=cases-ca&amp;id=urn:contentItem:5JM8-YV01-F22N-X0TF-00000-00&amp;context=" TargetMode="External" /><Relationship Id="rId725" Type="http://schemas.openxmlformats.org/officeDocument/2006/relationships/hyperlink" Target="https://advance.lexis.com/api/document?collection=cases-ca&amp;id=urn:contentItem:5F8T-N3V1-FC1F-M49K-00000-00&amp;context=" TargetMode="External" /><Relationship Id="rId726" Type="http://schemas.openxmlformats.org/officeDocument/2006/relationships/hyperlink" Target="https://advance.lexis.com/api/document?collection=cases-ca&amp;id=urn:contentItem:5F8W-M421-JCJ5-23SX-00000-00&amp;context=" TargetMode="External" /><Relationship Id="rId727" Type="http://schemas.openxmlformats.org/officeDocument/2006/relationships/hyperlink" Target="https://advance.lexis.com/api/document?collection=cases-ca&amp;id=urn:contentItem:5F81-VJY1-JWBS-64NS-00000-00&amp;context=" TargetMode="External" /><Relationship Id="rId728" Type="http://schemas.openxmlformats.org/officeDocument/2006/relationships/hyperlink" Target="https://advance.lexis.com/api/document?collection=cases-ca&amp;id=urn:contentItem:5F8P-SF51-JK4W-M4CS-00000-00&amp;context=" TargetMode="External" /><Relationship Id="rId729" Type="http://schemas.openxmlformats.org/officeDocument/2006/relationships/hyperlink" Target="https://advance.lexis.com/api/document?collection=cases-ca&amp;id=urn:contentItem:5F7T-S7K1-JNY7-X4NP-00000-00&amp;context=" TargetMode="External" /><Relationship Id="rId73" Type="http://schemas.openxmlformats.org/officeDocument/2006/relationships/hyperlink" Target="https://advance.lexis.com/api/document?collection=cases-ca&amp;id=urn:contentItem:5F7T-S7K1-F1H1-22DB-00000-00&amp;context=" TargetMode="External" /><Relationship Id="rId730" Type="http://schemas.openxmlformats.org/officeDocument/2006/relationships/hyperlink" Target="https://advance.lexis.com/api/document?collection=cases-ca&amp;id=urn:contentItem:5F8N-K751-F528-G282-00000-00&amp;context=" TargetMode="External" /><Relationship Id="rId731" Type="http://schemas.openxmlformats.org/officeDocument/2006/relationships/hyperlink" Target="https://advance.lexis.com/api/document?collection=cases-ca&amp;id=urn:contentItem:5F7T-S7N1-JGHR-M35K-00000-00&amp;context=" TargetMode="External" /><Relationship Id="rId732" Type="http://schemas.openxmlformats.org/officeDocument/2006/relationships/hyperlink" Target="https://advance.lexis.com/api/document?collection=cases-ca&amp;id=urn:contentItem:5F82-1SJ1-F7VM-S54R-00000-00&amp;context=" TargetMode="External" /><Relationship Id="rId733" Type="http://schemas.openxmlformats.org/officeDocument/2006/relationships/hyperlink" Target="https://advance.lexis.com/api/document?collection=cases-ca&amp;id=urn:contentItem:5F7V-3DK1-JW5H-X361-00000-00&amp;context=" TargetMode="External" /><Relationship Id="rId734" Type="http://schemas.openxmlformats.org/officeDocument/2006/relationships/hyperlink" Target="https://advance.lexis.com/api/document?collection=cases-ca&amp;id=urn:contentItem:5F8T-N3T1-JFKM-652M-00000-00&amp;context=" TargetMode="External" /><Relationship Id="rId735" Type="http://schemas.openxmlformats.org/officeDocument/2006/relationships/hyperlink" Target="https://advance.lexis.com/api/document?collection=cases-ca&amp;id=urn:contentItem:5F8T-N3V1-FC1F-M44F-00000-00&amp;context=" TargetMode="External" /><Relationship Id="rId736" Type="http://schemas.openxmlformats.org/officeDocument/2006/relationships/hyperlink" Target="https://advance.lexis.com/api/document?collection=cases-ca&amp;id=urn:contentItem:5F81-VJY1-FBN1-22MG-00000-00&amp;context=" TargetMode="External" /><Relationship Id="rId737" Type="http://schemas.openxmlformats.org/officeDocument/2006/relationships/hyperlink" Target="https://advance.lexis.com/api/document?collection=cases-ca&amp;id=urn:contentItem:5F82-1SH1-F8KH-X26P-00000-00&amp;context=" TargetMode="External" /><Relationship Id="rId738" Type="http://schemas.openxmlformats.org/officeDocument/2006/relationships/hyperlink" Target="https://advance.lexis.com/api/document?collection=cases-ca&amp;id=urn:contentItem:5GM0-J411-JJYN-B3Y1-00000-00&amp;context=" TargetMode="External" /><Relationship Id="rId739" Type="http://schemas.openxmlformats.org/officeDocument/2006/relationships/hyperlink" Target="https://advance.lexis.com/api/document?collection=cases-ca&amp;id=urn:contentItem:5F81-VJY1-JPGX-S4WK-00000-00&amp;context=" TargetMode="External" /><Relationship Id="rId74" Type="http://schemas.openxmlformats.org/officeDocument/2006/relationships/hyperlink" Target="https://advance.lexis.com/api/document?collection=cases-ca&amp;id=urn:contentItem:5F7T-S7D1-F7ND-G0FM-00000-00&amp;context=" TargetMode="External" /><Relationship Id="rId740" Type="http://schemas.openxmlformats.org/officeDocument/2006/relationships/hyperlink" Target="https://advance.lexis.com/api/document?collection=cases-ca&amp;id=urn:contentItem:5F7T-S771-JSJC-X0C4-00000-00&amp;context=" TargetMode="External" /><Relationship Id="rId741" Type="http://schemas.openxmlformats.org/officeDocument/2006/relationships/hyperlink" Target="https://advance.lexis.com/api/document?collection=cases-ca&amp;id=urn:contentItem:5F7T-S7F1-FBN1-21XT-00000-00&amp;context=" TargetMode="External" /><Relationship Id="rId742" Type="http://schemas.openxmlformats.org/officeDocument/2006/relationships/header" Target="header106.xml" /><Relationship Id="rId743" Type="http://schemas.openxmlformats.org/officeDocument/2006/relationships/header" Target="header107.xml" /><Relationship Id="rId744" Type="http://schemas.openxmlformats.org/officeDocument/2006/relationships/footer" Target="footer106.xml" /><Relationship Id="rId745" Type="http://schemas.openxmlformats.org/officeDocument/2006/relationships/footer" Target="footer107.xml" /><Relationship Id="rId746" Type="http://schemas.openxmlformats.org/officeDocument/2006/relationships/header" Target="header108.xml" /><Relationship Id="rId747" Type="http://schemas.openxmlformats.org/officeDocument/2006/relationships/footer" Target="footer108.xml" /><Relationship Id="rId748" Type="http://schemas.openxmlformats.org/officeDocument/2006/relationships/hyperlink" Target="https://advance.lexis.com/api/document?collection=cases-ca&amp;id=urn:contentItem:5GSP-CPF1-JB7K-2004-00000-00&amp;context=" TargetMode="External" /><Relationship Id="rId749" Type="http://schemas.openxmlformats.org/officeDocument/2006/relationships/hyperlink" Target="https://advance.lexis.com/api/document?collection=legislation-ca&amp;id=urn:contentItem:5F3B-B9X1-FFMK-M0D4-00000-00&amp;context=" TargetMode="External" /><Relationship Id="rId75" Type="http://schemas.openxmlformats.org/officeDocument/2006/relationships/hyperlink" Target="https://advance.lexis.com/api/document?collection=cases-ca&amp;id=urn:contentItem:5F7T-S6T1-JTNR-M2MX-00000-00&amp;context=" TargetMode="External" /><Relationship Id="rId750" Type="http://schemas.openxmlformats.org/officeDocument/2006/relationships/hyperlink" Target="https://advance.lexis.com/api/document?collection=legislation-ca&amp;id=urn:contentItem:5F41-1FN1-JBDT-B0J5-00000-00&amp;context=" TargetMode="External" /><Relationship Id="rId751" Type="http://schemas.openxmlformats.org/officeDocument/2006/relationships/hyperlink" Target="https://advance.lexis.com/api/document?collection=cases-ca&amp;id=urn:contentItem:5F7T-S7M1-F4W2-62JV-00000-00&amp;context=" TargetMode="External" /><Relationship Id="rId752" Type="http://schemas.openxmlformats.org/officeDocument/2006/relationships/hyperlink" Target="https://advance.lexis.com/api/document?collection=cases-ca&amp;id=urn:contentItem:5F7T-S7P1-JCRC-B2GR-00000-00&amp;context=" TargetMode="External" /><Relationship Id="rId753" Type="http://schemas.openxmlformats.org/officeDocument/2006/relationships/hyperlink" Target="https://advance.lexis.com/api/document?collection=cases-ca&amp;id=urn:contentItem:5F7T-S7P1-JNJT-B2VD-00000-00&amp;context=" TargetMode="External" /><Relationship Id="rId754" Type="http://schemas.openxmlformats.org/officeDocument/2006/relationships/hyperlink" Target="https://advance.lexis.com/api/document?collection=cases-ca&amp;id=urn:contentItem:5F7T-S7J1-JYYX-621K-00000-00&amp;context=" TargetMode="External" /><Relationship Id="rId755" Type="http://schemas.openxmlformats.org/officeDocument/2006/relationships/hyperlink" Target="https://advance.lexis.com/api/document?collection=legislation-ca&amp;id=urn:contentItem:5VYK-WB51-K054-G4Y8-00000-00&amp;context=" TargetMode="External" /><Relationship Id="rId756" Type="http://schemas.openxmlformats.org/officeDocument/2006/relationships/hyperlink" Target="https://advance.lexis.com/api/document?collection=cases-ca&amp;id=urn:contentItem:5F7T-S7F1-FJTD-G3CT-00000-00&amp;context=" TargetMode="External" /><Relationship Id="rId757" Type="http://schemas.openxmlformats.org/officeDocument/2006/relationships/hyperlink" Target="https://advance.lexis.com/api/document?collection=cases-ca&amp;id=urn:contentItem:5F7T-S6T1-F361-M02B-00000-00&amp;context=" TargetMode="External" /><Relationship Id="rId758" Type="http://schemas.openxmlformats.org/officeDocument/2006/relationships/hyperlink" Target="https://advance.lexis.com/api/document?collection=cases-ca&amp;id=urn:contentItem:5F7T-S7C1-JSRM-60TH-00000-00&amp;context=" TargetMode="External" /><Relationship Id="rId759" Type="http://schemas.openxmlformats.org/officeDocument/2006/relationships/hyperlink" Target="https://advance.lexis.com/api/document?collection=cases-ca&amp;id=urn:contentItem:5F7H-KW71-JFDC-X04P-00000-00&amp;context=" TargetMode="External" /><Relationship Id="rId76" Type="http://schemas.openxmlformats.org/officeDocument/2006/relationships/hyperlink" Target="https://advance.lexis.com/api/document?collection=cases-ca&amp;id=urn:contentItem:5F7T-S771-JN14-G2DF-00000-00&amp;context=" TargetMode="External" /><Relationship Id="rId760" Type="http://schemas.openxmlformats.org/officeDocument/2006/relationships/hyperlink" Target="https://advance.lexis.com/api/document?collection=cases-ca&amp;id=urn:contentItem:5F7T-S7H1-JFKM-6275-00000-00&amp;context=" TargetMode="External" /><Relationship Id="rId761" Type="http://schemas.openxmlformats.org/officeDocument/2006/relationships/hyperlink" Target="https://advance.lexis.com/api/document?collection=cases-ca&amp;id=urn:contentItem:5F7T-S7C1-F4NT-X44M-00000-00&amp;context=" TargetMode="External" /><Relationship Id="rId762" Type="http://schemas.openxmlformats.org/officeDocument/2006/relationships/hyperlink" Target="https://advance.lexis.com/api/document?collection=cases-ca&amp;id=urn:contentItem:5F8P-SBV1-DXWW-2288-00000-00&amp;context=" TargetMode="External" /><Relationship Id="rId763" Type="http://schemas.openxmlformats.org/officeDocument/2006/relationships/hyperlink" Target="https://advance.lexis.com/api/document?collection=cases-ca&amp;id=urn:contentItem:5F8T-N3V1-JTGH-B0YP-00000-00&amp;context=" TargetMode="External" /><Relationship Id="rId764" Type="http://schemas.openxmlformats.org/officeDocument/2006/relationships/header" Target="header109.xml" /><Relationship Id="rId765" Type="http://schemas.openxmlformats.org/officeDocument/2006/relationships/header" Target="header110.xml" /><Relationship Id="rId766" Type="http://schemas.openxmlformats.org/officeDocument/2006/relationships/footer" Target="footer109.xml" /><Relationship Id="rId767" Type="http://schemas.openxmlformats.org/officeDocument/2006/relationships/footer" Target="footer110.xml" /><Relationship Id="rId768" Type="http://schemas.openxmlformats.org/officeDocument/2006/relationships/header" Target="header111.xml" /><Relationship Id="rId769" Type="http://schemas.openxmlformats.org/officeDocument/2006/relationships/footer" Target="footer111.xml" /><Relationship Id="rId77" Type="http://schemas.openxmlformats.org/officeDocument/2006/relationships/hyperlink" Target="https://advance.lexis.com/api/document?collection=cases-ca&amp;id=urn:contentItem:5F7T-S741-F528-G21K-00000-00&amp;context=" TargetMode="External" /><Relationship Id="rId770" Type="http://schemas.openxmlformats.org/officeDocument/2006/relationships/hyperlink" Target="https://advance.lexis.com/api/document?collection=cases-ca&amp;id=urn:contentItem:5F7T-S7M1-JPP5-22WX-00000-00&amp;context=" TargetMode="External" /><Relationship Id="rId771" Type="http://schemas.openxmlformats.org/officeDocument/2006/relationships/hyperlink" Target="https://advance.lexis.com/api/document?collection=cases-ca&amp;id=urn:contentItem:5F8T-N3S1-JBDT-B05R-00000-00&amp;context=" TargetMode="External" /><Relationship Id="rId772" Type="http://schemas.openxmlformats.org/officeDocument/2006/relationships/hyperlink" Target="https://advance.lexis.com/api/document?collection=cases-ca&amp;id=urn:contentItem:5F8T-N3V1-JF75-M3GV-00000-00&amp;context=" TargetMode="External" /><Relationship Id="rId773" Type="http://schemas.openxmlformats.org/officeDocument/2006/relationships/hyperlink" Target="https://advance.lexis.com/api/document?collection=cases-ca&amp;id=urn:contentItem:5F8T-N3V1-FC1F-M47J-00000-00&amp;context=" TargetMode="External" /><Relationship Id="rId774" Type="http://schemas.openxmlformats.org/officeDocument/2006/relationships/hyperlink" Target="https://advance.lexis.com/api/document?collection=cases-ca&amp;id=urn:contentItem:5F7T-S7M1-JJK6-S1YW-00000-00&amp;context=" TargetMode="External" /><Relationship Id="rId775" Type="http://schemas.openxmlformats.org/officeDocument/2006/relationships/hyperlink" Target="https://advance.lexis.com/api/document?collection=cases-ca&amp;id=urn:contentItem:5F82-1SJ1-JBDT-B4G4-00000-00&amp;context=" TargetMode="External" /><Relationship Id="rId776" Type="http://schemas.openxmlformats.org/officeDocument/2006/relationships/hyperlink" Target="https://advance.lexis.com/api/document?collection=cases-ca&amp;id=urn:contentItem:5F7T-S7G1-JPP5-2210-00000-00&amp;context=" TargetMode="External" /><Relationship Id="rId777" Type="http://schemas.openxmlformats.org/officeDocument/2006/relationships/hyperlink" Target="https://advance.lexis.com/api/document?collection=cases-ca&amp;id=urn:contentItem:5F7T-S7G1-FCYK-208M-00000-00&amp;context=" TargetMode="External" /><Relationship Id="rId778" Type="http://schemas.openxmlformats.org/officeDocument/2006/relationships/hyperlink" Target="https://advance.lexis.com/api/document?collection=cases-ca&amp;id=urn:contentItem:5F7T-S7F1-DXWW-24FM-00000-00&amp;context=" TargetMode="External" /><Relationship Id="rId779" Type="http://schemas.openxmlformats.org/officeDocument/2006/relationships/hyperlink" Target="https://advance.lexis.com/api/document?collection=cases-ca&amp;id=urn:contentItem:5F7T-S7K1-JNY7-X4R5-00000-00&amp;context=" TargetMode="External" /><Relationship Id="rId78" Type="http://schemas.openxmlformats.org/officeDocument/2006/relationships/hyperlink" Target="https://advance.lexis.com/api/document?collection=cases-ca&amp;id=urn:contentItem:5F7T-S751-JBM1-M227-00000-00&amp;context=" TargetMode="External" /><Relationship Id="rId780" Type="http://schemas.openxmlformats.org/officeDocument/2006/relationships/hyperlink" Target="https://advance.lexis.com/api/document?collection=cases-ca&amp;id=urn:contentItem:5F82-1SJ1-F900-G228-00000-00&amp;context=" TargetMode="External" /><Relationship Id="rId781" Type="http://schemas.openxmlformats.org/officeDocument/2006/relationships/hyperlink" Target="https://advance.lexis.com/api/document?collection=cases-ca&amp;id=urn:contentItem:5F7T-S7J1-JYYX-624T-00000-00&amp;context=" TargetMode="External" /><Relationship Id="rId782" Type="http://schemas.openxmlformats.org/officeDocument/2006/relationships/hyperlink" Target="https://advance.lexis.com/api/document?collection=cases-ca&amp;id=urn:contentItem:5F8T-N3R1-FBV7-B0H9-00000-00&amp;context=" TargetMode="External" /><Relationship Id="rId783" Type="http://schemas.openxmlformats.org/officeDocument/2006/relationships/header" Target="header112.xml" /><Relationship Id="rId784" Type="http://schemas.openxmlformats.org/officeDocument/2006/relationships/header" Target="header113.xml" /><Relationship Id="rId785" Type="http://schemas.openxmlformats.org/officeDocument/2006/relationships/footer" Target="footer112.xml" /><Relationship Id="rId786" Type="http://schemas.openxmlformats.org/officeDocument/2006/relationships/footer" Target="footer113.xml" /><Relationship Id="rId787" Type="http://schemas.openxmlformats.org/officeDocument/2006/relationships/header" Target="header114.xml" /><Relationship Id="rId788" Type="http://schemas.openxmlformats.org/officeDocument/2006/relationships/footer" Target="footer114.xml" /><Relationship Id="rId789" Type="http://schemas.openxmlformats.org/officeDocument/2006/relationships/hyperlink" Target="https://advance.lexis.com/api/document?collection=cases-ca&amp;id=urn:contentItem:5F7T-S7D1-FFFC-B1B0-00000-00&amp;context=" TargetMode="External" /><Relationship Id="rId79" Type="http://schemas.openxmlformats.org/officeDocument/2006/relationships/hyperlink" Target="https://advance.lexis.com/api/document?collection=cases-ca&amp;id=urn:contentItem:5F7T-S7G1-JPP5-2239-00000-00&amp;context=" TargetMode="External" /><Relationship Id="rId790" Type="http://schemas.openxmlformats.org/officeDocument/2006/relationships/hyperlink" Target="https://advance.lexis.com/api/document?collection=cases-ca&amp;id=urn:contentItem:5K6Y-81M1-F65M-61H4-00000-00&amp;context=" TargetMode="External" /><Relationship Id="rId791" Type="http://schemas.openxmlformats.org/officeDocument/2006/relationships/hyperlink" Target="https://advance.lexis.com/api/document?collection=legislation-ca&amp;id=urn:contentItem:5F41-1FG1-JJYN-B04P-00000-00&amp;context=" TargetMode="External" /><Relationship Id="rId792" Type="http://schemas.openxmlformats.org/officeDocument/2006/relationships/hyperlink" Target="https://advance.lexis.com/api/document?collection=cases-ca&amp;id=urn:contentItem:5F7T-S741-DXPM-S10D-00000-00&amp;context=" TargetMode="External" /><Relationship Id="rId793" Type="http://schemas.openxmlformats.org/officeDocument/2006/relationships/hyperlink" Target="https://advance.lexis.com/api/document?collection=cases-ca&amp;id=urn:contentItem:5F7T-S741-DY89-M3T0-00000-00&amp;context=" TargetMode="External" /><Relationship Id="rId794" Type="http://schemas.openxmlformats.org/officeDocument/2006/relationships/hyperlink" Target="https://advance.lexis.com/api/document?collection=cases-ca&amp;id=urn:contentItem:5F7T-S7C1-F4NT-X42R-00000-00&amp;context=" TargetMode="External" /><Relationship Id="rId795" Type="http://schemas.openxmlformats.org/officeDocument/2006/relationships/hyperlink" Target="https://advance.lexis.com/api/document?collection=cases-ca&amp;id=urn:contentItem:5F7T-S761-JS5Y-B1F1-00000-00&amp;context=" TargetMode="External" /><Relationship Id="rId796" Type="http://schemas.openxmlformats.org/officeDocument/2006/relationships/hyperlink" Target="https://advance.lexis.com/api/document?collection=cases-ca&amp;id=urn:contentItem:5F7T-S7B1-JSRM-608T-00000-00&amp;context=" TargetMode="External" /><Relationship Id="rId797" Type="http://schemas.openxmlformats.org/officeDocument/2006/relationships/hyperlink" Target="https://advance.lexis.com/api/document?collection=cases-ca&amp;id=urn:contentItem:5F7T-S741-F57G-S1MR-00000-00&amp;context=" TargetMode="External" /><Relationship Id="rId798" Type="http://schemas.openxmlformats.org/officeDocument/2006/relationships/hyperlink" Target="https://advance.lexis.com/api/document?collection=cases-ca&amp;id=urn:contentItem:5F81-WC31-F5KY-B4VS-00000-00&amp;context=" TargetMode="External" /><Relationship Id="rId799" Type="http://schemas.openxmlformats.org/officeDocument/2006/relationships/hyperlink" Target="https://advance.lexis.com/api/document?collection=cases-ca&amp;id=urn:contentItem:5F7T-S6X1-FJDY-X16X-00000-00&amp;context=" TargetMode="External" /><Relationship Id="rId8" Type="http://schemas.openxmlformats.org/officeDocument/2006/relationships/header" Target="header3.xml" /><Relationship Id="rId80" Type="http://schemas.openxmlformats.org/officeDocument/2006/relationships/hyperlink" Target="https://advance.lexis.com/api/document?collection=cases-ca&amp;id=urn:contentItem:5F7T-S6X1-F7ND-G3V4-00000-00&amp;context=" TargetMode="External" /><Relationship Id="rId800" Type="http://schemas.openxmlformats.org/officeDocument/2006/relationships/hyperlink" Target="https://advance.lexis.com/api/document?collection=cases-ca&amp;id=urn:contentItem:5F7T-S701-JK4W-M150-00000-00&amp;context=" TargetMode="External" /><Relationship Id="rId801" Type="http://schemas.openxmlformats.org/officeDocument/2006/relationships/header" Target="header115.xml" /><Relationship Id="rId802" Type="http://schemas.openxmlformats.org/officeDocument/2006/relationships/header" Target="header116.xml" /><Relationship Id="rId803" Type="http://schemas.openxmlformats.org/officeDocument/2006/relationships/footer" Target="footer115.xml" /><Relationship Id="rId804" Type="http://schemas.openxmlformats.org/officeDocument/2006/relationships/footer" Target="footer116.xml" /><Relationship Id="rId805" Type="http://schemas.openxmlformats.org/officeDocument/2006/relationships/header" Target="header117.xml" /><Relationship Id="rId806" Type="http://schemas.openxmlformats.org/officeDocument/2006/relationships/footer" Target="footer117.xml" /><Relationship Id="rId807" Type="http://schemas.openxmlformats.org/officeDocument/2006/relationships/hyperlink" Target="https://advance.lexis.com/api/document?collection=cases-ca&amp;id=urn:contentItem:5F7T-S7N1-DXWW-20BH-00000-00&amp;context=" TargetMode="External" /><Relationship Id="rId808" Type="http://schemas.openxmlformats.org/officeDocument/2006/relationships/hyperlink" Target="https://advance.lexis.com/api/document?collection=legislation-ca&amp;id=urn:contentItem:5F41-1FH1-F361-M0FY-00000-00&amp;context=" TargetMode="External" /><Relationship Id="rId809" Type="http://schemas.openxmlformats.org/officeDocument/2006/relationships/hyperlink" Target="https://advance.lexis.com/api/document?collection=cases-ca&amp;id=urn:contentItem:5F7T-S771-F81W-22DR-00000-00&amp;context=" TargetMode="External" /><Relationship Id="rId81" Type="http://schemas.openxmlformats.org/officeDocument/2006/relationships/hyperlink" Target="https://advance.lexis.com/api/document?collection=cases-ca&amp;id=urn:contentItem:5F7T-S761-FGJR-22F0-00000-00&amp;context=" TargetMode="External" /><Relationship Id="rId810" Type="http://schemas.openxmlformats.org/officeDocument/2006/relationships/hyperlink" Target="https://advance.lexis.com/api/document?collection=cases-ca&amp;id=urn:contentItem:5F7T-S721-JSC5-M3F8-00000-00&amp;context=" TargetMode="External" /><Relationship Id="rId811" Type="http://schemas.openxmlformats.org/officeDocument/2006/relationships/hyperlink" Target="https://advance.lexis.com/api/document?collection=cases-ca&amp;id=urn:contentItem:5F8T-N3R1-FBV7-B04P-00000-00&amp;context=" TargetMode="External" /><Relationship Id="rId812" Type="http://schemas.openxmlformats.org/officeDocument/2006/relationships/hyperlink" Target="https://advance.lexis.com/api/document?collection=cases-ca&amp;id=urn:contentItem:5F7T-S781-F27X-618S-00000-00&amp;context=" TargetMode="External" /><Relationship Id="rId813" Type="http://schemas.openxmlformats.org/officeDocument/2006/relationships/hyperlink" Target="https://advance.lexis.com/api/document?collection=cases-ca&amp;id=urn:contentItem:5F7T-S731-FG12-62J7-00000-00&amp;context=" TargetMode="External" /><Relationship Id="rId814" Type="http://schemas.openxmlformats.org/officeDocument/2006/relationships/hyperlink" Target="https://advance.lexis.com/api/document?collection=cases-ca&amp;id=urn:contentItem:5XR8-3W11-JPP5-2528-00000-00&amp;context=" TargetMode="External" /><Relationship Id="rId815" Type="http://schemas.openxmlformats.org/officeDocument/2006/relationships/hyperlink" Target="https://advance.lexis.com/api/document?collection=cases-ca&amp;id=urn:contentItem:5F7T-S6Y1-F65M-60F4-00000-00&amp;context=" TargetMode="External" /><Relationship Id="rId816" Type="http://schemas.openxmlformats.org/officeDocument/2006/relationships/hyperlink" Target="https://advance.lexis.com/api/document?collection=cases-ca&amp;id=urn:contentItem:5F7T-S761-F7ND-G49M-00000-00&amp;context=" TargetMode="External" /><Relationship Id="rId817" Type="http://schemas.openxmlformats.org/officeDocument/2006/relationships/hyperlink" Target="https://advance.lexis.com/api/document?collection=cases-ca&amp;id=urn:contentItem:5F8T-N3R1-JJSF-22YB-00000-00&amp;context=" TargetMode="External" /><Relationship Id="rId818" Type="http://schemas.openxmlformats.org/officeDocument/2006/relationships/hyperlink" Target="https://advance.lexis.com/api/document?collection=cases-ca&amp;id=urn:contentItem:5F7T-S7F1-F7VM-S41B-00000-00&amp;context=" TargetMode="External" /><Relationship Id="rId819" Type="http://schemas.openxmlformats.org/officeDocument/2006/relationships/hyperlink" Target="https://advance.lexis.com/api/document?collection=cases-ca&amp;id=urn:contentItem:5F7T-S6X1-F7ND-G3MK-00000-00&amp;context=" TargetMode="External" /><Relationship Id="rId82" Type="http://schemas.openxmlformats.org/officeDocument/2006/relationships/hyperlink" Target="https://advance.lexis.com/api/document?collection=cases-ca&amp;id=urn:contentItem:5F7T-S7H1-F4GK-M325-00000-00&amp;context=" TargetMode="External" /><Relationship Id="rId820" Type="http://schemas.openxmlformats.org/officeDocument/2006/relationships/hyperlink" Target="https://advance.lexis.com/api/document?collection=cases-ca&amp;id=urn:contentItem:5F7H-KWB1-JCJ5-21JN-00000-00&amp;context=" TargetMode="External" /><Relationship Id="rId821" Type="http://schemas.openxmlformats.org/officeDocument/2006/relationships/hyperlink" Target="https://advance.lexis.com/api/document?collection=cases-ca&amp;id=urn:contentItem:5F7T-XPY1-DY33-B2CT-00000-00&amp;context=" TargetMode="External" /><Relationship Id="rId822" Type="http://schemas.openxmlformats.org/officeDocument/2006/relationships/hyperlink" Target="https://advance.lexis.com/api/document?collection=cases-ca&amp;id=urn:contentItem:5F81-VJW1-JGPY-X4GK-00000-00&amp;context=" TargetMode="External" /><Relationship Id="rId823" Type="http://schemas.openxmlformats.org/officeDocument/2006/relationships/hyperlink" Target="https://advance.lexis.com/api/document?collection=cases-ca&amp;id=urn:contentItem:5F7T-S721-JSC5-M387-00000-00&amp;context=" TargetMode="External" /><Relationship Id="rId824" Type="http://schemas.openxmlformats.org/officeDocument/2006/relationships/header" Target="header118.xml" /><Relationship Id="rId825" Type="http://schemas.openxmlformats.org/officeDocument/2006/relationships/header" Target="header119.xml" /><Relationship Id="rId826" Type="http://schemas.openxmlformats.org/officeDocument/2006/relationships/footer" Target="footer118.xml" /><Relationship Id="rId827" Type="http://schemas.openxmlformats.org/officeDocument/2006/relationships/footer" Target="footer119.xml" /><Relationship Id="rId828" Type="http://schemas.openxmlformats.org/officeDocument/2006/relationships/header" Target="header120.xml" /><Relationship Id="rId829" Type="http://schemas.openxmlformats.org/officeDocument/2006/relationships/footer" Target="footer120.xml" /><Relationship Id="rId83" Type="http://schemas.openxmlformats.org/officeDocument/2006/relationships/hyperlink" Target="https://advance.lexis.com/api/document?collection=cases-ca&amp;id=urn:contentItem:5F7T-S7K1-JSJC-X15J-00000-00&amp;context=" TargetMode="External" /><Relationship Id="rId830" Type="http://schemas.openxmlformats.org/officeDocument/2006/relationships/hyperlink" Target="https://advance.lexis.com/api/document?collection=cases-ca&amp;id=urn:contentItem:5F7T-S7C1-FCSB-S2F0-00000-00&amp;context=" TargetMode="External" /><Relationship Id="rId831" Type="http://schemas.openxmlformats.org/officeDocument/2006/relationships/hyperlink" Target="https://advance.lexis.com/api/document?collection=cases-ca&amp;id=urn:contentItem:5F8T-N3R1-FJDY-X38K-00000-00&amp;context=" TargetMode="External" /><Relationship Id="rId832" Type="http://schemas.openxmlformats.org/officeDocument/2006/relationships/hyperlink" Target="https://advance.lexis.com/api/document?collection=cases-ca&amp;id=urn:contentItem:5F7T-S741-F1H1-21VP-00000-00&amp;context=" TargetMode="External" /><Relationship Id="rId833" Type="http://schemas.openxmlformats.org/officeDocument/2006/relationships/hyperlink" Target="https://advance.lexis.com/api/document?collection=cases-ca&amp;id=urn:contentItem:5F8T-N3R1-JNS1-M0W1-00000-00&amp;context=" TargetMode="External" /><Relationship Id="rId834" Type="http://schemas.openxmlformats.org/officeDocument/2006/relationships/hyperlink" Target="https://advance.lexis.com/api/document?collection=cases-ca&amp;id=urn:contentItem:5F8T-N3R1-JNS1-M0X4-00000-00&amp;context=" TargetMode="External" /><Relationship Id="rId835" Type="http://schemas.openxmlformats.org/officeDocument/2006/relationships/hyperlink" Target="https://advance.lexis.com/api/document?collection=cases-ca&amp;id=urn:contentItem:5F8T-N3R1-JNS1-M122-00000-00&amp;context=" TargetMode="External" /><Relationship Id="rId836" Type="http://schemas.openxmlformats.org/officeDocument/2006/relationships/hyperlink" Target="https://advance.lexis.com/api/document?collection=cases-ca&amp;id=urn:contentItem:5F7T-S711-F4GK-M2SW-00000-00&amp;context=" TargetMode="External" /><Relationship Id="rId837" Type="http://schemas.openxmlformats.org/officeDocument/2006/relationships/hyperlink" Target="https://advance.lexis.com/api/document?collection=cases-ca&amp;id=urn:contentItem:5F82-1SC1-FJTD-G52D-00000-00&amp;context=" TargetMode="External" /><Relationship Id="rId838" Type="http://schemas.openxmlformats.org/officeDocument/2006/relationships/hyperlink" Target="https://advance.lexis.com/api/document?collection=cases-ca&amp;id=urn:contentItem:5F7T-S721-FD4T-B104-00000-00&amp;context=" TargetMode="External" /><Relationship Id="rId839" Type="http://schemas.openxmlformats.org/officeDocument/2006/relationships/header" Target="header121.xml" /><Relationship Id="rId84" Type="http://schemas.openxmlformats.org/officeDocument/2006/relationships/hyperlink" Target="https://advance.lexis.com/api/document?collection=cases-ca&amp;id=urn:contentItem:5F8T-N3V1-FC1F-M491-00000-00&amp;context=" TargetMode="External" /><Relationship Id="rId840" Type="http://schemas.openxmlformats.org/officeDocument/2006/relationships/header" Target="header122.xml" /><Relationship Id="rId841" Type="http://schemas.openxmlformats.org/officeDocument/2006/relationships/footer" Target="footer121.xml" /><Relationship Id="rId842" Type="http://schemas.openxmlformats.org/officeDocument/2006/relationships/footer" Target="footer122.xml" /><Relationship Id="rId843" Type="http://schemas.openxmlformats.org/officeDocument/2006/relationships/header" Target="header123.xml" /><Relationship Id="rId844" Type="http://schemas.openxmlformats.org/officeDocument/2006/relationships/footer" Target="footer123.xml" /><Relationship Id="rId845" Type="http://schemas.openxmlformats.org/officeDocument/2006/relationships/hyperlink" Target="https://advance.lexis.com/api/document?collection=cases-ca&amp;id=urn:contentItem:5F7T-S7M1-F4W2-62K5-00000-00&amp;context=" TargetMode="External" /><Relationship Id="rId846" Type="http://schemas.openxmlformats.org/officeDocument/2006/relationships/hyperlink" Target="https://advance.lexis.com/api/document?collection=legislation-ca&amp;id=urn:contentItem:5F41-1FJ1-JBDT-B068-00000-00&amp;context=" TargetMode="External" /><Relationship Id="rId847" Type="http://schemas.openxmlformats.org/officeDocument/2006/relationships/hyperlink" Target="https://advance.lexis.com/api/document?collection=cases-ca&amp;id=urn:contentItem:5F8T-N3P1-FC6N-X1BS-00000-00&amp;context=" TargetMode="External" /><Relationship Id="rId848" Type="http://schemas.openxmlformats.org/officeDocument/2006/relationships/hyperlink" Target="https://advance.lexis.com/api/document?collection=cases-ca&amp;id=urn:contentItem:5F7T-S7H1-JS5Y-B35X-00000-00&amp;context=" TargetMode="External" /><Relationship Id="rId849" Type="http://schemas.openxmlformats.org/officeDocument/2006/relationships/header" Target="header124.xml" /><Relationship Id="rId85" Type="http://schemas.openxmlformats.org/officeDocument/2006/relationships/hyperlink" Target="https://advance.lexis.com/api/document?collection=cases-ca&amp;id=urn:contentItem:5F8T-N3V1-FC1F-M42M-00000-00&amp;context=" TargetMode="External" /><Relationship Id="rId850" Type="http://schemas.openxmlformats.org/officeDocument/2006/relationships/header" Target="header125.xml" /><Relationship Id="rId851" Type="http://schemas.openxmlformats.org/officeDocument/2006/relationships/footer" Target="footer124.xml" /><Relationship Id="rId852" Type="http://schemas.openxmlformats.org/officeDocument/2006/relationships/footer" Target="footer125.xml" /><Relationship Id="rId853" Type="http://schemas.openxmlformats.org/officeDocument/2006/relationships/header" Target="header126.xml" /><Relationship Id="rId854" Type="http://schemas.openxmlformats.org/officeDocument/2006/relationships/footer" Target="footer126.xml" /><Relationship Id="rId855" Type="http://schemas.openxmlformats.org/officeDocument/2006/relationships/hyperlink" Target="https://advance.lexis.com/api/document?collection=cases-ca&amp;id=urn:contentItem:5F7T-S7F1-JX3N-B18Y-00000-00&amp;context=" TargetMode="External" /><Relationship Id="rId856" Type="http://schemas.openxmlformats.org/officeDocument/2006/relationships/hyperlink" Target="https://advance.lexis.com/api/document?collection=cases-ca&amp;id=urn:contentItem:5F81-VJV1-F60C-X3GJ-00000-00&amp;context=" TargetMode="External" /><Relationship Id="rId857" Type="http://schemas.openxmlformats.org/officeDocument/2006/relationships/hyperlink" Target="https://advance.lexis.com/api/document?collection=cases-ca&amp;id=urn:contentItem:5F8N-K6T1-FG12-62JM-00000-00&amp;context=" TargetMode="External" /><Relationship Id="rId858" Type="http://schemas.openxmlformats.org/officeDocument/2006/relationships/hyperlink" Target="https://advance.lexis.com/api/document?collection=cases-ca&amp;id=urn:contentItem:5F8N-K731-F361-M0RV-00000-00&amp;context=" TargetMode="External" /><Relationship Id="rId859" Type="http://schemas.openxmlformats.org/officeDocument/2006/relationships/hyperlink" Target="https://advance.lexis.com/api/document?collection=cases-ca&amp;id=urn:contentItem:5F7T-S751-JG02-S24H-00000-00&amp;context=" TargetMode="External" /><Relationship Id="rId86" Type="http://schemas.openxmlformats.org/officeDocument/2006/relationships/hyperlink" Target="https://advance.lexis.com/api/document?collection=cases-ca&amp;id=urn:contentItem:5F81-VJX1-JKPJ-G1H3-00000-00&amp;context=" TargetMode="External" /><Relationship Id="rId860" Type="http://schemas.openxmlformats.org/officeDocument/2006/relationships/hyperlink" Target="https://advance.lexis.com/api/document?collection=cases-ca&amp;id=urn:contentItem:5F7T-S781-F7G6-638G-00000-00&amp;context=" TargetMode="External" /><Relationship Id="rId861" Type="http://schemas.openxmlformats.org/officeDocument/2006/relationships/hyperlink" Target="https://advance.lexis.com/api/document?collection=cases-ca&amp;id=urn:contentItem:5F8T-N3R1-JJSF-231W-00000-00&amp;context=" TargetMode="External" /><Relationship Id="rId862" Type="http://schemas.openxmlformats.org/officeDocument/2006/relationships/hyperlink" Target="https://advance.lexis.com/api/document?collection=cases-ca&amp;id=urn:contentItem:5F81-VJV1-JBM1-M43Y-00000-00&amp;context=" TargetMode="External" /><Relationship Id="rId863" Type="http://schemas.openxmlformats.org/officeDocument/2006/relationships/hyperlink" Target="https://advance.lexis.com/api/document?collection=cases-ca&amp;id=urn:contentItem:5F81-VJV1-JBM1-M4H3-00000-00&amp;context=" TargetMode="External" /><Relationship Id="rId864" Type="http://schemas.openxmlformats.org/officeDocument/2006/relationships/hyperlink" Target="https://advance.lexis.com/api/document?collection=cases-ca&amp;id=urn:contentItem:5F8T-N3S1-JT99-24XF-00000-00&amp;context=" TargetMode="External" /><Relationship Id="rId865" Type="http://schemas.openxmlformats.org/officeDocument/2006/relationships/hyperlink" Target="https://advance.lexis.com/api/document?collection=cases-ca&amp;id=urn:contentItem:5F7T-S791-FJTD-G2MT-00000-00&amp;context=" TargetMode="External" /><Relationship Id="rId866" Type="http://schemas.openxmlformats.org/officeDocument/2006/relationships/hyperlink" Target="https://advance.lexis.com/api/document?collection=cases-ca&amp;id=urn:contentItem:5XR8-3VT1-FFFC-B44F-00000-00&amp;context=" TargetMode="External" /><Relationship Id="rId867" Type="http://schemas.openxmlformats.org/officeDocument/2006/relationships/hyperlink" Target="https://advance.lexis.com/api/document?collection=cases-ca&amp;id=urn:contentItem:5XR8-3W01-JGBH-B3VC-00000-00&amp;context=" TargetMode="External" /><Relationship Id="rId868" Type="http://schemas.openxmlformats.org/officeDocument/2006/relationships/hyperlink" Target="https://advance.lexis.com/api/document?collection=cases-ca&amp;id=urn:contentItem:5F82-1SF1-JKPJ-G26C-00000-00&amp;context=" TargetMode="External" /><Relationship Id="rId869" Type="http://schemas.openxmlformats.org/officeDocument/2006/relationships/hyperlink" Target="https://advance.lexis.com/api/document?collection=cases-ca&amp;id=urn:contentItem:5F7T-S741-DXPM-S0XX-00000-00&amp;context=" TargetMode="External" /><Relationship Id="rId87" Type="http://schemas.openxmlformats.org/officeDocument/2006/relationships/hyperlink" Target="https://advance.lexis.com/api/document?collection=cases-ca&amp;id=urn:contentItem:5R1J-1T51-JF75-M2DH-00000-00&amp;context=" TargetMode="External" /><Relationship Id="rId870" Type="http://schemas.openxmlformats.org/officeDocument/2006/relationships/hyperlink" Target="https://advance.lexis.com/api/document?collection=cases-ca&amp;id=urn:contentItem:5F7T-S761-JX8W-M2XB-00000-00&amp;context=" TargetMode="External" /><Relationship Id="rId871" Type="http://schemas.openxmlformats.org/officeDocument/2006/relationships/hyperlink" Target="https://advance.lexis.com/api/document?collection=cases-ca&amp;id=urn:contentItem:5F82-1SD1-FCK4-G2W0-00000-00&amp;context=" TargetMode="External" /><Relationship Id="rId872" Type="http://schemas.openxmlformats.org/officeDocument/2006/relationships/hyperlink" Target="https://advance.lexis.com/api/document?collection=cases-ca&amp;id=urn:contentItem:5F81-VJX1-JYYX-601N-00000-00&amp;context=" TargetMode="External" /><Relationship Id="rId873" Type="http://schemas.openxmlformats.org/officeDocument/2006/relationships/hyperlink" Target="https://advance.lexis.com/api/document?collection=cases-ca&amp;id=urn:contentItem:5F81-YGK1-F8D9-M1RV-00000-00&amp;context=" TargetMode="External" /><Relationship Id="rId874" Type="http://schemas.openxmlformats.org/officeDocument/2006/relationships/hyperlink" Target="https://advance.lexis.com/api/document?collection=cases-ca&amp;id=urn:contentItem:5F8N-K6X1-JF1Y-B04R-00000-00&amp;context=" TargetMode="External" /><Relationship Id="rId875" Type="http://schemas.openxmlformats.org/officeDocument/2006/relationships/hyperlink" Target="https://advance.lexis.com/api/document?collection=cases-ca&amp;id=urn:contentItem:5F81-VJV1-JK4W-M50B-00000-00&amp;context=" TargetMode="External" /><Relationship Id="rId876" Type="http://schemas.openxmlformats.org/officeDocument/2006/relationships/hyperlink" Target="https://advance.lexis.com/api/document?collection=cases-ca&amp;id=urn:contentItem:5F81-VJV1-JBM1-M42B-00000-00&amp;context=" TargetMode="External" /><Relationship Id="rId877" Type="http://schemas.openxmlformats.org/officeDocument/2006/relationships/hyperlink" Target="https://advance.lexis.com/api/document?collection=cases-ca&amp;id=urn:contentItem:5F7T-S771-FG68-G0WP-00000-00&amp;context=" TargetMode="External" /><Relationship Id="rId878" Type="http://schemas.openxmlformats.org/officeDocument/2006/relationships/hyperlink" Target="https://advance.lexis.com/api/document?collection=cases-ca&amp;id=urn:contentItem:5F7T-S751-JP4G-614M-00000-00&amp;context=" TargetMode="External" /><Relationship Id="rId879" Type="http://schemas.openxmlformats.org/officeDocument/2006/relationships/hyperlink" Target="https://advance.lexis.com/api/document?collection=cases-ca&amp;id=urn:contentItem:5F7T-S711-F5KY-B10P-00000-00&amp;context=" TargetMode="External" /><Relationship Id="rId88" Type="http://schemas.openxmlformats.org/officeDocument/2006/relationships/hyperlink" Target="https://advance.lexis.com/api/document?collection=cases-ca&amp;id=urn:contentItem:5F7T-S761-FGJR-22T8-00000-00&amp;context=" TargetMode="External" /><Relationship Id="rId880" Type="http://schemas.openxmlformats.org/officeDocument/2006/relationships/hyperlink" Target="https://advance.lexis.com/api/document?collection=cases-ca&amp;id=urn:contentItem:5F7T-S781-F7G6-6386-00000-00&amp;context=" TargetMode="External" /><Relationship Id="rId881" Type="http://schemas.openxmlformats.org/officeDocument/2006/relationships/hyperlink" Target="https://advance.lexis.com/api/document?collection=cases-ca&amp;id=urn:contentItem:5F8P-SD61-JX8W-M3FX-00000-00&amp;context=" TargetMode="External" /><Relationship Id="rId882" Type="http://schemas.openxmlformats.org/officeDocument/2006/relationships/header" Target="header127.xml" /><Relationship Id="rId883" Type="http://schemas.openxmlformats.org/officeDocument/2006/relationships/header" Target="header128.xml" /><Relationship Id="rId884" Type="http://schemas.openxmlformats.org/officeDocument/2006/relationships/footer" Target="footer127.xml" /><Relationship Id="rId885" Type="http://schemas.openxmlformats.org/officeDocument/2006/relationships/footer" Target="footer128.xml" /><Relationship Id="rId886" Type="http://schemas.openxmlformats.org/officeDocument/2006/relationships/header" Target="header129.xml" /><Relationship Id="rId887" Type="http://schemas.openxmlformats.org/officeDocument/2006/relationships/footer" Target="footer129.xml" /><Relationship Id="rId888" Type="http://schemas.openxmlformats.org/officeDocument/2006/relationships/hyperlink" Target="https://advance.lexis.com/api/document?collection=cases-ca&amp;id=urn:contentItem:5F7T-S7B1-FH4C-X391-00000-00&amp;context=" TargetMode="External" /><Relationship Id="rId889" Type="http://schemas.openxmlformats.org/officeDocument/2006/relationships/hyperlink" Target="https://advance.lexis.com/api/document?collection=cases-ca&amp;id=urn:contentItem:5F8N-K751-JG02-S27M-00000-00&amp;context=" TargetMode="External" /><Relationship Id="rId89" Type="http://schemas.openxmlformats.org/officeDocument/2006/relationships/hyperlink" Target="https://advance.lexis.com/api/document?collection=cases-ca&amp;id=urn:contentItem:5F7T-S6X1-F06F-22MV-00000-00&amp;context=" TargetMode="External" /><Relationship Id="rId890" Type="http://schemas.openxmlformats.org/officeDocument/2006/relationships/hyperlink" Target="https://advance.lexis.com/api/document?collection=cases-ca&amp;id=urn:contentItem:5F8T-N3P1-FC6N-X17J-00000-00&amp;context=" TargetMode="External" /><Relationship Id="rId891" Type="http://schemas.openxmlformats.org/officeDocument/2006/relationships/hyperlink" Target="https://advance.lexis.com/api/document?collection=cases-ca&amp;id=urn:contentItem:5F7T-S7H1-JFKM-629T-00000-00&amp;context=" TargetMode="External" /><Relationship Id="rId892" Type="http://schemas.openxmlformats.org/officeDocument/2006/relationships/hyperlink" Target="https://advance.lexis.com/api/document?collection=cases-ca&amp;id=urn:contentItem:5F7T-S781-F900-G16D-00000-00&amp;context=" TargetMode="External" /><Relationship Id="rId893" Type="http://schemas.openxmlformats.org/officeDocument/2006/relationships/hyperlink" Target="https://advance.lexis.com/api/document?collection=cases-ca&amp;id=urn:contentItem:5F7T-S701-F8KH-X183-00000-00&amp;context=" TargetMode="External" /><Relationship Id="rId894" Type="http://schemas.openxmlformats.org/officeDocument/2006/relationships/hyperlink" Target="https://advance.lexis.com/api/document?collection=cases-ca&amp;id=urn:contentItem:5F82-1SB1-JW09-M386-00000-00&amp;context=" TargetMode="External" /><Relationship Id="rId895" Type="http://schemas.openxmlformats.org/officeDocument/2006/relationships/hyperlink" Target="https://advance.lexis.com/api/document?collection=cases-ca&amp;id=urn:contentItem:5F7V-3DJ1-F30T-B40G-00000-00&amp;context=" TargetMode="External" /><Relationship Id="rId896" Type="http://schemas.openxmlformats.org/officeDocument/2006/relationships/hyperlink" Target="https://advance.lexis.com/api/document?collection=cases-ca&amp;id=urn:contentItem:5F7T-XPR1-JCBX-S1R1-00000-00&amp;context=" TargetMode="External" /><Relationship Id="rId897" Type="http://schemas.openxmlformats.org/officeDocument/2006/relationships/hyperlink" Target="https://advance.lexis.com/api/document?collection=cases-ca&amp;id=urn:contentItem:5F8P-SCT1-JJ1H-X0SY-00000-00&amp;context=" TargetMode="External" /><Relationship Id="rId898" Type="http://schemas.openxmlformats.org/officeDocument/2006/relationships/hyperlink" Target="https://advance.lexis.com/api/document?collection=cases-ca&amp;id=urn:contentItem:5F8P-SCN1-JPGX-S457-00000-00&amp;context=" TargetMode="External" /><Relationship Id="rId899" Type="http://schemas.openxmlformats.org/officeDocument/2006/relationships/hyperlink" Target="https://advance.lexis.com/api/document?collection=cases-ca&amp;id=urn:contentItem:5F8P-SD21-F873-B0VC-00000-00&amp;context=" TargetMode="External" /><Relationship Id="rId9" Type="http://schemas.openxmlformats.org/officeDocument/2006/relationships/footer" Target="footer3.xml" /><Relationship Id="rId90" Type="http://schemas.openxmlformats.org/officeDocument/2006/relationships/header" Target="header16.xml" /><Relationship Id="rId900" Type="http://schemas.openxmlformats.org/officeDocument/2006/relationships/header" Target="header130.xml" /><Relationship Id="rId901" Type="http://schemas.openxmlformats.org/officeDocument/2006/relationships/header" Target="header131.xml" /><Relationship Id="rId902" Type="http://schemas.openxmlformats.org/officeDocument/2006/relationships/footer" Target="footer130.xml" /><Relationship Id="rId903" Type="http://schemas.openxmlformats.org/officeDocument/2006/relationships/footer" Target="footer131.xml" /><Relationship Id="rId904" Type="http://schemas.openxmlformats.org/officeDocument/2006/relationships/header" Target="header132.xml" /><Relationship Id="rId905" Type="http://schemas.openxmlformats.org/officeDocument/2006/relationships/footer" Target="footer132.xml" /><Relationship Id="rId906" Type="http://schemas.openxmlformats.org/officeDocument/2006/relationships/hyperlink" Target="https://advance.lexis.com/api/document?collection=cases-ca&amp;id=urn:contentItem:5MJF-G831-JX3N-B13V-00000-00&amp;context=" TargetMode="External" /><Relationship Id="rId907" Type="http://schemas.openxmlformats.org/officeDocument/2006/relationships/hyperlink" Target="https://advance.lexis.com/api/document?collection=cases-ca&amp;id=urn:contentItem:5F7T-S721-F5T5-M2FH-00000-00&amp;context=" TargetMode="External" /><Relationship Id="rId908" Type="http://schemas.openxmlformats.org/officeDocument/2006/relationships/hyperlink" Target="https://advance.lexis.com/api/document?collection=cases-ca&amp;id=urn:contentItem:5F7T-S741-DXPM-S0X2-00000-00&amp;context=" TargetMode="External" /><Relationship Id="rId909" Type="http://schemas.openxmlformats.org/officeDocument/2006/relationships/hyperlink" Target="https://advance.lexis.com/api/document?collection=cases-ca&amp;id=urn:contentItem:5F8P-SD91-FC1F-M26J-00000-00&amp;context=" TargetMode="External" /><Relationship Id="rId91" Type="http://schemas.openxmlformats.org/officeDocument/2006/relationships/header" Target="header17.xml" /><Relationship Id="rId910" Type="http://schemas.openxmlformats.org/officeDocument/2006/relationships/hyperlink" Target="https://advance.lexis.com/api/document?collection=cases-ca&amp;id=urn:contentItem:5F8P-SDD1-JFSV-G36C-00000-00&amp;context=" TargetMode="External" /><Relationship Id="rId911" Type="http://schemas.openxmlformats.org/officeDocument/2006/relationships/hyperlink" Target="https://advance.lexis.com/api/document?collection=cases-ca&amp;id=urn:contentItem:5F81-YGV1-DYFH-X52P-00000-00&amp;context=" TargetMode="External" /><Relationship Id="rId912" Type="http://schemas.openxmlformats.org/officeDocument/2006/relationships/hyperlink" Target="https://advance.lexis.com/api/document?collection=cases-ca&amp;id=urn:contentItem:5M43-BH51-DXHD-G23V-00000-00&amp;context=" TargetMode="External" /><Relationship Id="rId913" Type="http://schemas.openxmlformats.org/officeDocument/2006/relationships/header" Target="header133.xml" /><Relationship Id="rId914" Type="http://schemas.openxmlformats.org/officeDocument/2006/relationships/header" Target="header134.xml" /><Relationship Id="rId915" Type="http://schemas.openxmlformats.org/officeDocument/2006/relationships/footer" Target="footer133.xml" /><Relationship Id="rId916" Type="http://schemas.openxmlformats.org/officeDocument/2006/relationships/footer" Target="footer134.xml" /><Relationship Id="rId917" Type="http://schemas.openxmlformats.org/officeDocument/2006/relationships/header" Target="header135.xml" /><Relationship Id="rId918" Type="http://schemas.openxmlformats.org/officeDocument/2006/relationships/footer" Target="footer135.xml" /><Relationship Id="rId919" Type="http://schemas.openxmlformats.org/officeDocument/2006/relationships/hyperlink" Target="https://advance.lexis.com/api/document?collection=cases-ca&amp;id=urn:contentItem:5JSS-9XD1-F4W2-62XY-00000-00&amp;context=" TargetMode="External" /><Relationship Id="rId92" Type="http://schemas.openxmlformats.org/officeDocument/2006/relationships/footer" Target="footer16.xml" /><Relationship Id="rId920" Type="http://schemas.openxmlformats.org/officeDocument/2006/relationships/hyperlink" Target="https://advance.lexis.com/api/document?collection=cases-ca&amp;id=urn:contentItem:5F8T-N3V1-JF75-M3D0-00000-00&amp;context=" TargetMode="External" /><Relationship Id="rId921" Type="http://schemas.openxmlformats.org/officeDocument/2006/relationships/hyperlink" Target="https://advance.lexis.com/api/document?collection=cases-ca&amp;id=urn:contentItem:5F7T-S7M1-JFSV-G398-00000-00&amp;context=" TargetMode="External" /><Relationship Id="rId922" Type="http://schemas.openxmlformats.org/officeDocument/2006/relationships/hyperlink" Target="https://advance.lexis.com/api/document?collection=cases-ca&amp;id=urn:contentItem:5F16-9371-JJK6-S28R-00000-00&amp;context=" TargetMode="External" /><Relationship Id="rId923" Type="http://schemas.openxmlformats.org/officeDocument/2006/relationships/hyperlink" Target="https://advance.lexis.com/api/document?collection=cases-ca&amp;id=urn:contentItem:5F8T-N3V1-FC1F-M461-00000-00&amp;context=" TargetMode="External" /><Relationship Id="rId924" Type="http://schemas.openxmlformats.org/officeDocument/2006/relationships/hyperlink" Target="https://advance.lexis.com/api/document?collection=cases-ca&amp;id=urn:contentItem:5F16-9361-FFMK-M0HH-00000-00&amp;context=" TargetMode="External" /><Relationship Id="rId925" Type="http://schemas.openxmlformats.org/officeDocument/2006/relationships/hyperlink" Target="https://advance.lexis.com/api/document?collection=cases-ca&amp;id=urn:contentItem:5F7H-SCP1-JFDC-X1MX-00000-00&amp;context=" TargetMode="External" /><Relationship Id="rId926" Type="http://schemas.openxmlformats.org/officeDocument/2006/relationships/hyperlink" Target="https://advance.lexis.com/api/document?collection=cases-ca&amp;id=urn:contentItem:5G5R-VSV1-DYMS-602C-00000-00&amp;context=" TargetMode="External" /><Relationship Id="rId927" Type="http://schemas.openxmlformats.org/officeDocument/2006/relationships/hyperlink" Target="https://advance.lexis.com/api/document?collection=cases-ca&amp;id=urn:contentItem:5F7T-S7P1-JG02-S425-00000-00&amp;context=" TargetMode="External" /><Relationship Id="rId928" Type="http://schemas.openxmlformats.org/officeDocument/2006/relationships/hyperlink" Target="https://advance.lexis.com/api/document?collection=cases-ca&amp;id=urn:contentItem:5F8T-N3V1-FH4C-X20D-00000-00&amp;context=" TargetMode="External" /><Relationship Id="rId929" Type="http://schemas.openxmlformats.org/officeDocument/2006/relationships/hyperlink" Target="https://advance.lexis.com/api/document?collection=cases-ca&amp;id=urn:contentItem:5F8T-N3V1-JTGH-B1BB-00000-00&amp;context=" TargetMode="External" /><Relationship Id="rId93" Type="http://schemas.openxmlformats.org/officeDocument/2006/relationships/footer" Target="footer17.xml" /><Relationship Id="rId930" Type="http://schemas.openxmlformats.org/officeDocument/2006/relationships/hyperlink" Target="https://advance.lexis.com/api/document?collection=cases-ca&amp;id=urn:contentItem:5F7V-3DK1-JBT7-X118-00000-00&amp;context=" TargetMode="External" /><Relationship Id="rId931" Type="http://schemas.openxmlformats.org/officeDocument/2006/relationships/hyperlink" Target="https://advance.lexis.com/api/document?collection=cases-ca&amp;id=urn:contentItem:5F7T-S7M1-JJK6-S1SM-00000-00&amp;context=" TargetMode="External" /><Relationship Id="rId932" Type="http://schemas.openxmlformats.org/officeDocument/2006/relationships/hyperlink" Target="https://advance.lexis.com/api/document?collection=cases-ca&amp;id=urn:contentItem:5F8T-N3V1-JTGH-B1DD-00000-00&amp;context=" TargetMode="External" /><Relationship Id="rId933" Type="http://schemas.openxmlformats.org/officeDocument/2006/relationships/hyperlink" Target="https://advance.lexis.com/api/document?collection=cases-ca&amp;id=urn:contentItem:5F8P-SD11-JBDT-B2FK-00000-00&amp;context=" TargetMode="External" /><Relationship Id="rId934" Type="http://schemas.openxmlformats.org/officeDocument/2006/relationships/hyperlink" Target="https://advance.lexis.com/api/document?collection=cases-ca&amp;id=urn:contentItem:5F8P-SDT1-JCJ5-24JD-00000-00&amp;context=" TargetMode="External" /><Relationship Id="rId935" Type="http://schemas.openxmlformats.org/officeDocument/2006/relationships/hyperlink" Target="https://advance.lexis.com/api/document?collection=cases-ca&amp;id=urn:contentItem:5F8T-N3V1-JFKM-60BG-00000-00&amp;context=" TargetMode="External" /><Relationship Id="rId936" Type="http://schemas.openxmlformats.org/officeDocument/2006/relationships/hyperlink" Target="https://advance.lexis.com/api/document?collection=cases-ca&amp;id=urn:contentItem:5F8P-SCK1-JGHR-M3FK-00000-00&amp;context=" TargetMode="External" /><Relationship Id="rId937" Type="http://schemas.openxmlformats.org/officeDocument/2006/relationships/hyperlink" Target="https://advance.lexis.com/api/document?collection=cases-ca&amp;id=urn:contentItem:5F7T-S7M1-JPP5-22BP-00000-00&amp;context=" TargetMode="External" /><Relationship Id="rId938" Type="http://schemas.openxmlformats.org/officeDocument/2006/relationships/hyperlink" Target="https://advance.lexis.com/api/document?collection=cases-ca&amp;id=urn:contentItem:5F7H-SCP1-JFDC-X1XF-00000-00&amp;context=" TargetMode="External" /><Relationship Id="rId939" Type="http://schemas.openxmlformats.org/officeDocument/2006/relationships/hyperlink" Target="https://advance.lexis.com/api/document?collection=cases-ca&amp;id=urn:contentItem:5F7T-S6Y1-F65M-60C9-00000-00&amp;context=" TargetMode="External" /><Relationship Id="rId94" Type="http://schemas.openxmlformats.org/officeDocument/2006/relationships/header" Target="header18.xml" /><Relationship Id="rId940" Type="http://schemas.openxmlformats.org/officeDocument/2006/relationships/hyperlink" Target="https://advance.lexis.com/api/document?collection=cases-ca&amp;id=urn:contentItem:5F16-93F1-JNJT-B28M-00000-00&amp;context=" TargetMode="External" /><Relationship Id="rId941" Type="http://schemas.openxmlformats.org/officeDocument/2006/relationships/hyperlink" Target="https://advance.lexis.com/api/document?collection=cases-ca&amp;id=urn:contentItem:5F7T-S6W1-JYYX-61C1-00000-00&amp;context=" TargetMode="External" /><Relationship Id="rId942" Type="http://schemas.openxmlformats.org/officeDocument/2006/relationships/hyperlink" Target="https://advance.lexis.com/api/document?collection=cases-ca&amp;id=urn:contentItem:5F7T-S7N1-JWR6-S2H7-00000-00&amp;context=" TargetMode="External" /><Relationship Id="rId943" Type="http://schemas.openxmlformats.org/officeDocument/2006/relationships/hyperlink" Target="https://advance.lexis.com/api/document?collection=cases-ca&amp;id=urn:contentItem:5F7T-S7F1-JFKM-61H0-00000-00&amp;context=" TargetMode="External" /><Relationship Id="rId944" Type="http://schemas.openxmlformats.org/officeDocument/2006/relationships/hyperlink" Target="https://advance.lexis.com/api/document?collection=cases-ca&amp;id=urn:contentItem:5F7T-S7D1-DY89-M3VN-00000-00&amp;context=" TargetMode="External" /><Relationship Id="rId945" Type="http://schemas.openxmlformats.org/officeDocument/2006/relationships/hyperlink" Target="https://advance.lexis.com/api/document?collection=cases-ca&amp;id=urn:contentItem:5F7T-S7C1-F7VM-S37F-00000-00&amp;context=" TargetMode="External" /><Relationship Id="rId946" Type="http://schemas.openxmlformats.org/officeDocument/2006/relationships/hyperlink" Target="https://advance.lexis.com/api/document?collection=cases-ca&amp;id=urn:contentItem:5F7T-S6X1-JTNR-M3T9-00000-00&amp;context=" TargetMode="External" /><Relationship Id="rId947" Type="http://schemas.openxmlformats.org/officeDocument/2006/relationships/header" Target="header136.xml" /><Relationship Id="rId948" Type="http://schemas.openxmlformats.org/officeDocument/2006/relationships/header" Target="header137.xml" /><Relationship Id="rId949" Type="http://schemas.openxmlformats.org/officeDocument/2006/relationships/footer" Target="footer136.xml" /><Relationship Id="rId95" Type="http://schemas.openxmlformats.org/officeDocument/2006/relationships/footer" Target="footer18.xml" /><Relationship Id="rId950" Type="http://schemas.openxmlformats.org/officeDocument/2006/relationships/footer" Target="footer137.xml" /><Relationship Id="rId951" Type="http://schemas.openxmlformats.org/officeDocument/2006/relationships/header" Target="header138.xml" /><Relationship Id="rId952" Type="http://schemas.openxmlformats.org/officeDocument/2006/relationships/footer" Target="footer138.xml" /><Relationship Id="rId953" Type="http://schemas.openxmlformats.org/officeDocument/2006/relationships/hyperlink" Target="https://advance.lexis.com/api/document?collection=cases-ca&amp;id=urn:contentItem:5F7T-S7M1-JJK6-S1R3-00000-00&amp;context=" TargetMode="External" /><Relationship Id="rId954" Type="http://schemas.openxmlformats.org/officeDocument/2006/relationships/hyperlink" Target="https://advance.lexis.com/api/document?collection=cases-ca&amp;id=urn:contentItem:5K6Y-81N1-JN14-G1PY-00000-00&amp;context=" TargetMode="External" /><Relationship Id="rId955" Type="http://schemas.openxmlformats.org/officeDocument/2006/relationships/hyperlink" Target="https://advance.lexis.com/api/document?collection=legislation-ca&amp;id=urn:contentItem:5F41-1FM1-FCK4-G01C-00000-00&amp;context=" TargetMode="External" /><Relationship Id="rId956" Type="http://schemas.openxmlformats.org/officeDocument/2006/relationships/hyperlink" Target="https://advance.lexis.com/api/document?collection=cases-ca&amp;id=urn:contentItem:5F7T-S751-JCJ5-24BB-00000-00&amp;context=" TargetMode="External" /><Relationship Id="rId957" Type="http://schemas.openxmlformats.org/officeDocument/2006/relationships/hyperlink" Target="https://advance.lexis.com/api/document?collection=cases-ca&amp;id=urn:contentItem:5F7T-S7C1-F4NT-X32C-00000-00&amp;context=" TargetMode="External" /><Relationship Id="rId958" Type="http://schemas.openxmlformats.org/officeDocument/2006/relationships/hyperlink" Target="https://advance.lexis.com/api/document?collection=cases-ca&amp;id=urn:contentItem:5F7T-S781-FH4C-X2KP-00000-00&amp;context=" TargetMode="External" /><Relationship Id="rId959" Type="http://schemas.openxmlformats.org/officeDocument/2006/relationships/hyperlink" Target="https://advance.lexis.com/api/document?collection=cases-ca&amp;id=urn:contentItem:5F7T-S751-JNS1-M1BR-00000-00&amp;context=" TargetMode="External" /><Relationship Id="rId96" Type="http://schemas.openxmlformats.org/officeDocument/2006/relationships/hyperlink" Target="https://advance.lexis.com/api/document?collection=cases-ca&amp;id=urn:contentItem:5F7T-S7P1-JP4G-61R3-00000-00&amp;context=" TargetMode="External" /><Relationship Id="rId960" Type="http://schemas.openxmlformats.org/officeDocument/2006/relationships/hyperlink" Target="https://advance.lexis.com/api/document?collection=legislation-ca&amp;id=urn:contentItem:5F41-1FM1-F4W2-61F7-00000-00&amp;context=" TargetMode="External" /><Relationship Id="rId961" Type="http://schemas.openxmlformats.org/officeDocument/2006/relationships/hyperlink" Target="https://advance.lexis.com/api/document?collection=cases-ca&amp;id=urn:contentItem:5F7T-S711-F4GK-M2FW-00000-00&amp;context=" TargetMode="External" /><Relationship Id="rId962" Type="http://schemas.openxmlformats.org/officeDocument/2006/relationships/hyperlink" Target="https://advance.lexis.com/api/document?collection=cases-ca&amp;id=urn:contentItem:5F7T-S711-JNS1-M15R-00000-00&amp;context=" TargetMode="External" /><Relationship Id="rId963" Type="http://schemas.openxmlformats.org/officeDocument/2006/relationships/hyperlink" Target="https://advance.lexis.com/api/document?collection=cases-ca&amp;id=urn:contentItem:5F8T-N3V1-JTGH-B19J-00000-00&amp;context=" TargetMode="External" /><Relationship Id="rId964" Type="http://schemas.openxmlformats.org/officeDocument/2006/relationships/hyperlink" Target="https://advance.lexis.com/api/document?collection=cases-ca&amp;id=urn:contentItem:5F8T-N3V1-JTGH-B11D-00000-00&amp;context=" TargetMode="External" /><Relationship Id="rId965" Type="http://schemas.openxmlformats.org/officeDocument/2006/relationships/hyperlink" Target="https://advance.lexis.com/api/document?collection=cases-ca&amp;id=urn:contentItem:5F81-VJY1-FBN1-22MF-00000-00&amp;context=" TargetMode="External" /><Relationship Id="rId966" Type="http://schemas.openxmlformats.org/officeDocument/2006/relationships/hyperlink" Target="https://advance.lexis.com/api/document?collection=cases-ca&amp;id=urn:contentItem:5F7T-S771-JWBS-61CX-00000-00&amp;context=" TargetMode="External" /><Relationship Id="rId967" Type="http://schemas.openxmlformats.org/officeDocument/2006/relationships/hyperlink" Target="https://advance.lexis.com/api/document?collection=cases-ca&amp;id=urn:contentItem:5F7T-S741-F1H1-21W1-00000-00&amp;context=" TargetMode="External" /><Relationship Id="rId968" Type="http://schemas.openxmlformats.org/officeDocument/2006/relationships/header" Target="header139.xml" /><Relationship Id="rId969" Type="http://schemas.openxmlformats.org/officeDocument/2006/relationships/header" Target="header140.xml" /><Relationship Id="rId97" Type="http://schemas.openxmlformats.org/officeDocument/2006/relationships/hyperlink" Target="https://advance.lexis.com/api/document?collection=cases-ca&amp;id=urn:contentItem:5F7T-S6Y1-JPP5-2188-00000-00&amp;context=" TargetMode="External" /><Relationship Id="rId970" Type="http://schemas.openxmlformats.org/officeDocument/2006/relationships/footer" Target="footer139.xml" /><Relationship Id="rId971" Type="http://schemas.openxmlformats.org/officeDocument/2006/relationships/footer" Target="footer140.xml" /><Relationship Id="rId972" Type="http://schemas.openxmlformats.org/officeDocument/2006/relationships/header" Target="header141.xml" /><Relationship Id="rId973" Type="http://schemas.openxmlformats.org/officeDocument/2006/relationships/footer" Target="footer141.xml" /><Relationship Id="rId974" Type="http://schemas.openxmlformats.org/officeDocument/2006/relationships/hyperlink" Target="https://advance.lexis.com/api/document?collection=cases-ca&amp;id=urn:contentItem:5F7T-S7G1-FCYK-2060-00000-00&amp;context=" TargetMode="External" /><Relationship Id="rId975" Type="http://schemas.openxmlformats.org/officeDocument/2006/relationships/hyperlink" Target="https://advance.lexis.com/api/document?collection=legislation-ca&amp;id=urn:contentItem:5W2C-X5J1-DXPM-S017-00000-00&amp;context=" TargetMode="External" /><Relationship Id="rId976" Type="http://schemas.openxmlformats.org/officeDocument/2006/relationships/hyperlink" Target="https://advance.lexis.com/api/document?collection=cases-ca&amp;id=urn:contentItem:5F7T-S761-JS5Y-B1BM-00000-00&amp;context=" TargetMode="External" /><Relationship Id="rId977" Type="http://schemas.openxmlformats.org/officeDocument/2006/relationships/hyperlink" Target="https://advance.lexis.com/api/document?collection=cases-ca&amp;id=urn:contentItem:5F7T-S6Y1-F4GK-M22D-00000-00&amp;context=" TargetMode="External" /><Relationship Id="rId978" Type="http://schemas.openxmlformats.org/officeDocument/2006/relationships/hyperlink" Target="https://advance.lexis.com/api/document?collection=cases-ca&amp;id=urn:contentItem:5F7T-S7D1-DY89-M3VG-00000-00&amp;context=" TargetMode="External" /><Relationship Id="rId979" Type="http://schemas.openxmlformats.org/officeDocument/2006/relationships/hyperlink" Target="https://advance.lexis.com/api/document?collection=cases-ca&amp;id=urn:contentItem:5F7T-S741-DY89-M3TS-00000-00&amp;context=" TargetMode="External" /><Relationship Id="rId98" Type="http://schemas.openxmlformats.org/officeDocument/2006/relationships/hyperlink" Target="https://advance.lexis.com/api/document?collection=cases-ca&amp;id=urn:contentItem:5F7T-S781-DYMS-6198-00000-00&amp;context=" TargetMode="External" /><Relationship Id="rId980" Type="http://schemas.openxmlformats.org/officeDocument/2006/relationships/hyperlink" Target="https://advance.lexis.com/api/document?collection=cases-ca&amp;id=urn:contentItem:5F7T-S761-JX8W-M33W-00000-00&amp;context=" TargetMode="External" /><Relationship Id="rId981" Type="http://schemas.openxmlformats.org/officeDocument/2006/relationships/hyperlink" Target="https://advance.lexis.com/api/document?collection=cases-ca&amp;id=urn:contentItem:5F7T-S771-JN14-G2RS-00000-00&amp;context=" TargetMode="External" /><Relationship Id="rId982" Type="http://schemas.openxmlformats.org/officeDocument/2006/relationships/hyperlink" Target="https://advance.lexis.com/api/document?collection=cases-ca&amp;id=urn:contentItem:5F7T-S6Y1-JF75-M3S4-00000-00&amp;context=" TargetMode="External" /><Relationship Id="rId983" Type="http://schemas.openxmlformats.org/officeDocument/2006/relationships/header" Target="header142.xml" /><Relationship Id="rId984" Type="http://schemas.openxmlformats.org/officeDocument/2006/relationships/header" Target="header143.xml" /><Relationship Id="rId985" Type="http://schemas.openxmlformats.org/officeDocument/2006/relationships/footer" Target="footer142.xml" /><Relationship Id="rId986" Type="http://schemas.openxmlformats.org/officeDocument/2006/relationships/footer" Target="footer143.xml" /><Relationship Id="rId987" Type="http://schemas.openxmlformats.org/officeDocument/2006/relationships/header" Target="header144.xml" /><Relationship Id="rId988" Type="http://schemas.openxmlformats.org/officeDocument/2006/relationships/footer" Target="footer144.xml" /><Relationship Id="rId989" Type="http://schemas.openxmlformats.org/officeDocument/2006/relationships/hyperlink" Target="https://advance.lexis.com/api/document?collection=cases-ca&amp;id=urn:contentItem:5F7T-S7C1-JSRM-617R-00000-00&amp;context=" TargetMode="External" /><Relationship Id="rId99" Type="http://schemas.openxmlformats.org/officeDocument/2006/relationships/hyperlink" Target="https://advance.lexis.com/api/document?collection=cases-ca&amp;id=urn:contentItem:5F8T-N3R1-JNS1-M12J-00000-00&amp;context=" TargetMode="External" /><Relationship Id="rId990" Type="http://schemas.openxmlformats.org/officeDocument/2006/relationships/hyperlink" Target="https://advance.lexis.com/api/document?collection=cases-ca&amp;id=urn:contentItem:5K6Y-81M1-JN6B-S1J3-00000-00&amp;context=" TargetMode="External" /><Relationship Id="rId991" Type="http://schemas.openxmlformats.org/officeDocument/2006/relationships/hyperlink" Target="https://advance.lexis.com/api/document?collection=cases-ca&amp;id=urn:contentItem:5F81-YGK1-JJ1H-X4W2-00000-00&amp;context=" TargetMode="External" /><Relationship Id="rId992" Type="http://schemas.openxmlformats.org/officeDocument/2006/relationships/hyperlink" Target="https://advance.lexis.com/api/document?collection=cases-ca&amp;id=urn:contentItem:5F82-1S91-JGBH-B44R-00000-00&amp;context=" TargetMode="External" /><Relationship Id="rId993" Type="http://schemas.openxmlformats.org/officeDocument/2006/relationships/hyperlink" Target="https://advance.lexis.com/api/document?collection=cases-ca&amp;id=urn:contentItem:5F7V-3DF1-JC0G-63WB-00000-00&amp;context=" TargetMode="External" /><Relationship Id="rId994" Type="http://schemas.openxmlformats.org/officeDocument/2006/relationships/hyperlink" Target="https://advance.lexis.com/api/document?collection=cases-ca&amp;id=urn:contentItem:5F8T-N3V1-FC1F-M44Y-00000-00&amp;context=" TargetMode="External" /><Relationship Id="rId995" Type="http://schemas.openxmlformats.org/officeDocument/2006/relationships/hyperlink" Target="https://advance.lexis.com/api/document?collection=cases-ca&amp;id=urn:contentItem:5F81-VJX1-JJYN-B4Y3-00000-00&amp;context=" TargetMode="External" /><Relationship Id="rId996" Type="http://schemas.openxmlformats.org/officeDocument/2006/relationships/header" Target="header145.xml" /><Relationship Id="rId997" Type="http://schemas.openxmlformats.org/officeDocument/2006/relationships/header" Target="header146.xml" /><Relationship Id="rId998" Type="http://schemas.openxmlformats.org/officeDocument/2006/relationships/footer" Target="footer145.xml" /><Relationship Id="rId999" Type="http://schemas.openxmlformats.org/officeDocument/2006/relationships/footer" Target="footer146.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Andrusko v. Alexander, [2013] B.C.J. No. 1161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115042613</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