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Harder v. Poettcker, [2015] B.C.J. No. 2579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M103503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2579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2180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Harder, Plaintiff, and Lee Poettcker,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Civil litigation — Civil procedure — Trials — Jury trials — Verdicts — Re-opening or new trial — Application by the defendant Poettcker for judgment in accordance with a civil jury verdict dismissed — The plaintiff Harder sued Poettcker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arising out of a motor vehicle accident — The jury found Poettcker 15 per cent liable — Harder was awarded nothing for non-pecuniary damages but was awarded special damages and damages for past loss of housekeeping capacity — To award nothing for non-pecuniary damages but to award special damages was an inconsistent verdict — There was to be a retrial by judge alone.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Proceedings — Practice and procedure — Application by the defendant Poettcker for judgment in accordance with a civil jury verdict dismissed — The plaintiff Harder sued Poettcker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arising out of a motor vehicle accident — The jury found Poettcker 15 per cent liable — Harder was awarded nothing for non-pecuniary damages but was awarded special damages and damages for past loss of housekeeping capacity — To award nothing for non-pecuniary damages but to award special damages was an inconsistent verdict — There was to be a retrial by judge alone.</w:t>
      </w:r>
    </w:p>
    <w:p>
      <w:pPr>
        <w:jc w:val="both"/>
        <w:rPr>
          <w:rFonts w:ascii="arial" w:eastAsia="arial" w:hAnsi="arial" w:cs="arial"/>
          <w:sz w:val="20"/>
          <w:lang w:val="en-US" w:eastAsia="en-US" w:bidi="ar-SA"/>
        </w:rPr>
      </w:pPr>
      <w:bookmarkStart w:id="1" w:name="Legislation Cited"/>
      <w:bookmarkEnd w:id="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12-6(7), Rule 12-6(10), Rule 12-6(11)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 w:name="Counsel"/>
      <w:bookmarkEnd w:id="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Valmon J. LeBlanc.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Gillian M. Dougans.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 w:name="Judgment"/>
      <w:bookmarkEnd w:id="3"/>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 w:name="J.S. SIGURDSON J."/>
            <w:bookmarkEnd w:id="4"/>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Following the delivery of a civil jury verdict on September 22, 2015, and after the jury was discharged, the defendant applies for judgment in accordance with the verdict.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opposes the application on the basis that the answers to the jury questions were conflicting and judgment cannot be entered. The plaintiff says, based on </w:t>
      </w:r>
      <w:r>
        <w:rPr>
          <w:rFonts w:ascii="arial" w:eastAsia="arial" w:hAnsi="arial" w:cs="arial"/>
          <w:i/>
          <w:color w:val="000000"/>
          <w:sz w:val="20"/>
          <w:lang w:val="en-US" w:eastAsia="en-US" w:bidi="ar-SA"/>
        </w:rPr>
        <w:t>Balla v. ICBC</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2001 BCCA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Balla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Kalsi v. Gill</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2014 BCSC 1833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Kalsi</w:t>
      </w:r>
      <w:r>
        <w:rPr>
          <w:rFonts w:ascii="arial" w:eastAsia="arial" w:hAnsi="arial" w:cs="arial"/>
          <w:color w:val="000000"/>
          <w:sz w:val="20"/>
          <w:lang w:val="en-US" w:eastAsia="en-US" w:bidi="ar-SA"/>
        </w:rPr>
        <w:t xml:space="preserve">], that under Rule 12-6(7)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where the answers to the questions are conflicting, the action must be retried. The plaintiff, who had requested the trial by jury, submits that the retrial should take place before me pursuant to R. 12-6(11).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says that the verdict is not conflicting. His position is that the jury intended to give a very modest award and that, although no award was given for non-pecuniary damages but a modest award was given for special damages and past loss of housekeeping capacity, the verdict is nevertheless not in conflict. The plaintiff says that the verdict must be assessed in context and as a whole to determine whether it is in fact in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says that even if the verdict is in conflict on damages, the decision on liability should nevertheless stand and judgment on that issue should be entered. If there is to be a retrial on damages, or both liability and damages, the defendant says that the retrial should be in the mode of the original trial and that is before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If judgment cannot be entered, although the defendant says the retrial should be by jury, he does not argue that I do not have jurisdiction to hear the retrial. However, the defendant's counsel says that a jury trial should be ordered as it was the mode of trial that she prepared for and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James Harder sued the defendant Lee Poettcker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a motor vehicle accident that occurred when the defendant, making a left turn in a parking lot, struck the rear end of the plaintiff's vehicle which was backing out of a parking spot in the mall. At trial, liability and damages were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a nine-day trial, the questions given to the jury were answered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QUESTIONS FOR JURY</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that caused or contributed to the damage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255"/>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Yes[x]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1 is "No", you do not need to answer the questions listed below. If the answer to Question 1 is "Yes", proceed to answer the following questions.)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answer to Question 1 is "Yes", was there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that caused or contributed to the occurrence?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Answer:</w:t>
      </w:r>
      <w:r>
        <w:rPr>
          <w:rFonts w:ascii="arial" w:eastAsia="arial" w:hAnsi="arial" w:cs="arial"/>
          <w:color w:val="000000"/>
          <w:sz w:val="20"/>
          <w:lang w:val="en-US" w:eastAsia="en-US" w:bidi="ar-SA"/>
        </w:rPr>
        <w:t xml:space="preserve"> Yes[x] No[]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answers to Questions 1 and 2 are both "Yes", and there was therefore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both parties, what was the percentage or degree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1359"/>
        <w:gridCol w:w="523"/>
        <w:gridCol w:w="585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Answer</w:t>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w:t>
            </w:r>
          </w:p>
        </w:tc>
        <w:tc>
          <w:tcPr>
            <w:tcW w:w="573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Defendant </w:t>
      </w:r>
      <w:r>
        <w:rPr>
          <w:rFonts w:ascii="arial" w:eastAsia="arial" w:hAnsi="arial" w:cs="arial"/>
          <w:color w:val="000000"/>
          <w:sz w:val="20"/>
          <w:u w:val="single"/>
          <w:lang w:val="en-US" w:eastAsia="en-US" w:bidi="ar-SA"/>
        </w:rPr>
        <w:t>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627"/>
        <w:gridCol w:w="773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w:t>
            </w:r>
          </w:p>
        </w:tc>
        <w:tc>
          <w:tcPr>
            <w:tcW w:w="757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Disregarding the apportionment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you made in response to Question 3, what amount, if any, do you award to the Plaintiff for the injuries caused or contributed to by the February 13, 2009 accident under the following heads of damage?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his past and future pain, suffering, loss of amenities, loss of housekeeping capacity and loss of enjoyment of life caused or contributed to by the accident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$_____</w:t>
      </w:r>
      <w:r>
        <w:rPr>
          <w:rFonts w:ascii="arial" w:eastAsia="arial" w:hAnsi="arial" w:cs="arial"/>
          <w:color w:val="000000"/>
          <w:sz w:val="20"/>
          <w:u w:val="single"/>
          <w:lang w:val="en-US" w:eastAsia="en-US" w:bidi="ar-SA"/>
        </w:rPr>
        <w:t>0</w:t>
      </w:r>
      <w:r>
        <w:rPr>
          <w:rFonts w:ascii="arial" w:eastAsia="arial" w:hAnsi="arial" w:cs="arial"/>
          <w:color w:val="000000"/>
          <w:sz w:val="20"/>
          <w:lang w:val="en-US" w:eastAsia="en-US" w:bidi="ar-SA"/>
        </w:rPr>
        <w:t>_____(5)</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Past Pecuniary Damages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(physiotherapy, medicine, surgery, MRI, parking). For his out of pocket expenses from February 13, 2009 to today (Tab 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$_____</w:t>
      </w:r>
      <w:r>
        <w:rPr>
          <w:rFonts w:ascii="arial" w:eastAsia="arial" w:hAnsi="arial" w:cs="arial"/>
          <w:color w:val="000000"/>
          <w:sz w:val="20"/>
          <w:u w:val="single"/>
          <w:lang w:val="en-US" w:eastAsia="en-US" w:bidi="ar-SA"/>
        </w:rPr>
        <w:t>1600.00</w:t>
      </w:r>
      <w:r>
        <w:rPr>
          <w:rFonts w:ascii="arial" w:eastAsia="arial" w:hAnsi="arial" w:cs="arial"/>
          <w:color w:val="000000"/>
          <w:sz w:val="20"/>
          <w:lang w:val="en-US" w:eastAsia="en-US" w:bidi="ar-SA"/>
        </w:rPr>
        <w:t>_____(6)(a)</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Labour portion of receipts for past loss of housekeeping capacity from February 13, 2009 to today (Tab 7) Cash paid (no receipts) for past loss of housekeeping capacity from February 13, 2009 to today (Tab 8)</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$_____</w:t>
      </w:r>
      <w:r>
        <w:rPr>
          <w:rFonts w:ascii="arial" w:eastAsia="arial" w:hAnsi="arial" w:cs="arial"/>
          <w:color w:val="000000"/>
          <w:sz w:val="20"/>
          <w:u w:val="single"/>
          <w:lang w:val="en-US" w:eastAsia="en-US" w:bidi="ar-SA"/>
        </w:rPr>
        <w:t>3500.00</w:t>
      </w:r>
      <w:r>
        <w:rPr>
          <w:rFonts w:ascii="arial" w:eastAsia="arial" w:hAnsi="arial" w:cs="arial"/>
          <w:color w:val="000000"/>
          <w:sz w:val="20"/>
          <w:lang w:val="en-US" w:eastAsia="en-US" w:bidi="ar-SA"/>
        </w:rPr>
        <w:t>_____6)(b)</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Future Pecuniary .Damages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Housekeeping Capacity. For reduced capacity from September 22, 2015 onwards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$_____</w:t>
      </w:r>
      <w:r>
        <w:rPr>
          <w:rFonts w:ascii="arial" w:eastAsia="arial" w:hAnsi="arial" w:cs="arial"/>
          <w:color w:val="000000"/>
          <w:sz w:val="20"/>
          <w:u w:val="single"/>
          <w:lang w:val="en-US" w:eastAsia="en-US" w:bidi="ar-SA"/>
        </w:rPr>
        <w:t>0</w:t>
      </w:r>
      <w:r>
        <w:rPr>
          <w:rFonts w:ascii="arial" w:eastAsia="arial" w:hAnsi="arial" w:cs="arial"/>
          <w:color w:val="000000"/>
          <w:sz w:val="20"/>
          <w:lang w:val="en-US" w:eastAsia="en-US" w:bidi="ar-SA"/>
        </w:rPr>
        <w:t>_____(7)(a)</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w:t>
      </w:r>
      <w:r>
        <w:rPr>
          <w:rFonts w:ascii="arial" w:eastAsia="arial" w:hAnsi="arial" w:cs="arial"/>
          <w:color w:val="000000"/>
          <w:sz w:val="20"/>
          <w:u w:val="single"/>
          <w:lang w:val="en-US" w:eastAsia="en-US" w:bidi="ar-SA"/>
        </w:rPr>
        <w:t>0</w:t>
      </w:r>
      <w:r>
        <w:rPr>
          <w:rFonts w:ascii="arial" w:eastAsia="arial" w:hAnsi="arial" w:cs="arial"/>
          <w:color w:val="000000"/>
          <w:sz w:val="20"/>
          <w:lang w:val="en-US" w:eastAsia="en-US" w:bidi="ar-SA"/>
        </w:rPr>
        <w:t>_____7(b)</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Total of 5, 6(a) + 6(b) + 7(a) + 7 (b</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$_____</w:t>
      </w:r>
      <w:r>
        <w:rPr>
          <w:rFonts w:ascii="arial" w:eastAsia="arial" w:hAnsi="arial" w:cs="arial"/>
          <w:color w:val="000000"/>
          <w:sz w:val="20"/>
          <w:u w:val="single"/>
          <w:lang w:val="en-US" w:eastAsia="en-US" w:bidi="ar-SA"/>
        </w:rPr>
        <w:t>5100.00_____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question is whether judgment on the verdict can be entered or whether judgment cannot be pronounced on the findings and the action must be retried. This question arises because although the jury awarded nothing for non-pecuniary damages for "past and future pain, suffering, loss of amenities, loss of housekeeping capacity and loss of enjoyment of life caused or contributed to by the accident", it awarded $1,600 for special damages and $3,500 for past loss of housekeeping capacity from the accident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relevant rules are Rules 12-6(7), 12-6(10) and 12-6(11):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12-6(7) If, after any redirection the court considers appropriate, a jury answers some but not all of the questions directed to it, or if the answers are conflicting, so that judgment cannot be pronounced on the findings, the action must be retried.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12-6(10) A retrial under subrules (7) to (9) may take place at the same or subsequent sittings as the court may direct.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12-6(11) If, for any reason other than the misconduct of a party or the party's lawyer, a trial with a jury would be retried, the court, with the consent of the party who required a jury trial, may continue the trial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Balla</w:t>
      </w:r>
      <w:r>
        <w:rPr>
          <w:rFonts w:ascii="arial" w:eastAsia="arial" w:hAnsi="arial" w:cs="arial"/>
          <w:color w:val="000000"/>
          <w:sz w:val="20"/>
          <w:lang w:val="en-US" w:eastAsia="en-US" w:bidi="ar-SA"/>
        </w:rPr>
        <w:t>, at trial the jury found the plaintiff had been injured in the accident but awarded the plaintiff nothing for non-pecuniary damages or cost of future care but awarded the plaintiff $1,000 for special damages. The trial judge did not find that the verdict was in conflict. The Court of Appeal disagreed.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Mackenzie J.A. described the tests for scrutiny of a jury verdict: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In my view, there are two tests for scrutiny of a jury verdict, apart from errors of law. The first is stated by Rule 41(2) of the Rules of Court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41(2) Where, after any redirection the court thinks appropriate, a jury answers some but not all of the questions directed to it, or where the answers are conflicting, so that judgment cannot be pronounced on the findings, the action shall be retried.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answers are conflicting" the trial judge must direct a retrial.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second test is the </w:t>
      </w:r>
      <w:r>
        <w:rPr>
          <w:rFonts w:ascii="arial" w:eastAsia="arial" w:hAnsi="arial" w:cs="arial"/>
          <w:i/>
          <w:color w:val="000000"/>
          <w:sz w:val="20"/>
          <w:lang w:val="en-US" w:eastAsia="en-US" w:bidi="ar-SA"/>
        </w:rPr>
        <w:t>Nance</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[1951] A.C. 601</w:t>
        </w:r>
      </w:hyperlink>
      <w:r>
        <w:rPr>
          <w:rFonts w:ascii="arial" w:eastAsia="arial" w:hAnsi="arial" w:cs="arial"/>
          <w:color w:val="000000"/>
          <w:sz w:val="20"/>
          <w:lang w:val="en-US" w:eastAsia="en-US" w:bidi="ar-SA"/>
        </w:rPr>
        <w:t xml:space="preserve"> test, whether the sum awarded is inordinately low or inordinately high. The trial judge has jurisdiction to apply the first test, pursuant to Rule 41(2), but the only remedy available (subject to rule 41(6)) is a retrial. The </w:t>
      </w:r>
      <w:r>
        <w:rPr>
          <w:rFonts w:ascii="arial" w:eastAsia="arial" w:hAnsi="arial" w:cs="arial"/>
          <w:i/>
          <w:color w:val="000000"/>
          <w:sz w:val="20"/>
          <w:lang w:val="en-US" w:eastAsia="en-US" w:bidi="ar-SA"/>
        </w:rPr>
        <w:t>Nance</w:t>
      </w:r>
      <w:r>
        <w:rPr>
          <w:rFonts w:ascii="arial" w:eastAsia="arial" w:hAnsi="arial" w:cs="arial"/>
          <w:color w:val="000000"/>
          <w:sz w:val="20"/>
          <w:lang w:val="en-US" w:eastAsia="en-US" w:bidi="ar-SA"/>
        </w:rPr>
        <w:t xml:space="preserve"> test is a test of appellate review only and is not within the jurisdiction of the trial judge: </w:t>
      </w:r>
      <w:r>
        <w:rPr>
          <w:rFonts w:ascii="arial" w:eastAsia="arial" w:hAnsi="arial" w:cs="arial"/>
          <w:i/>
          <w:color w:val="000000"/>
          <w:sz w:val="20"/>
          <w:lang w:val="en-US" w:eastAsia="en-US" w:bidi="ar-SA"/>
        </w:rPr>
        <w:t>Leblanc v. Penticton (No. 2)</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(1981), 28 B.C.L.R. 179</w:t>
        </w:r>
      </w:hyperlink>
      <w:r>
        <w:rPr>
          <w:rFonts w:ascii="arial" w:eastAsia="arial" w:hAnsi="arial" w:cs="arial"/>
          <w:color w:val="000000"/>
          <w:sz w:val="20"/>
          <w:lang w:val="en-US" w:eastAsia="en-US" w:bidi="ar-SA"/>
        </w:rPr>
        <w:t xml:space="preserve"> (B.C.C.A.). The trial judge may not vary the jury's award for </w:t>
      </w:r>
      <w:r>
        <w:rPr>
          <w:rFonts w:ascii="arial" w:eastAsia="arial" w:hAnsi="arial" w:cs="arial"/>
          <w:i/>
          <w:color w:val="000000"/>
          <w:sz w:val="20"/>
          <w:lang w:val="en-US" w:eastAsia="en-US" w:bidi="ar-SA"/>
        </w:rPr>
        <w:t>Nance</w:t>
      </w:r>
      <w:r>
        <w:rPr>
          <w:rFonts w:ascii="arial" w:eastAsia="arial" w:hAnsi="arial" w:cs="arial"/>
          <w:color w:val="000000"/>
          <w:sz w:val="20"/>
          <w:lang w:val="en-US" w:eastAsia="en-US" w:bidi="ar-SA"/>
        </w:rPr>
        <w:t xml:space="preserv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finding that the trial judge was in error in concluding that the findings of the jury were not in conflict, Mackenzie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my respectful view, the learned trial judge was in error in his conclusion that the findings of the jury were not in conflict. The trial judge distinguished the decision in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[1995] B.C.J. No. 2198</w:t>
        </w:r>
      </w:hyperlink>
      <w:r>
        <w:rPr>
          <w:rFonts w:ascii="arial" w:eastAsia="arial" w:hAnsi="arial" w:cs="arial"/>
          <w:color w:val="000000"/>
          <w:sz w:val="20"/>
          <w:lang w:val="en-US" w:eastAsia="en-US" w:bidi="ar-SA"/>
        </w:rPr>
        <w:t xml:space="preserve"> as "case specific". With respect I do not agree. It is illogical to conclude that a plaintiff was injured and suffered out of pocket expenses but did not sustain any pain, suffering and loss of enjoyment, however transitory, as a result of the injury. The finding of injury and the award for special damages cannot be reconciled. Without any award for non-pecuniary damages, the answers present a clear conflict. The reasoning in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is not distinguishable.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 would not extend the application of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beyond cases where the jury has made no award (or a token award clearly intended to be nominal) for non-pecuniary damages, while having made a finding of injury caused by the accident or an award of pecuniary damages consistent only with a finding of injury. If, conversely, the jury has made an award for non-pecuniary damages and the issue is disparity between that award and awards under other heads of damage then the issue is one that can only be addressed on appeal under </w:t>
      </w:r>
      <w:r>
        <w:rPr>
          <w:rFonts w:ascii="arial" w:eastAsia="arial" w:hAnsi="arial" w:cs="arial"/>
          <w:i/>
          <w:color w:val="000000"/>
          <w:sz w:val="20"/>
          <w:lang w:val="en-US" w:eastAsia="en-US" w:bidi="ar-SA"/>
        </w:rPr>
        <w:t>Nance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 similar situation to the case at bar occurred in </w:t>
      </w:r>
      <w:r>
        <w:rPr>
          <w:rFonts w:ascii="arial" w:eastAsia="arial" w:hAnsi="arial" w:cs="arial"/>
          <w:i/>
          <w:color w:val="000000"/>
          <w:sz w:val="20"/>
          <w:lang w:val="en-US" w:eastAsia="en-US" w:bidi="ar-SA"/>
        </w:rPr>
        <w:t>Kalsi</w:t>
      </w:r>
      <w:r>
        <w:rPr>
          <w:rFonts w:ascii="arial" w:eastAsia="arial" w:hAnsi="arial" w:cs="arial"/>
          <w:color w:val="000000"/>
          <w:sz w:val="20"/>
          <w:lang w:val="en-US" w:eastAsia="en-US" w:bidi="ar-SA"/>
        </w:rPr>
        <w:t>. In that case liability was also in issue. The jury's verdict was that each party was 50% at fault and although the jury awarded the plaintiff nothing for non-pecuniary damages, future pecuniary damages or loss of homemaking capacity, they awarded the plaintiff $12,000 in past wage loss and $8,000 in special damages. Mr. Justice Gary Weatherill, while noting that the court should strive to give effect to a jury's verdict, said he could not do so when the jury's verdict was internally in conflict. Justice Weatherill said at paras. 25 and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jury is the judge of issues such as credibility, it was not open to them, after making the findings as they did regarding special damages and past loss of wages, to fail to make any award for non-pecuniary damages (</w:t>
      </w:r>
      <w:r>
        <w:rPr>
          <w:rFonts w:ascii="arial" w:eastAsia="arial" w:hAnsi="arial" w:cs="arial"/>
          <w:i/>
          <w:color w:val="000000"/>
          <w:sz w:val="20"/>
          <w:lang w:val="en-US" w:eastAsia="en-US" w:bidi="ar-SA"/>
        </w:rPr>
        <w:t>Balla</w:t>
      </w:r>
      <w:r>
        <w:rPr>
          <w:rFonts w:ascii="arial" w:eastAsia="arial" w:hAnsi="arial" w:cs="arial"/>
          <w:color w:val="000000"/>
          <w:sz w:val="20"/>
          <w:lang w:val="en-US" w:eastAsia="en-US" w:bidi="ar-SA"/>
        </w:rPr>
        <w:t>). Such a result was inconsistent.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basis of any tort action rests on a finding that the plaintiff suffered an injury. It is illogical to conclude that a plaintiff was injured and suffered past wage loss and special damages but did not sustain and pain, suffering, or loss of enjoyment, no matter how transient. (</w:t>
      </w:r>
      <w:r>
        <w:rPr>
          <w:rFonts w:ascii="arial" w:eastAsia="arial" w:hAnsi="arial" w:cs="arial"/>
          <w:i/>
          <w:color w:val="000000"/>
          <w:sz w:val="20"/>
          <w:lang w:val="en-US" w:eastAsia="en-US" w:bidi="ar-SA"/>
        </w:rPr>
        <w:t>Balla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Weatherill J. addressed whether to pronounce judgment on some of the issues. In the case before me, the defendant argues that even if I find the verdict to be inconsistent I should nevertheless enter judgment for the defendant on the 85/15% apportionment of liability. Justice Weatherill in similar circumstances held otherwise: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 considered whether Rule 12-6(8) may be of assistance to the parties. The heading for the rule is </w:t>
      </w:r>
      <w:r>
        <w:rPr>
          <w:rFonts w:ascii="arial" w:eastAsia="arial" w:hAnsi="arial" w:cs="arial"/>
          <w:i/>
          <w:color w:val="000000"/>
          <w:sz w:val="20"/>
          <w:lang w:val="en-US" w:eastAsia="en-US" w:bidi="ar-SA"/>
        </w:rPr>
        <w:t>"Only partial judgment possible on jury findings"</w:t>
      </w:r>
      <w:r>
        <w:rPr>
          <w:rFonts w:ascii="arial" w:eastAsia="arial" w:hAnsi="arial" w:cs="arial"/>
          <w:color w:val="000000"/>
          <w:sz w:val="20"/>
          <w:lang w:val="en-US" w:eastAsia="en-US" w:bidi="ar-SA"/>
        </w:rPr>
        <w:t>. Given that the jury's verdict was a finding of 50/50 liability, I considered whether judgment could be entered on the liability issue and a new trial ordered on the damages issue. On further consideration, I have determined that it cannot. The effect of making such an order would be to sever the issues of liability and damages with each issue being decided by a different trier of fact. While a trial judge has discretion to order severance of issues (Rule 12-5(68)), severance should only occur when there are extraordinary, exceptional or compelling reasons to do so and only when the issue to be tried separately is not interwoven with other issues (</w:t>
      </w:r>
      <w:r>
        <w:rPr>
          <w:rFonts w:ascii="arial" w:eastAsia="arial" w:hAnsi="arial" w:cs="arial"/>
          <w:i/>
          <w:color w:val="000000"/>
          <w:sz w:val="20"/>
          <w:lang w:val="en-US" w:eastAsia="en-US" w:bidi="ar-SA"/>
        </w:rPr>
        <w:t>King v. On-Stream Natural Gas Ltd. Partnership,</w:t>
      </w:r>
      <w:r>
        <w:rPr>
          <w:rFonts w:ascii="arial" w:eastAsia="arial" w:hAnsi="arial" w:cs="arial"/>
          <w:color w:val="000000"/>
          <w:sz w:val="20"/>
          <w:lang w:val="en-US" w:eastAsia="en-US" w:bidi="ar-SA"/>
        </w:rPr>
        <w:t xml:space="preserve"> [1990] B.C.W.L.D. 1596 (S.C.)). Further, severance of issues of liability and damages is particularly undesirable (</w:t>
      </w:r>
      <w:r>
        <w:rPr>
          <w:rFonts w:ascii="arial" w:eastAsia="arial" w:hAnsi="arial" w:cs="arial"/>
          <w:i/>
          <w:color w:val="000000"/>
          <w:sz w:val="20"/>
          <w:lang w:val="en-US" w:eastAsia="en-US" w:bidi="ar-SA"/>
        </w:rPr>
        <w:t>Dosanjh v. Romanda,</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[1974] 6 W.W.R. 460</w:t>
        </w:r>
      </w:hyperlink>
      <w:r>
        <w:rPr>
          <w:rFonts w:ascii="arial" w:eastAsia="arial" w:hAnsi="arial" w:cs="arial"/>
          <w:color w:val="000000"/>
          <w:sz w:val="20"/>
          <w:lang w:val="en-US" w:eastAsia="en-US" w:bidi="ar-SA"/>
        </w:rPr>
        <w:t xml:space="preserve"> (B.C.S.C.)). Unless compelling reasons exist to do so, courts generally are reluctant to order severance of liability and damages. That is especially so where, as here, the plaintiff's credibility is an important issue in the case (</w:t>
      </w:r>
      <w:r>
        <w:rPr>
          <w:rFonts w:ascii="arial" w:eastAsia="arial" w:hAnsi="arial" w:cs="arial"/>
          <w:i/>
          <w:color w:val="000000"/>
          <w:sz w:val="20"/>
          <w:lang w:val="en-US" w:eastAsia="en-US" w:bidi="ar-SA"/>
        </w:rPr>
        <w:t>Beddow v. Megyesi</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(1992), 63 B.C.L.R. (2d) 158</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In my judgement, Rule 12-6(8) does not permit the severance of the issues of liability and damages. Rather, Rule 12-6(8) is intended to fill a hole where a particular claim in the prayer for relief in a notice of civil claim has not been addressed by the jury but others have. That is not the case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Because the plaintiff's credibility is critical to the determination of both liability and damages, those issues cannot be severed.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in the case at bar challenges the assertion that the verdict was conflicting or contradictory. The defendant says that it was open to the jury to draw inferences from the evidence to reach the verdict that they did. This the defendant says includes that the plaintiff's back was actively painful at the time of the accident, that the accident did not cause the need for an L3-4 laminectomy in July 2009, and that the plaintiff was suffering fibromyalgia before the accident and the accident did not cause or contribute to the fibromyalgia. I do not understand the plaintiff to argue that those verdicts were not available on the evidence, but what the plaintiff argues is that the special damages award (and the past housekeeping award) was a pecuniary award upon injury that was inconsistent with a zero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However, the defendant says that upon examination the jury's answers are not internally inconsistent when viewed as a total damage award and in light of the way the plaintiff framed his pecuniary claim, a claim which the defendant says the jury largely rejected. The defendant puts his argument the following way. The jury was instructed to round the award to the nearest thousand dollars or nearest $100. Given that the jury's answers show that the jury clearly believed the plaintiff's damages were minimal as they awarded nothing for loss of his golden years, loss of housekeeping capacity or loss of amenities, the jury, the defendant argues, in awarding something for past housekeeping capacity for work others did for him, was in essence only providing the pecuniary award, in the context of the award as a whole, as part of compensation for what might have been non-pecuniary damages for loss of solace. In other words, the defendant says that this analysis shows that the jury was not finding there was no injury while at the same time awarding damages for losses resulting from injury. The defendant says analyzing the verdict this way shows that there is no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Notwithstanding the importance of attempting to enforce a jury's verdict and the fact that even apart from the 85%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award against the plaintiff, the award was at best either very modest or nil, I am driven to conclude that to award nothing for non-pecuniary damages but award $1,200 for special damages is an inconsistent verdict.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Although a possible rationalization of the award is that the jury intended to award the plaintiff say $400 for non-pecuniary damages but rounded it down in accordance with my instructions to zero, I reject that. I find the jury intended to award nothing for non-pecuniary damages. Even if the jury intended to award only a nominal amount for non-pecuniary damages, I think that would still create an inconsistent verdict: see </w:t>
      </w:r>
      <w:r>
        <w:rPr>
          <w:rFonts w:ascii="arial" w:eastAsia="arial" w:hAnsi="arial" w:cs="arial"/>
          <w:i/>
          <w:color w:val="000000"/>
          <w:sz w:val="20"/>
          <w:lang w:val="en-US" w:eastAsia="en-US" w:bidi="ar-SA"/>
        </w:rPr>
        <w:t>Le v. Luz</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2003 BCCA 640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also reject the submission that the jury verdict could properly be interpreted to mean that they intended to award something for non-pecuniary damages under a pecuniary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Although the defendant argues forcefully that there was coherence and consistency in the jury verdict, I respectfully disagree. I find that the jury award, although small from the plaintiff's perspective, is inconsistent and judgment cannot be entered on the defendant's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question then arises whether I can and should sever the issues of liability and damages and enter judgment on liability for the plaintiff including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finding and direct a retrial only on damages, or whether I should order a retrial of the entire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have concluded that I am bound by the considered decision of my brother Weatherill J. in </w:t>
      </w:r>
      <w:r>
        <w:rPr>
          <w:rFonts w:ascii="arial" w:eastAsia="arial" w:hAnsi="arial" w:cs="arial"/>
          <w:i/>
          <w:color w:val="000000"/>
          <w:sz w:val="20"/>
          <w:lang w:val="en-US" w:eastAsia="en-US" w:bidi="ar-SA"/>
        </w:rPr>
        <w:t>Kalsi</w:t>
      </w:r>
      <w:r>
        <w:rPr>
          <w:rFonts w:ascii="arial" w:eastAsia="arial" w:hAnsi="arial" w:cs="arial"/>
          <w:color w:val="000000"/>
          <w:sz w:val="20"/>
          <w:lang w:val="en-US" w:eastAsia="en-US" w:bidi="ar-SA"/>
        </w:rPr>
        <w:t>. Although severance may be ordered in many cases before trial, this is not an appropriate case to have issues that are largely dependent on credibility decided by different triers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Given that there must be a retrial, how should that take place? A further trial by a new jury would be months, or a year or more, ahead. The mode of trial by jury was at the plaintiff's request but now he wants the retrial by judge alone. The plaintiff now consents to and requests a retrial being conducted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think for a number of reasons that the retrial should be before me. I heard all of the evidence and the submissions of counsel. Given the fact that it would be a lengthy time until the matter is retried before a jury, and given the age of the plaintiff and the question of cost to the parties, I think it is appropriate that I conduct a retrial based on the evidence I have heard and I so order. Accordingly I exercise my discretion under the governing rule that the retrial take place before me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have heard the submissions of counsel and a recording of those submissions is available to me to refresh my memory. Counsel may make further submissions in writing on liability and damages provided they do not repeat what I have already heard in the submissions to the jury. I ask that the plaintiff file his argument within three weeks and the defendant his argument within three weeks following, with the plaintiff having a right of reply within a week. I will then hand down a written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parties have liberty to make submissions on costs following my written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 w:history="1">
        <w:r>
          <w:rPr>
            <w:rFonts w:ascii="arial" w:eastAsia="arial" w:hAnsi="arial" w:cs="arial"/>
            <w:b/>
            <w:bCs/>
            <w:i/>
            <w:color w:val="0077CC"/>
            <w:kern w:val="32"/>
            <w:sz w:val="28"/>
            <w:szCs w:val="32"/>
            <w:u w:val="single"/>
            <w:shd w:val="clear" w:color="auto" w:fill="FFFFFF"/>
            <w:lang w:val="en-US" w:eastAsia="en-US" w:bidi="ar-SA"/>
          </w:rPr>
          <w:t>R.G.H. v. British Columbia, [2009] B.C.J. No. 674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9-10,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S082915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674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460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176 A.C.W.S. (3d) 993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R.G.H., Plaintiff, and Her Majesty the Queen in Right of the Province of British Columbia, and the Ministry of Children and Family Development (MCFD), and Bruce McNeil and Joan Bischoff,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 w:name="Case Summary"/>
            <w:bookmarkEnd w:id="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defendants and the plaintiff for summary trial of the action. The plaintiff sued the defendants for damages for improper disclosure of information about him contained in files of the Ministry of Children and Family Development which he alleged caused him to lose employment opportunities. The plaintiff was hired by a group home operated by the Ministry, although his required background check and prior contact check had not been completed when he commenced work. The defendant Bishoff was the Ministry's resource worker responsible for monitoring and supervising the group home contract. At the time of his interview, the plaintiff had signed a consent form consenting to the disclosure of all information in the control of the Ministry. Bishoff ran a computer background check on the plaintiff which indicated a complaint that the plaintiff might have abused his daughter several years earlier. Bishoff wanted to investigate the matter further and obtain a further consent to obtain the physical file. Bishoff alleged that she only informed the group home employee that the computer check had reveled something that required further investigation but did not disclose the nature of the matter. The plaintiff alleged Bishoff had informed the employee that there was a complaint that involved his daughter and that he should be supervised when working with youth. The plaintiff filed a complaint with respect to Bishoff's actions. The formal review report of the complaint was mistakenly delivered by Canada Post to the plaintiff's neighbour who read it. The plaintiff sued the Ministry's Director in defamation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alleging that the Director should have mailed the report by registered mail, rather than regular mail.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 w:name="Holdings of Court"/>
            <w:bookmarkEnd w:id="6"/>
            <w:r>
              <w:rPr>
                <w:rFonts w:ascii="arial" w:eastAsia="arial" w:hAnsi="arial" w:cs="arial"/>
                <w:color w:val="000000"/>
                <w:sz w:val="20"/>
                <w:lang w:val="en-US" w:eastAsia="en-US" w:bidi="ar-SA"/>
              </w:rPr>
              <w:t>HELD: Applications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 against the Director was dismissed. In sending the report by ordinary mail addressed to the plaintiff, the director did not fail to meet the requisite standard of care. The improper delivery of the report to the neighbour did not constitute publication for which the director was responsible. The claims against Bishoff could not be determined on summary trial as there was a fundamental conflict in the evidence respect the information revealed by Bishoff. Considering the importance of the issues to the parties, the case against Bishoff should be decided on the basis of an evidentiary record that permitted a judge to make proper findings of fact after assessing the credibility of the evidence adduced by each party.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 w:name="Legislation Cited_0"/>
      <w:bookmarkEnd w:id="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Child, Family and Community Service Act, </w:t>
      </w:r>
      <w:hyperlink r:id="rId26" w:history="1">
        <w:r>
          <w:rPr>
            <w:rFonts w:ascii="arial" w:eastAsia="arial" w:hAnsi="arial" w:cs="arial"/>
            <w:i/>
            <w:color w:val="0077CC"/>
            <w:sz w:val="20"/>
            <w:u w:val="single"/>
            <w:shd w:val="clear" w:color="auto" w:fill="FFFFFF"/>
            <w:lang w:val="en-US" w:eastAsia="en-US" w:bidi="ar-SA"/>
          </w:rPr>
          <w:t>RSBC 1996, CHAPTER 46, s. 2</w:t>
        </w:r>
      </w:hyperlink>
      <w:r>
        <w:rPr>
          <w:rFonts w:ascii="arial" w:eastAsia="arial" w:hAnsi="arial" w:cs="arial"/>
          <w:color w:val="000000"/>
          <w:sz w:val="20"/>
          <w:lang w:val="en-US" w:eastAsia="en-US" w:bidi="ar-SA"/>
        </w:rPr>
        <w:t>, s.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18A, Rule 18A(8)(b), Rule 18A(11)(a)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 w:name="Counsel_0"/>
      <w:bookmarkEnd w:id="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on his own behalf: R.G.H.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K.A. Horsman.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 w:name="Judgment_0"/>
      <w:bookmarkEnd w:id="9"/>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 w:name="W. EHRCKE J."/>
            <w:bookmarkEnd w:id="10"/>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his statement of claim filed April 24, 2008, Mr. H. seeks damages against the defendants for the improper disclosure of information about him contained in files of the Ministry of Children and Family Development ("MCFD"), which he says caused him to lose employment opportunities. He claims $10,000,000 in general damages, $10,000,000 in "statutory damages", and $500,000,000 in punitive damages based on the alleged malicious nature of the defendants' conduct. Mr. H. alleges three causes of action in tort: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defamation, and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notice of motion dated January 20, 2009, the defendants apply for the present action to be determined by way of summary trial pursuant to Rule 18A. Mr. H. has also filed a notice of motion dated February 24, 2009, in which he seeks to have the issue of liability as set out in his statement of claim determined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H. and the defendants have filed affidavits and transcripts of opposing parties' examinations for discovery, and they submit that the issues can properly be determined on the basis of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British Columbia, child protection services are provided by MCFD pursuant to the </w:t>
      </w:r>
      <w:r>
        <w:rPr>
          <w:rFonts w:ascii="arial" w:eastAsia="arial" w:hAnsi="arial" w:cs="arial"/>
          <w:b/>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CFCS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Section 2 of the </w:t>
      </w:r>
      <w:r>
        <w:rPr>
          <w:rFonts w:ascii="arial" w:eastAsia="arial" w:hAnsi="arial" w:cs="arial"/>
          <w:b/>
          <w:i/>
          <w:color w:val="000000"/>
          <w:sz w:val="20"/>
          <w:lang w:val="en-US" w:eastAsia="en-US" w:bidi="ar-SA"/>
        </w:rPr>
        <w:t>CFCS Act</w:t>
      </w:r>
      <w:r>
        <w:rPr>
          <w:rFonts w:ascii="arial" w:eastAsia="arial" w:hAnsi="arial" w:cs="arial"/>
          <w:color w:val="000000"/>
          <w:sz w:val="20"/>
          <w:lang w:val="en-US" w:eastAsia="en-US" w:bidi="ar-SA"/>
        </w:rPr>
        <w:t xml:space="preserve"> provides that the safety and well being of children are the paramount considerations in the administration of the statute. When a child is in need of protection, he or she may be placed in the custody of the Director, who then exercises the rights and responsibilities of the guardian of the person of the child, other than the right to consent to adoption (</w:t>
      </w:r>
      <w:r>
        <w:rPr>
          <w:rFonts w:ascii="arial" w:eastAsia="arial" w:hAnsi="arial" w:cs="arial"/>
          <w:b/>
          <w:i/>
          <w:color w:val="000000"/>
          <w:sz w:val="20"/>
          <w:lang w:val="en-US" w:eastAsia="en-US" w:bidi="ar-SA"/>
        </w:rPr>
        <w:t>CFCS Act</w:t>
      </w:r>
      <w:r>
        <w:rPr>
          <w:rFonts w:ascii="arial" w:eastAsia="arial" w:hAnsi="arial" w:cs="arial"/>
          <w:color w:val="000000"/>
          <w:sz w:val="20"/>
          <w:lang w:val="en-US" w:eastAsia="en-US" w:bidi="ar-SA"/>
        </w:rPr>
        <w:t>, s. 47). Where a child is in the care of the Director pursuant to a continuing custody order, the Director is the sole legal guardian of the person of the child (</w:t>
      </w:r>
      <w:r>
        <w:rPr>
          <w:rFonts w:ascii="arial" w:eastAsia="arial" w:hAnsi="arial" w:cs="arial"/>
          <w:b/>
          <w:i/>
          <w:color w:val="000000"/>
          <w:sz w:val="20"/>
          <w:lang w:val="en-US" w:eastAsia="en-US" w:bidi="ar-SA"/>
        </w:rPr>
        <w:t>CFCS Act</w:t>
      </w:r>
      <w:r>
        <w:rPr>
          <w:rFonts w:ascii="arial" w:eastAsia="arial" w:hAnsi="arial" w:cs="arial"/>
          <w:color w:val="000000"/>
          <w:sz w:val="20"/>
          <w:lang w:val="en-US" w:eastAsia="en-US" w:bidi="ar-SA"/>
        </w:rPr>
        <w:t>, s.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are a number of different models for the provision of services to children in the custody of the Director. MCFD may contract directly with foster parents to provide residential care in their homes. In other cases, MCFD contracts with agencies to provide group home care, with the contracted agency responsible for hiring and employing its own staff. In such circumstances, MCFD retains an ongoing supervisory and monitoring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Access House is one such specialized residential program which provides care to male youth between the ages of 12 and 18. The presenting problems of these youth include sexually intrusive behaviour and mental health issues. Some of the residents of Access House have young offender convictions which may include sexual offences. Many have been abused themselves as children and require on-going counselling for these issues. The youth who reside at Access House are in the care of MCFD and placed in Access House under contract with MCFD. Resource social workers employed by MCFD play an on-going monitoring and supervision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May 2006, Access House operated a home in Burnaby. The contractor for the program was Marian Haden Enterprises Inc., and Marian Haden was the Program Director. In early May 2006, she hired Jessie Ford to perform the duties of acting Program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permanent on-site staff at Access House included the Program Coordinator, Carlo Laertini, and youth workers who worked rotating 24-hour shifts. Additional workers were hired on occasion to provide one-to-one care for youths who presented particularly difficult behavioural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a matter of standard policy, all new staff at Access House were required to undergo a detailed background check, which included a criminal record check, reference checks, and a medical clearance from a physician. In addition, all new staff were required to sign a consent to the disclosure of information in the possession of MCFD. Such consents were forwarded to MCFD so that the resource social worker could carry out a Prior Contact Check ("PCC"). According to the affidavit of Jessie Ford, a high level of scrutiny on the background of new staff was required because of the specialized nature of the care provided by Access House and the high vulnerability of the youths who were resident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All new staff at Access House were also required to go through a 40-hour training program which involved supervision by youth workers or the Program Coordinator. The background checks were typically completed before a new employee started work, or at least during the period of supervised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Saturday, April 29, 2006, Ms. Haden interviewed Mr. H. at her home regarding a temporary contract to act as a part-time worker at Access House to assist staff with a youth ("B") who had severe behaviour difficulties. At the conclusion of the interview, Ms. Haden told Mr. H. he was hired and that he should report to work on Monday, May 1, 2006. The contract that Mr. H. signed that day indicated Mr. H.'s agreement to act as a "subcontractor" with Access House on a part-time basis for a period of 60 days at a pay rate of $15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circumstances of Mr. H.'s employment were unusual. Because he was told by Ms. Haden to report to work on the Monday following their interview, the required background checks, including the PCC, had not been completed before he began work, nor had he undergone the usual 40 hours of supervised training ordinarily required by Access House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 had previously acted as a foster parent for about a year in 2001-2002, and had operated an after-school program at a local elementary school in Sechelt from 2001-2004.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youth that Mr. H. was to work with, B, was in the permanent care of the Director under a continuing custody order. He had been sexually and physically abused as a child, and his presenting problems included sexually intrusive behaviour and mental health issues. His behaviour was so difficult to manage that he required periods of one-to-one care in order to allow the full-time youth workers to perform their other duties. Mr. H.'s duties primarily involved taking B out alone on various activities in the community, such as trips to the Vancouver Aquarium.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Joan Bischoff was the MCFD resource worker responsible for monitoring and supervising the Access House contract. On May 2, 2006, the Program Coordinator, Carlo Laertini, advised her that Mr. H. had started working one-to-one with B. Ms. Bischoff had never heard of or met Mr. H. prior to that date. Mr. Laertini gave Ms. Bischoff a consent to disclosure of information form signed by Mr. H. and dated May 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consent form, on the letterhead of the British Columbia Ministry of Children and Family Development,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R.H., of [address] consent to the disclosure of information about me for the following purpose: Youth Work. I consent to the disclosure of all information in the custody or control of the Ministry of Children and Family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his Examination for Discovery, Mr. H. acknowledged that he read those words on the form before he signed it, and he understood what they meant.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Bischoff was not able to run a PCC check until May 8, 2006 when she was given Mr. H.'s date of birth by Mr. Laertini. She then ran the computer check on the Ministry Information System, which revealed the existence of two files on Mr. H.: a Resource file and an Assessment Only file. A Resource file is opened when an individual is providing child care services to the Ministry, such as acting as a foster parent. An Assessment Only file is opened whenever an intake call is received by MCFD. An Assessment Only file might or might not raise child protection concerns. That cannot be determined from the computer; rather, the physical file must be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Bischoff ordered a physical copy of the Assessment Only file in order to determine if it raised any concerns about Mr. H.'s ability to safely care for the youth at Access House. When she received the file a few days later, she discovered that it related to a call received in the Sechelt office of MCFD in 1996 which reported that Mr. H. might have abused his daughter several years earlier, and also reported that his daughter was currently exhibiting some unusual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her Affidavit #2, Joan Bischoff deposed that the contents of the Assessment Only file raised concerns for her. The initial assessment completed by the social worker in 1996 indicated that no further action was necessary, but the rationale for that conclusion was unclear to Ms. Bischoff. She deposed that given the seriousness of the allegation, she would have expected more in the way of investigation before a decision was made not to take further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Bischoff decided to order a physical copy of the 2001 Resource file, because she expected that the Assessment Only file would have been reviewed as part of the foster home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Bischoff deposed in her Affidavit #2 that it is her standard practice to ask for a second consent form when a file comes up on an applicant during a PCC, first because she wants the applicant to be very clear about the fact that he or she is consenting to the disclosure of any information in MCFD files, and second because this provides an opportunity for the employer to discuss with the applicant any past involvement with MCFD, which may assist the employer in assessing the applicant's suitability to safely work with children in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or about May 12, 2006, Ms. Bischoff telephoned Jessie Ford and told her that something had come up on Mr. H.'s PCC that she wished to investigate further. She told Ms. Ford that she wanted to receive a more specific consent to the disclosure of information from Mr. H. before she was prepared to discuss the content of the file in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followed an exchange of emails between Ms. Bischoff and Ms. Ford. On May 17, 2006 at 3:46 p.m., Ms. Bischoff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Jessie, I am needing you to get Rob H's written consent for me to speak with you openly about the info that the Min, has. I am not clear what "allegations" RH discussed with you, nor do I have any knowledge of him being a foster parent. Tx,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Ford replied on May 18, 2006, at 12:11 p.m.: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I'll get him to sign a release of information. To clarify in the mean time you do not want him unsupervised with the youth, correct? I'll get the form to you later today. Thanks, Jessie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12:31 p.m., Ms. Bischoff wrote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Jessie, I have his Consent to Disclosure form allowing me to search our system. I want you to be clear with him and get his written consent that he is allowing me to share with you all the info I have on him in our records. This is something he may not be clear about .... tx,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Ford replied at 12:43 p.m.: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Joan, I understand and I have drawn up a consent for release of info. He will sign it this afternoon and Carlo will fax it to you. I'm wondering what the status of his one to ones is. We discussed on Friday me meeting with him and getting back to you. You do at this time want him supervised while with the youth correct? (Until you and I discuss concerns and we receive his Solicitor General check)? Jessie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1:07 p.m., Ms. Bischoff wrote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Sorry Jessie, I did not answer you in my last email ... to be on the safe side I would prefer that he may be supervised, if you can do this. ...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Thursday May 18, 2008, Mr. Laertini presented a second consent form to Mr. H. and asked him to sign it. This form was on Access House letterhead and addressed "To whom it may concern." It was worded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R.H. hereby give consent for Joan Bischoff, Resource Worker MCFD, and any other employee of MCFD to share relevant information about myself in reference to caring for children, my history with children and reports that MCFD may have received regarding these events or other relevant reports that they may have received about my previous conduct. I consent to having this information shared with Access House Program Director Jessie Ford and Executive Director, Marian Haden. This agreement is valid until May 15,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 agreed in his Examination for Discovery that he read this form and understood its contents before signing it. He also agreed that by this time he was specifically aware of the existence of the 1996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Thursday, May 18, 2008, Access House provided the second consent form signed by Mr. H. to Ms. Bischoff and Mr. H. was told by Access House staff that he needed to be supervised in his contact with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May 24, 2006, Ms. Haden told Mr. H. that in light of the need for supervision there was no point in Access House continuing Mr. H.'s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Bischoff reviewed the Resource file relating to Mr. H.'s time as a foster parent. It contained reports that Mr. H. had trouble with boundaries, reacted defensively, took things personally, and occasionally appeared hostile to the social worker, but it did not reference the Assessment Only file, so Ms. Bischoff did not have the benefit of any further analysis of the 1996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her Affidavit #2, Ms. Bischoff deposed that at this time she had not reached any conclusion about whether the contents of the files had any implications for Mr. H.'s ability to safely care for children at Access House, but she did feel they raised concerns that needed to be explored. She says that she never told Ms. Ford or Ms. Haden that she believed the 1996 report to be true, but only that she believed it required some further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June 5, 2006, Ms. Bischoff spoke on the telephone with Jessie Ford and told her that she had concerns about the adequacy of the investigation into the 1996 report. Ms. Bischoff expressed the belief that the files as a whole contained some red flags. She did not provide physical copies of Mr. H.'s files to either Ms. Ford or Ms. Haden. Ms. Ford advised Ms. Bischoff that Mr. H. had not worked with B for several weeks and that he was looking for other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Neither Ms. Ford nor Ms. Bischoff can recall if they had any additional conversations over the telephone about the issue other than those on May 12 and June 5. Apart from the email exchange on May 17-18, there was no written communication between Ms. Bischoff and Ms. Ford regarding the PCC on Mr.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therefore submit that the information conveyed by Ms. Bischoff to Ms. Ford between May 12, 2006 and June 5, 2006 consisted of the following:</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Bischoff advised Ms. Ford that something had come up on [Mr. H.'s] PCC check, and Ms. Bischoff wished to conduct a further review.</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"on the safe side", Ms. Bischoff stated "would prefer that [Mr. H.] may be supervised" until the review was complete "if you can do this".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Bischoff discussed the content of the Assessment Only and Resource file in general terms to Ms. Ford over the telephone once she had reviewed them.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Bischoff expressed concern about the adequacy of the investigation in the 1996 report, and expressed the belief that the files as a whole (both the Assessment Only and Resource files) contained red flags.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is some factual dispute as to the precise timing of these communications during the period May 12 - June 5, 2006. In their affidavits, Ms. Bischoff and Ms. Ford depose that prior to May 14, 2006, all that Ms. Bischoff had told Ms. Ford was that "something had come up" on the PCC but that Ms. Bischoff did not wish to discuss the content of the file until Mr. H. had signed a second consent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H., in his Affidavit #1, has deposed that on Sunday, May 14, 2006, he attended a meeting with Ms. Haden and Ms. Ford. As soon as he was seated, Ms. Ford told him that MCFD had reported to her that a file existed regarding himself and his daughter, and she asked that he explain the 1996 Ministry file. He went on to depose at paragraphs 25-26 of his affidavit: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was then informed by Ms. Ford at the May 14, 2006 meeting, that the Ministry had reported to her that the 1996 allegation </w:t>
      </w:r>
      <w:r>
        <w:rPr>
          <w:rFonts w:ascii="arial" w:eastAsia="arial" w:hAnsi="arial" w:cs="arial"/>
          <w:i/>
          <w:color w:val="000000"/>
          <w:sz w:val="20"/>
          <w:lang w:val="en-US" w:eastAsia="en-US" w:bidi="ar-SA"/>
        </w:rPr>
        <w:t>"... had not been properly investigated</w:t>
      </w:r>
      <w:r>
        <w:rPr>
          <w:rFonts w:ascii="arial" w:eastAsia="arial" w:hAnsi="arial" w:cs="arial"/>
          <w:color w:val="000000"/>
          <w:sz w:val="20"/>
          <w:lang w:val="en-US" w:eastAsia="en-US" w:bidi="ar-SA"/>
        </w:rPr>
        <w:t xml:space="preserve">" and that I was to </w:t>
      </w:r>
      <w:r>
        <w:rPr>
          <w:rFonts w:ascii="arial" w:eastAsia="arial" w:hAnsi="arial" w:cs="arial"/>
          <w:i/>
          <w:color w:val="000000"/>
          <w:sz w:val="20"/>
          <w:lang w:val="en-US" w:eastAsia="en-US" w:bidi="ar-SA"/>
        </w:rPr>
        <w:t>" ... be supervised while working with youth.</w:t>
      </w: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managed to explain that my brother-in-law was mentally ill and that he had called the Ministry because he had concerns regarding my daughter. I did not offer any details, but it was clear that the two Access House individuals were already familiar with the nature of the Ministry report. Ms. Haden has prepared an affidavit and admits that she was informed of the nature of the allegation by Jessie Ford prior to when I arrived at her residence.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That last reference is to the affidavit of Marian Haden sworn August 20, 2008, where she deposed at paragraphs 12-13:</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May 13 or 14, 2006 (the weekend), I asked Mr. H. to meet at my home/office, so that I could give him his pay and to meet Jessie Ford. Ms. Ford had informed me that Mr. H. had a file on the Ministry computer. I believe it was something to do with his daughter but, cannot recall the details. At the meeting, Ms. Ford and I asked Mr. H. if he could recall the occurrence. I only remember Mr. H. stating something to the effect that he had an ex-brother-in-law who was mentally ill and reported him to the Ministry as the ex-brother-in-law thought Mr. H.'s daughter was acting strange. I cannot be positive as to the wording, this was over 2 years ago, and I did not take notes.</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then informed by Ms. Ford and Mr. H. that he was to be supervised in AHP and not to take out the youth that he was hired to go on outings with. I understood that this was requested by Ms. Bishop (sic). On or about May 24, 2006, I contacted Mr. H. and told him this defeated the whole reason for hiring him and I would have to lay him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the time of these events, there was no written policy that dictated the steps a social worker should take if a PCC check disclosed the existence of a file on a potential employee or foster parent. Ms. Bischoff sought direction from her team leader Linda Fennema before discussing the files with Ms. Ford, and in consultation with Ms. Fennema decided on a course of action. Ms. Bischoff says she disclosed the existence and general content of Mr. H.'s files only to Ms. Ford, and only for the purpose of assessing Mr. H.'s suitability to work one-on-one with the youth at Access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June 2006, Mr. H. filed a complaint with MCFD directed at the actions of Ms. Bischoff in disclosing information in Mr. H.'s MCFD files to Access House. As the MCFD Director in the Fraser Region, the defendant Bruce McNeill had the statutory responsibility of responding to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McNeill met with Mr. H. in person prior to releasing his formal review report for the purpose of discussing the tentative findings. This was the first time Mr. McNeill had ever met Mr. H. Mr. McNeill had no involvement in the circumstances surrounding Mr. H.'s employment with Access House, and he became aware of these events only after Mr. H. left his employment and complained to MCFD.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McNeill sent the formal review report to Mr. H. by regular mail. Mr. H. subsequently complained that Canada Post had mistakenly delivered the report to a neighbour, who had opened it and read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Mr. H. was dissatisfied with the outcome of the MCFD review, and he filed a complaint with the Privacy Commissioner. He alleged that MCFD had breached the provisions of the </w:t>
      </w:r>
      <w:r>
        <w:rPr>
          <w:rFonts w:ascii="arial" w:eastAsia="arial" w:hAnsi="arial" w:cs="arial"/>
          <w:b/>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by disclosing his personal information to Access House. In a letter dated September 17, 2007, the Commissioner found Mr. H.'s complaint to be unsubstantiated.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Mr. H. sought a review of that decision pursuant to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His petition was allowed, and the Commissioner's ruling of September 17, 2007 was quashed: see </w:t>
      </w:r>
      <w:r>
        <w:rPr>
          <w:rFonts w:ascii="arial" w:eastAsia="arial" w:hAnsi="arial" w:cs="arial"/>
          <w:b/>
          <w:i/>
          <w:color w:val="000000"/>
          <w:sz w:val="20"/>
          <w:lang w:val="en-US" w:eastAsia="en-US" w:bidi="ar-SA"/>
        </w:rPr>
        <w:t>H. v. British Columbia (Information and Privacy Commissioner)</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2008 BCSC 411</w:t>
        </w:r>
      </w:hyperlink>
      <w:r>
        <w:rPr>
          <w:rFonts w:ascii="arial" w:eastAsia="arial" w:hAnsi="arial" w:cs="arial"/>
          <w:color w:val="000000"/>
          <w:sz w:val="20"/>
          <w:lang w:val="en-US" w:eastAsia="en-US" w:bidi="ar-SA"/>
        </w:rPr>
        <w:t>. At para. 72 of that decision, the court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The Commissioner's decision of September 17, 2007 that Ms. Bischoff and the MCFD did nothing inappropriate in relation to Mr. H. resulted from an improper characterization of the issue. It cannot stand as approbation of Ms. Bischoff's conduct. I am satisfied the ruling should be and it is hereby quashed.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That case was appealed to the British Columbia Court of Appeal. I am told that the appeal was heard the week of February 23, 2009 and that judgment has been 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Claims Against Mr. McNeill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H.'s complaint against Mr. McNeill is that his formal review report was erroneously delivered by Canada Post to a neighbour in Mr. H.'s duplex, and that neighbour then improperly opened and read the contents that were addressed to Mr. H. Mr. H. maintains that in light of the sensitive nature of the information, Mr. McNeill should have sent the report by registered 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H.'s action against Mr. McNeill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succeed because it was not reasonably foreseeable either that Canada Post would deliver the letter to the incorrect address, or that if it did, the recipient would open the envelope addressed to Mr. H. and read the contents. Even if, in hindsight, Mr. McNeill might agree that it would have been better to send the report by registered mail, I am unable to find on the evidence that in sending the report by ordinary mail addressed to Mr. H., Mr. McNeill failed to meet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For similar reasons, the claim in defamation against Mr. McNeill must fail. The relevant principles are discussed in R.E.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2nd Ed. (Carswell: Toronto), at pp. 7-66 and 7-67: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letter should reach its destination and a person other than the one to whom the letter was addressed should open and read the defamatory remarks, this is not a publication for which the writer is responsible, unless he or she intends that (sic) the other person to read it, or there are circumstances about which the writer is aware, or should reasonably have been aware, indicating that the letter would be opened and read by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b/>
          <w:i/>
          <w:color w:val="000000"/>
          <w:sz w:val="20"/>
          <w:lang w:val="en-US" w:eastAsia="en-US" w:bidi="ar-SA"/>
        </w:rPr>
        <w:t>Huth v. Huth</w:t>
      </w:r>
      <w:r>
        <w:rPr>
          <w:rFonts w:ascii="arial" w:eastAsia="arial" w:hAnsi="arial" w:cs="arial"/>
          <w:color w:val="000000"/>
          <w:sz w:val="20"/>
          <w:lang w:val="en-US" w:eastAsia="en-US" w:bidi="ar-SA"/>
        </w:rPr>
        <w:t>, [1915] 3 K.B. 32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Finally, the claim for misfeasance of public office cannot succeed. The essential elements of that tort were set out in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at pp. 281-282: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then are the essential ingredients of the tort, at least insofar as it is necessary to determine the issues that arise on the pleadings in this case? In </w:t>
      </w:r>
      <w:r>
        <w:rPr>
          <w:rFonts w:ascii="arial" w:eastAsia="arial" w:hAnsi="arial" w:cs="arial"/>
          <w:i/>
          <w:color w:val="000000"/>
          <w:sz w:val="20"/>
          <w:lang w:val="en-US" w:eastAsia="en-US" w:bidi="ar-SA"/>
        </w:rPr>
        <w:t>Three Rivers</w:t>
      </w:r>
      <w:r>
        <w:rPr>
          <w:rFonts w:ascii="arial" w:eastAsia="arial" w:hAnsi="arial" w:cs="arial"/>
          <w:color w:val="000000"/>
          <w:sz w:val="20"/>
          <w:lang w:val="en-US" w:eastAsia="en-US" w:bidi="ar-SA"/>
        </w:rPr>
        <w:t xml:space="preserve">, the House of Lords held that the tort of misfeasance in a public office can arise in one of two ways, what I shall call Category A and Category B. Category A involves conduct that is specifically intended to injure a person or class of persons. Category B involves a public officer who acts with knowledge both that she or he has no power to do the act complained of and that the act is likely to injure the plaintiff. This understanding of the tort has been endorsed by a number of Canadian courts: see for example </w:t>
      </w:r>
      <w:r>
        <w:rPr>
          <w:rFonts w:ascii="arial" w:eastAsia="arial" w:hAnsi="arial" w:cs="arial"/>
          <w:i/>
          <w:color w:val="000000"/>
          <w:sz w:val="20"/>
          <w:lang w:val="en-US" w:eastAsia="en-US" w:bidi="ar-SA"/>
        </w:rPr>
        <w:t>Powder Mountain Resorts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Alberta (Minister of Public Works, Supply and Services)</w:t>
      </w:r>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Granite Power Corp. v. Ontario</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[2002] O.J. No. 2188</w:t>
        </w:r>
      </w:hyperlink>
      <w:r>
        <w:rPr>
          <w:rFonts w:ascii="arial" w:eastAsia="arial" w:hAnsi="arial" w:cs="arial"/>
          <w:color w:val="000000"/>
          <w:sz w:val="20"/>
          <w:lang w:val="en-US" w:eastAsia="en-US" w:bidi="ar-SA"/>
        </w:rPr>
        <w:t xml:space="preserve"> (S.C.J.). It is important, however, to recall that the two categories merely represent two different ways in which a public officer can commit the tort; in each instance, the plaintiff must prove each of the tort's constituent elements. It is thus necessary to consider the elements that are common to each form of the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there are two such elements. First, the public officer must have engaged in deliberate and unlawful conduct in his or her capacity as a public officer. Second, the public officer must have been aware both that his or her conduct was unlawful and that it was likely to harm the plaintiff. What distinguishes one form of misfeasance in a public office from the other is the manner in which the plaintiff proves each ingredient of the tort. In Category B, the plaintiff must prove the two ingredients of the tort independently of one another. In Category A, the fact that the public officer has acted for the express purpose of harming the plaintiff is sufficient to satisfy each ingredient of the tort, owing to the fact that a public officer does not have the authority to exercise his or her powers for an improper purpose, such as deliberately harming a member of the public. In each instance, the tort involves deliberate disregard of official duty coupled with knowledge that the misconduct is likely to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no evidence before me that Mr. McNeill exercised power for the purpose of injuring Mr. H. or that he knowingly exceeded the limits of his powers knowing that harm would result to Mr.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All the claims against Mr. McNeill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Claims Against Ms. Bischoff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claims against Ms. Bischoff are different from the claims against Mr. McNeill, because in Ms. Bischoff's case, there is a fundamental conflict in the evidence that cannot be resolved on the material before me. I have come to the conclusion that the claims against Ms. Bischoff are not suitable for determination under Rule 18A, despite the fact that both the parties have applied for them to be decided on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While the position of the parties as to whether a case should be decided under Rule 18A is a relevant consideration, it is not determinative: </w:t>
      </w:r>
      <w:r>
        <w:rPr>
          <w:rFonts w:ascii="arial" w:eastAsia="arial" w:hAnsi="arial" w:cs="arial"/>
          <w:b/>
          <w:i/>
          <w:color w:val="000000"/>
          <w:sz w:val="20"/>
          <w:lang w:val="en-US" w:eastAsia="en-US" w:bidi="ar-SA"/>
        </w:rPr>
        <w:t>Noramco Capital Corp. v. Lee</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(1998) 110 B.C.A.C. 229</w:t>
        </w:r>
      </w:hyperlink>
      <w:r>
        <w:rPr>
          <w:rFonts w:ascii="arial" w:eastAsia="arial" w:hAnsi="arial" w:cs="arial"/>
          <w:color w:val="000000"/>
          <w:sz w:val="20"/>
          <w:lang w:val="en-US" w:eastAsia="en-US" w:bidi="ar-SA"/>
        </w:rPr>
        <w:t xml:space="preserve"> at para. 4; </w:t>
      </w:r>
      <w:r>
        <w:rPr>
          <w:rFonts w:ascii="arial" w:eastAsia="arial" w:hAnsi="arial" w:cs="arial"/>
          <w:b/>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Whether to grant judgment on an application under Rule 18A is a matter of discretion. In </w:t>
      </w:r>
      <w:r>
        <w:rPr>
          <w:rFonts w:ascii="arial" w:eastAsia="arial" w:hAnsi="arial" w:cs="arial"/>
          <w:b/>
          <w:i/>
          <w:color w:val="000000"/>
          <w:sz w:val="20"/>
          <w:lang w:val="en-US" w:eastAsia="en-US" w:bidi="ar-SA"/>
        </w:rPr>
        <w:t>Inspiration Management Inc. v. McDermid St. Lawrence Ltd.</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McEachern wrote at. p. 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fact R. 18A substitutes other safeguards which are sufficient to ensure the proper attainment of justice. First, 14 days notice of the application must be given (R. 18A (1.1)); secondly, the chambers judge cannot give judgment unless he can find the facts necessary to decide issues of fact or law (R. 18A(3)(a)); and thirdly, the chambers judge, even if he can decide the necessary factual and legal issues, may nevertheless decline to give judgment if he thinks it would be unjust to do so. The procedure prescribed by R. 18A may not furnish perfect justice in every case, but that elusive and unattainable goal cannot always be assured even after a conventional trial and I believe the safeguards furnished by the Rule and the common sense of the chambers judge are sufficient for the attainment of justice in any case likely to be found suitable for this procedure. Chambers judges should be careful but not timid in using R. 18A for the purpose for which it was intended.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deciding whether it will be unjust to give judgment the chambers judge is entitled to consider,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Rule 18A was subsequently amended and the numbering of the subrules altered, but the nature of the discretion has not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Rule 18A(8) now sets out the grounds upon which the court may dismiss an application for summary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18A (8) On an application heard before or at the same time as the hearing of an application under subrule (1), the court may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application under subrule (1) on the ground that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application under subrule (1) are not suitable for disposition under this rule,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under subrule (1) will not assist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Pursuant to Rule 18A(11)(a) [which had previously been Rule 18A(3)], the court may not grant summary judgment if it is unable to find the facts necessary to decide the issues, or if it would be unjust to decide the issues on the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18A (11) On the hearing of an application under subrule (1), the court may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effect of these two sub-rules was summarized in </w:t>
      </w:r>
      <w:r>
        <w:rPr>
          <w:rFonts w:ascii="arial" w:eastAsia="arial" w:hAnsi="arial" w:cs="arial"/>
          <w:b/>
          <w:i/>
          <w:color w:val="000000"/>
          <w:sz w:val="20"/>
          <w:lang w:val="en-US" w:eastAsia="en-US" w:bidi="ar-SA"/>
        </w:rPr>
        <w:t>Foreman v. Foster</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2001 BCCA 26</w:t>
        </w:r>
      </w:hyperlink>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84 B.C.L.R. (3d) 184</w:t>
        </w:r>
      </w:hyperlink>
      <w:r>
        <w:rPr>
          <w:rFonts w:ascii="arial" w:eastAsia="arial" w:hAnsi="arial" w:cs="arial"/>
          <w:color w:val="000000"/>
          <w:sz w:val="20"/>
          <w:lang w:val="en-US" w:eastAsia="en-US" w:bidi="ar-SA"/>
        </w:rPr>
        <w:t xml:space="preserve"> (C.A.)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question must always be in the trial judge's mind, on hearing a challenge to the suitability of the case for disposition under Rule 18A, whether the facts can be found on the materials before the court, and whether it would be just in the circumstances to render judgment. At any stage of the application a trial judge may become satisfied that one or other of those conditions makes the case not suitable for disposition, or that the application is not improving the efficiency of the trial process, and thereupon bring the hearing to an end. This approach is consistent with the statement of Mr. Justice Taggart in </w:t>
      </w:r>
      <w:r>
        <w:rPr>
          <w:rFonts w:ascii="arial" w:eastAsia="arial" w:hAnsi="arial" w:cs="arial"/>
          <w:i/>
          <w:color w:val="000000"/>
          <w:sz w:val="20"/>
          <w:lang w:val="en-US" w:eastAsia="en-US" w:bidi="ar-SA"/>
        </w:rPr>
        <w:t>Placer Dev. Ltd. v. Skyline Explor. Ltd.</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xml:space="preserve"> at 385-86, referred to with approval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Clearly the opening language of subr. (3) of R. 18A contemplates the possibility of judgment being entered on one or more or all issues raised by the pleadings. But that contemplation is, for the judge hearing the application, tempered by the language of paras. (a) and (b) of subr. (3). They clothe the judge with a broad discretion to refuse to proceed with the application where he decides he cannot find the facts necessary to decide the issues of fact or law or if it would be unjust to decide the issues raised on the application. Although those two matters are stated in separate clauses of subr. (3), they will often have to be considered together. I can envisage circumstances where the judge will decide on the whole of the evidence that while it is possible to find the facts necessary to decide the issues of fact or law it would be unjust to decide those issues. On the other hand, I cannot think of a case where, notwithstanding his inability to find the necessary facts, the judge would be justified in proceeding with the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summary, the rule is a means whereby the general principles stated by R.1(5) may be attained. The rule must, however, be applied only where it is possible to do justice between the parties in accordance with the requirements of the rule itself and in accordance with the general principles which govern judges in their daily task of ensuring that justice is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present case, there is a conflict in the evidence that cannot be resolved simply by examining the affidavits and transcripts of the examinations for discovery. The conflict goes to the core of Mr. H.'s complaint with respect to Ms. Bischoff. He maintains at paragraph 2 of his Affidavit #1 that "there was a disclosure of information by an employee of the Provincial Ministry that falsely asserted the Plaintiff had committed a serious criminal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Although in that paragraph Mr. H. does not identify the specific words that were said or who said them or when they were said, he is more specific in paragraph 24. He there deposes that at a meeting on May 14, 2006, Ms. Ford informed him that MCFD had reported to her that a file existed regarding himself and his daughter. He goes on in paragraph 25 to say that Ms. Ford informed him that the Ministry had reported to her that the 1996 allegation "had not been properly investigated" and that he was to be "supervised while working with youth." He deposes in paragraph 26 that during this meeting, it was clear to him that Ms. Haden and Ms. Ford were already familiar with the nature of the Ministry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H. submits that the only reasonable inference to be drawn from those facts is that Ms. Bischoff told Ms. Ford, at some time prior to that May 14, 2006 meeting, not only that something had come up on the PCC check that she wanted to investigate further, but more specifically, that there was an allegation in 1996 that involved Mr. H. and his daughter, that the allegation had not been properly investigated, and that he should be supervised when working with youth.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is directly contrary to the evidence of Ms. Bischoff. In her Affidavit #2, she deposes at paragraph 19 that when she spoke to Ms. Ford on the telephone on May 12, 2006, she said that something had come up on Mr. H.'s PCC that she wished to investigate further, but that she wanted to obtain a more specific consent to disclosure from Mr. H. before discussing the content of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Mr. H.'s version of events, Ms. Bischoff had, prior to obtaining the second consent form, disclosed to Ms. Ford that there had been an allegation in 1996 involving Mr. H. and his daughter that had not been properly investigated. On Ms. Bischoff's account, that simply did not happen. Her position is that she did not disclose anything about the nature of the matter she wanted to investigate further until after Mr. H. had clearly consented to that disclosure by signing the second consent form on May 18,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Each party points to aspects of the evidence that might lead a trier of fact to favour one version or the other. Ms. Bischoff says that the only written record of what was said and when, is the series of emails exchanged between herself and Ms. Ford on May 17-18, 2006. She submits that those emails are consistent with her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H., on the other hand, relies on the affidavit of Ms. Haden, where she deposes that at the May 14, 2006 meeting, Ms. Ford had informed her that Mr. H. had a file on the Ministry computer, and that "I believe it was something to do with his daughter but, cannot recall the details." If Ms. Haden's recollection is accurate, it would tend to support the inference that Mr. H.'s account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Counsel for Ms. Bischoff takes the position that this case can be determined on a summary trial notwithstanding this conflict in the evidence. Her position is that Mr. H. consented to the disclosure of the information when he signed the first consent form on May 1, 2006, and so it is irrelevant whether Ms. Bischoff divulged details of the 1996 file before obtaining the second consent. She also says that even if the consent was not valid, there is still complete defence to the three causes of action because (1) Ms. Bischoff had no duty of care to Mr. H. in light of her duty to act in the best interests of the children he might be in contact with, including B, and (2) the claims for defamation and misfeasance in public office require evidence of bad faith, which is wholly absent.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may be that when this matter goes to trial, one or more of those defences will prevail. In my view, however, it would be unjust to determine the action in relation to Ms. Bischoff by way of summary judgment, without the trier of fact being in a position to make a finding as to what she said and when she said it, always bearing in mind that the onus is on the plaintiff to prove his case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current state of the evidence leaves too many questions unanswered. For example, if the first consent was fully effective in justifying both Ms. Bischoff's disclosure of the contents of the 1996 file and her opinion that the file was not properly investigated, then why did she seek to obtain a second consent from Mr.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Second, if Ms. Bischoff believed that the first consent form was not sufficient, and if prior to obtaining the second consent, she made the kind of disclosures to Ms. Ford that Mr. H. alleges, might that not be a circumstance the trier of fact would want to consider in determining whether there exists any evidence of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issues here are serious ones. This case is clearly a matter of great importance to Mr. H. He is claiming very substantial damages. This case is also, no doubt, a matter of serious concern to Ms. Bischoff. It should be decided on the basis of an evidentiary record that permits a judge to make proper findings of fact after assessing the credibility of the evidence adduced by each party. That can only be accomplished by proceeding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Both of the applications for summary judgment under Rule 18A with respect to the claims against Ms. Bischoff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All the claims brought by Mr. H. against Mr. McNeill in his statement of claim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claims against Ms. Bischoff are not suitable for determination under Rule 18A and can only be properly determined at a trial. Both of the Rule 18A applications with respect to Ms. Bischoff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
          <w:headerReference w:type="default" r:id="rId36"/>
          <w:footerReference w:type="even" r:id="rId37"/>
          <w:footerReference w:type="default" r:id="rId38"/>
          <w:headerReference w:type="first" r:id="rId39"/>
          <w:footerReference w:type="first" r:id="rId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1" w:history="1">
        <w:r>
          <w:rPr>
            <w:rFonts w:ascii="arial" w:eastAsia="arial" w:hAnsi="arial" w:cs="arial"/>
            <w:b/>
            <w:bCs/>
            <w:i/>
            <w:color w:val="0077CC"/>
            <w:kern w:val="32"/>
            <w:sz w:val="28"/>
            <w:szCs w:val="32"/>
            <w:u w:val="single"/>
            <w:shd w:val="clear" w:color="auto" w:fill="FFFFFF"/>
            <w:lang w:val="en-US" w:eastAsia="en-US" w:bidi="ar-SA"/>
          </w:rPr>
          <w:t>Hawkenson v. Rogers, [2005] B.C.J. No. 456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6 - 10 and 13 - 17,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7,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C983739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456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318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137 A.C.W.S. (3d) 1070</w:t>
      </w:r>
    </w:p>
    <w:p>
      <w:pPr>
        <w:spacing w:before="120" w:line="260" w:lineRule="atLeast"/>
        <w:rPr>
          <w:lang w:val="en-US" w:eastAsia="en-US" w:bidi="ar-SA"/>
        </w:rPr>
      </w:pPr>
      <w:r>
        <w:rPr>
          <w:rFonts w:ascii="arial" w:eastAsia="arial" w:hAnsi="arial" w:cs="arial"/>
          <w:color w:val="000000"/>
          <w:sz w:val="20"/>
          <w:lang w:val="en-US" w:eastAsia="en-US" w:bidi="ar-SA"/>
        </w:rPr>
        <w:t>Between Bruce Hawkenson, Ann Jeanette Hawkenson and Hawk Forest Holdings Ltd., plaintiffs, and William Rogers, also known as Bill Rogers, and Midland Walwyn Capital Inc.,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(105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35" style="position:absolute;z-index:25166028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 w:name="Keywords_0"/>
      <w:bookmarkEnd w:id="11"/>
      <w:r>
        <w:rPr>
          <w:rFonts w:ascii="arial" w:eastAsia="arial" w:hAnsi="arial" w:cs="arial"/>
          <w:b/>
          <w:color w:val="000000"/>
          <w:sz w:val="20"/>
          <w:lang w:val="en-US" w:eastAsia="en-US" w:bidi="ar-SA"/>
        </w:rPr>
        <w:t xml:space="preserve">Securities regulation — Dealers — Duties — Supervision of sales representatives — Professional responsibility — Professional duties — Fiduciary duties — Professions — Other — Investment and management consultants — Stock brokers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Fiduciary duty — Commercial law — Specialized relationships — Stock brokers — Damages — Assessment — Measure of damages — Time for assessment.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2" w:name="Case Summary_0"/>
            <w:bookmarkEnd w:id="1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plaintiffs, the Hawkensons and their company, against the defendant, Rogers, the financial advisor to the plaintiffs, and his investment firm Midland Walwyn, for damages for losses in investment accounts caused by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plaintiffs lost $500,000 of the $900,000 they contributed to their investment accounts. Approximately $300,000 was lost in two securities traded in the plaintiffs' company's margin account. A further $100,000 was lost in a private placement trade. Hawkenson described himself in the new application form as a sophisticated investor. However, he could recall no discussion with Rogers about his investment knowledge, his experience, the prospect of losses, or what he was prepared to lose in any of the accounts. It was unclear whether the new application form for the plaintiffs' company indicated a 10 per cent or 40 per cent speculative investment component for its portfolio. The plaintiffs submitted that Rogers failed to review the company's account to ensure that it conformed to its investment objectives. The majority of losses occurred on the company account which at one point had a portfolio comprised of 62 per cent speculative investments. </w:t>
            </w:r>
            <w:r>
              <w:rPr>
                <w:lang w:val="en-US" w:eastAsia="en-US" w:bidi="ar-SA"/>
              </w:rPr>
              <w:cr/>
            </w:r>
          </w:p>
          <w:p>
            <w:pPr>
              <w:spacing w:before="120" w:line="260" w:lineRule="atLeast"/>
              <w:ind w:left="240"/>
              <w:jc w:val="both"/>
              <w:rPr>
                <w:lang w:val="en-US" w:eastAsia="en-US" w:bidi="ar-SA"/>
              </w:rPr>
            </w:pPr>
            <w:bookmarkStart w:id="13" w:name="Holdings of Court_0"/>
            <w:bookmarkEnd w:id="13"/>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defendants were not liable for the performance of the Hawkensons' personal accounts because of the agreed-upon speculative nature of the accounts and Hawkenson's investment experience. Rogers and Midland failed to meet industry standards in their handling of the company account and were therefore negligent. Midland and Rogers had a professional responsibility to review the company account and advise Hawkenson to curtail losses in his company's account by reducing the risk associated with margin trading and over-concentration in speculative stocks. The defendants were not liable for losses on the company's account prior to 1996 because the portfolio as a whole performed just below the rate of return of the market index. The defendants were not liable for the loss on the private placement because they acted in accordance with Hawkenson's express instructions. Losses after 1996 were assessed through reliance on expert evidence that compared the actual performance of the company account against a hypothetical competently managed account rebalanced in accordance with Hawkenson's stated investment objectives for the company. On this basis, damages were assessed at $65,500. </w:t>
            </w:r>
            <w:r>
              <w:rPr>
                <w:lang w:val="en-US" w:eastAsia="en-US" w:bidi="ar-SA"/>
              </w:rPr>
              <w:cr/>
            </w:r>
          </w:p>
          <w:p>
            <w:pPr>
              <w:rPr>
                <w:lang w:val="en-US" w:eastAsia="en-US" w:bidi="ar-SA"/>
              </w:rPr>
            </w:pPr>
          </w:p>
        </w:tc>
      </w:tr>
    </w:tbl>
    <w:p>
      <w:pPr>
        <w:jc w:val="both"/>
        <w:rPr>
          <w:lang w:val="en-US" w:eastAsia="en-US" w:bidi="ar-SA"/>
        </w:rPr>
      </w:pPr>
      <w:bookmarkStart w:id="14" w:name="Legislation Cited_1"/>
      <w:bookmarkEnd w:id="1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36" style="position:absolute;z-index:2517114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2"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15" w:name="Counsel_1"/>
      <w:bookmarkEnd w:id="15"/>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7" style="position:absolute;z-index:2517626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H. Wiebach and S. Vorbrodt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W. Rogers: G.E.H. Cadman, Q.C. H. Craig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Midland Walwyn Capital Inc.: G. Johnson</w:t>
      </w:r>
      <w:r>
        <w:rPr>
          <w:lang w:val="en-US" w:eastAsia="en-US" w:bidi="ar-SA"/>
        </w:rPr>
        <w:cr/>
      </w:r>
    </w:p>
    <w:p>
      <w:pPr>
        <w:spacing w:after="240"/>
        <w:rPr>
          <w:lang w:val="en-US" w:eastAsia="en-US" w:bidi="ar-SA"/>
        </w:rPr>
      </w:pPr>
      <w:bookmarkStart w:id="16" w:name="Judgment_1"/>
      <w:bookmarkEnd w:id="16"/>
      <w:r>
        <w:pict>
          <v:line id="_x0000_s1038" style="position:absolute;z-index:25181388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 w:name="E.R.A. EDWARDS J."/>
            <w:bookmarkEnd w:id="17"/>
            <w:r>
              <w:rPr>
                <w:rFonts w:ascii="arial" w:eastAsia="arial" w:hAnsi="arial" w:cs="arial"/>
                <w:b/>
                <w:color w:val="000000"/>
                <w:sz w:val="30"/>
                <w:lang w:val="en-US" w:eastAsia="en-US" w:bidi="ar-SA"/>
              </w:rPr>
              <w:t>E.R.A. EDWARDS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claim damages for losses in investment accounts, alleging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outset of the trial the style of cause was amended to reflect a change of name of the corporate plaintiff to Hawk Forest Holdings Ltd. Because of references to the original name, Folklore Enterprises Ltd., in records and transcripts, I will refer to the corporate plaintiff in these reasons as "Folklore".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Although Merrill Lynch succeeded the corporate defendant Midland Walwyn Capital Inc. ("Midland"), counsel advised there was no need to amend the style of cause to reflect that change.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individual plaintiffs are husband and wife who were the shareholders of Folklore at the relevant time, 1992 through 1997. All three had investment accounts at Midland during that period, when, for the most part, the defendant William Rogers ("Rogers") was their financial advisor or registered representative.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claim that Rogers earned secret profits from his dealings in the plaintiffs' accounts was formally abandoned by their counsel at the outset of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Plaintiffs' counsel candidly acknowledged he was not confident the alleged breach of fiduciary duty would be made out on the evidence. I find it has not been proved. Plaintiffs' counsel took the position that the measure of damages would be the same whether liability were established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or breach of fiduciary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Virtually all dealings in all the plaintiffs' accounts were between Bruce Hawkenson ("Hawkenson") and Rogers.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Most of the losses, about $500,000 of the total of $900,000 contributed by the plaintiffs to the accounts, were incurred in Folklore's Canadian margin account ("the Folklore account"). About $300,000 was lost in only two securities, Chase and Software Control. A further $100,000 or so was lost in an "off-book" private placement of GWR Resources ("GWR") shares.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Substantial losses in the Folklore account occurred in the period May 1996 to November 1997, when it was closed.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Hawkenson opened a personal Canadian Margin account with Midland by signing a New Account Application Form ("NAAF") on August 5, 1992. The NAAF disclosed Hawkenson's income was over $150,000, his net worth was over $500,000 (these are the top categories in each case on the form) and that he had between $300,000 and $400,000 capital to invest. Hawkenson acknowledged at trial all this information was substantially correct.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NAAF indicated Hawkenson's investment knowledge was "excellent" (the top category), that he had investment experience with stocks, bonds, mutual funds and "others" and his investment objectives were 100% "Speculative". This was reflected in the initial order of "3000 TTR" shares in a company promoting new technology for processing manure.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Hawkenson could recall no discussion with Rogers about his investment knowledge or experience or the prospect of losses or what he was prepared to lose in any of the accounts. Hawkenson and Rogers were acquainted through their church for years before the accounts were opened, so Rogers had some idea of Hawkenson's business 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February 18, 1994, Hawkenson signed a NAAF for an RRSP account. Its details were consistent with those disclosed in his margin account NAAF, except his income is indicated between $50,000 and $100,000, his past experience includes an account in the $200,000 to $300,000 range, his capital for investment between is $200,000 and $300,000 and his investment objectives 30% "Long Term Growth", 40% "Short Term Trading" and 30% "Speculative".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Folklore account was opened with a NAAF dated August 17, 1992. On the face of the NAAF, Hawkenson's signature was witnessed by Rogers a year later on August 20, 1993, after the account was approved by John Ryan, Midland's branch manager, on January 24, 1993. No one could explain this sequence of dates. Hawkenson testified he signed the NAAF on August 17, 1992, after it was typed by Rogers' assistant. Trading began in the account in August 1992.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Hawkenson testified he had little "luck" with securities investments prior to 1992 and was induced to open the accounts by Rogers' statement that "we're making money for our clients". Rogers could not specifically recall making such a statement to Hawkenson. If Rogers did tout himself and Midland as capable of making money for clients, it was mere puff which did not alter the legal relationship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Folklore NAAF is ambiguous regarding the client's "Investment Objectives". The original copy of the NAAF discloses under that heading, typewritten percentages of 40% "Income", 40% "Long Term Growth", 10% "Short Term Trading" and 10% "Speculative" for these four categories of investment.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Those percentage numbers have been overwritten by hand, so the typewritten numbers are unclear. Beside them on the NAAF are handwritten the percentages 10%, 40%, 10% and 40%, respectively, applicable to the same four categories.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Rogers testified the handwriting was his and he "believed" it had been made in consultation with Hawkenson when he came in to sign the NAAF. No one initialled the hand written numbers. Hawkenson testified he signed the NAAF the same day it was typed. Although he had the client copy in his records, which included the handwritten percentages, he did not notice them until this litigation began after the Folklore account was closed.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Neither Rogers nor Hawkenson paid any attention to either the typed or hand printed version of the "Investment Objectives" disclosed on the NAAF during the five years the Folklore account was active.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Neither Rogers nor Hawkenson, according to their testimony, was able to determine what securities were appropriate for the key "Speculative" category, or to distinguish the degree of risk associated with each of the four categories of securities mentioned in the NAAF.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Rogers, on cross-examination, indicated he relied on a kind of mantra, that "all investments involve risk" when advising clients about risk. He asserted (in the context of hypothetical questions about Government of Canada bonds) that bonds were historically the riskiest of investment instruments. I find it impossible to believe that Rogers, with years of experience as a registered representative, was unaware that penny mining stocks were inherently riskier than government bonds or shares in banks or other established enterprises.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Likewise, I find it impossible to believe that Hawkenson could accept, as uncritically as he testified he did, investment advice from Rogers. According to both Hawkenson and Rogers, Rogers expressed simplistic and unconventional views of the degree of risk associated with various types of investments during their regular and frequent meetings to discuss investments.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Hawkenson had experience with various types of investments in his portfolios and must have observed that resource stocks, for example, were more volatile than mutual funds. Indeed, Hawkenson had a good deal of experience with volatile mining stocks and took it upon himself to personally visit properties of companies he invested in and to contact those promoting them, presumably to satisfy himself of these stocks' prospects.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Hawkenson also acted as the directing mind of a junior mining company Panther Mines Ltd. In December 1997 he signed a quarterly report on its behalf which included the following: "The Bre-x scandal, a $100 drop in the price of gold and the Dow Jones index dropping 550 points in one day have contributed to the metals market and Junior companies being under a great deal of strain". Although Hawkenson testified he did not write this notice, I assume he understood his duty of accurate disclosure and believed what he signed. This disclosure statement and the care with which he researched other mining stocks indicates that Hawkenson had a relatively sophisticated understanding of the risks associated with the speculative stocks which sustained most of the losses in the Folklore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Two experts, Colin Clark and Karen Henderson, whose expertise was acknowledged by all parties, both testified the Folklore account contained shares which they could readily identify as fitting the "Speculative" category in the NAAF, meaning they were highly volatile with a concomitant degree of risk.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both Rogers and Hawkenson must have been aware the Folklore account was heavily concentrated in such stocks before, after and at the time the total value of the Folklore account reached its peak in May 1996. That peak was largely the result of appreciation in the value of shares in the "Speculative" category.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Hawkenson never challenged the 10%, 40%, 10%, 40% allocation of "Investment Objectives" handwritten on the NAAF during the years the Folklore account was active. Folklore received the benefit of significant appreciation of shares in the "Speculative" category to May 1996. I find Folklore cannot now repudiate that allocation. I find the Folklore account "Investment Objectives" were those handwritten on the NAAF.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the plaintiffs' position that regardless of whether the Folklore NAAF provided for a 10% or $40% "Speculative" component of the portfolio, it would be impossible for the Folklore account to sustain the losses it did if Rogers had not wholly failed to review the Folklore account periodically to ensure it conformed to the "Investment Objectives" reflected by the NAAF.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short, the plaintiffs argue Rogers ignored the "Investment Objectives" disclosed in the NAAF in recommending investments and failed to diversify the Folklore account, putting too much emphasis on speculative securities he favoured and repeatedly recommended, resulting in excessive concentration in a few such stocks, particularly Chase, Software Control and GWR.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April 1994, $120,000 was withdrawn from the Folklore account to purchase a private placement of shares in GRW. Ultimately, over half of this investment was lost.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October 1995 Hawkenson transferred $263,500 from a Guaranteed Income Certificate to the Folklore account, which before the transfer had a total value of about $340,000, some $135,000 below the total client contributions to it, the lowest it had been since its inception. Paper losses of that magnitude show Hawkenson had a considerable risk tolerance, at least until October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 to Hawkenson, he emphasized to Rogers at a face to face meeting that he was retiring and could not afford to lose "a penny" of the $263,500. They did not, however, review the Folklore account or discuss alternative investment objectives at the meeting.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Rogers did not recall Hawkenson telling him he could not afford to lose any of the $263,500.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After October 1995 the Folklore account rose impressively, reaching a high of $147,100 over the total client contributions in May 1996. Thereafter it fell more or less continuously month after month, but for occasional short rallies, until it reached a low of $429,145 below client contributions in July 1997. The equivalent number was $426,840 in November 1997 when the Folklore account was closed and transferred to another brokerage.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August or September 1997 Rogers left Midland and met with Hawkenson to persuade him to move his accounts to Nesbitt Burns where Rogers had set up shop. According to Hawkenson, he told Rogers that was out of the question, in light of the Folklore account losses.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Hawkenson testified that Rogers professed to be unaware the losses were nearly $500,000 and apologized when informed of the amount, promising to "make it back" if Hawkenson transferred his accounts from Midland.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Rogers testified he recalled the meeting including discussion of transferring the accounts, but otherwise nothing specific about what was discussed.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September 1997, John Ryan, who succeeded Rogers as Hawkenson's registered representative at Midland, sent Hawkenson summaries of his accounts including the Folklore account. These showed the losses that had been sustained in the Folklore account were then over 67%.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 to Hawkenson, these summaries were accompanied by a letter from Ryan which said that Midland wished to retain the accounts and that while Hawkenson might think Rogers was his friend, no friend would ever let an account get into this shape.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Hawkenson testified the letter was not in evidence because his wife was so upset when she saw it that she ripped it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Jeannette Hawkenson testified that she "chose not to know" what was occurring in the Folklore account prior to 1997. So when she read the letter she was "hurt and dismayed" and ripped it up so that her husband would not read it again, because "it wasn't something to keep in front of someone who had seen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Ryan testified he could not recall sending such a letter but agreed it was "possible" he had done so, from which I infer he did not disagree that no "friend" would have allowed the Folklore account to fall as long and far as it did. If no "friend" would have allowed this to happen certainly no paid financial advisor ought to have allowed it either. I find Midland and Rogers had a professional responsibility to advise Hawkenson to curtail loses by reducing the risk associated with margin trading and over-concentration in speculative stocks.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issue I have to decide is whether Rogers and Midland met industry standards of competence in their handling of the Folklore account after May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will briefly deal with the plaintiffs' claims relating to their other Midland accounts.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Jeannette Hawkenson opened Canadian Margin and RRSP accounts with Midland on August 7, 1992 and January 26, 1994, respectively. She testified that she did not recall Rogers interviewing her to fill out the required NAAFs, which is reflected by the fact that many details in them are wrong.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For example, she is an American not a Canadian citizen, her investment experience was nil, not "excellent" and she had no past investment experience with stocks or bonds notwithstanding what the NAAFs indicate. Nevertheless, she acknowledged signing the NAAF's, obviously paying no heed to the accuracy of their content.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is consistent with her testimony that she had virtually nothing to do with the accounts. She approved of her husband dealing on her behalf with Rogers, even though the NAAFs indicate she gave him no authority to do so. She chose not to review the monthly statements she received. Her accounts sustained no losses, in the sense there were none at the time the accounts were closed.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Even if there had been losses in her accounts, I find Jeannette Hawkenson relied wholly on her husband as agent to deal with Rogers and Midland in respect of these accounts and has no claim against the defendants. She placed her entire reliance on her husband and none on the defendants for the investments of these accounts, as reflected by her failure to even read her own monthly statements to determine what her investments were and how they were performing.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Likewise, I find the defendants are not liable for the performance of the Hawkenson personal margin account, for which the NAAF indicates the investment objectives were 100% "Speculative", or for that of his RRSP account. There was little or no testimony specific to the operation of these accounts.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it is unnecessary to consider the period of time before May 1996, when the Folklore account was at its maximum, for the following reasons. Even if the defendants negligently handled the Folklore account prior to May 1996, the plaintiffs cannot prove resulting damages during that period because the Folklore account was within a range of reasonable profitability for one with its investment objectives. Comparison data shows that when the Folklore account was at its peak in May 1996 it was about 10% below what it would have been if the same periodic contributions had been invested in a TSE 300 index fund to that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Karen Henderson [" Ms. Henderson"] testified, in response to questions from the court, that whichever investment objective profile (10% or 40% "Speculative") is applied to the Folklore account, any portfolio reflecting either profile would be more volatile than the TSX (formerly TSE 300) index at the time. Ms. Henderson testified the Folklore account's performance to May 1996 would not be "surprising" compared to the TSX, given the more speculative profile of the Folklore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From that I infer that had the plaintiffs sued in May 1996 alleging losses in the Folklore account due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damages could not have be proved because the account at that date was within the range of performance which could have been expected had it been competently managed in accordance with the investment profile in the Folklore NAAF. In other words, it could not be proved that any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loss or damages as of that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Henderson, who was formerly employed by Midland, testified that in 1996, more than $1000 in commissions in any month in an account would automatically trigger a review by Midland's branch manager of the account. In May 1996 over $3000 in commissions were charged in the Folklore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is no evidence that a review of the Folklore account was undertaken by Ryan, the then Midland branch manager, in light of the level of commissions in May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Ryan testified that he had delegated monthly account review responsibility to an assistant manager, Don Grantham ["Grantham"], by April 1996. Grantham did not testify. Ryan testified he could not recall if Grantham ever mentioned the Folklore account to him. Ryan did recall Grantham "saying there was concentration in Chase generally" and that "we mentioned it to Rogers".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Ryan accepted Rogers' testimony that he and Ryan had never discussed the Folklore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Ryan acknowledged that the Folklore account did not come to his attention in May 1996 or thereafter until Rogers left Midland in September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During that period, the "Total Value" of the Folklore account dropped from $815,945 to $246,615 with no withdrawals, while the "Speculative" component of the portfolio never went below 40%, ranging from 62% to 42% month by month, while it remained highly concentrated in a few speculative stocks and carried at least $100,000 on margin.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Ryan admitted this performance reflected the fact that the supervision of the Folklore account by Midland had been "terrible". Midland's counsel accepted that there ought to have been a supervisory review of the Folklore account by Midland management in May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John Vivach, an expert called by Midland, agreed that the circumstances in the Folklore account at the relevant time ought to have at least led to the branch manager interviewing the registered representative (Rogers) to seek an explanation. On the evidence, this never happened. Ryan never discussed the Folklore account with Rogers.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that Midland failed to properly supervise the Folklore account during the period May 1996 to September 1997. This is particularly significant in light of Rogers' apparent inability (if his testimony were accepted) to appreciate the degree of risk associated with highly concentrating an account with substantial margin in a few volatile and therefore risky share positions, or Rogers' inability (and this I do accept) to assist clients on the risk issue other than with the unhelpful advice "all investments are risky". I find Rogers and Midland failed to meet industry standards in their handling of the Folklore account and were therefore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ultimate issue is whether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causing the losses sustained in the Folklore account after May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assessment of possible damages in this case presents three problems. First, what is the proper measure of damages? Second, did Hawkenson contribute to the damages by failing to take timely action to contain mounting losses after May 1996? Third, are losses in the GWR shares held outside the Folklore account attributable to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that the proper approach to assessing possible damages is to assume that a supervisory review of the Folklore account took place in May 1996, as it ought to have, and to compare what its performance would have been had competent advice been given to, and accepted by, Hawkenson after such a review, with the actual performance of the Folklore account thereafter to September 1997, when Hawkenson received Ryan's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While the actual performance of the Folklore account is documented, the other side of the comparison, what might have been if the Folklore account had been reviewed in May 1996 and thereafter properly supervised and prudently invested consistent with the investment objectives profile in the Folklore NAAF, involves a degree of speculation about what advice a competent financial advisor would have given respecting the Folklore account and whether Hawkenson would have accepted that advice. In short, this involves consideration of hypothetical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Court of Appeal in Knudsen v. Smith </w:t>
      </w:r>
      <w:hyperlink r:id="rId43" w:history="1">
        <w:r>
          <w:rPr>
            <w:rFonts w:ascii="arial" w:eastAsia="arial" w:hAnsi="arial" w:cs="arial"/>
            <w:i/>
            <w:color w:val="0077CC"/>
            <w:sz w:val="20"/>
            <w:u w:val="single"/>
            <w:shd w:val="clear" w:color="auto" w:fill="FFFFFF"/>
            <w:lang w:val="en-US" w:eastAsia="en-US" w:bidi="ar-SA"/>
          </w:rPr>
          <w:t>(2004), 33 B.C.L.R. (4th) 76</w:t>
        </w:r>
      </w:hyperlink>
      <w:r>
        <w:rPr>
          <w:rFonts w:ascii="arial" w:eastAsia="arial" w:hAnsi="arial" w:cs="arial"/>
          <w:color w:val="000000"/>
          <w:sz w:val="20"/>
          <w:lang w:val="en-US" w:eastAsia="en-US" w:bidi="ar-SA"/>
        </w:rPr>
        <w:t xml:space="preserve">, recently clarified the application of the principle in Athey v. Leonati, </w:t>
      </w:r>
      <w:hyperlink r:id="rId4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that where damages are to be assessed on hypothetical events, these need not be proved on a balance of probabilities "but are simply to be given weight according to their respective likelihood". This approach has been applied in respect of financial losses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Webster v. Ernst &amp; Young (No. 1) </w:t>
      </w:r>
      <w:hyperlink r:id="rId45" w:history="1">
        <w:r>
          <w:rPr>
            <w:rFonts w:ascii="arial" w:eastAsia="arial" w:hAnsi="arial" w:cs="arial"/>
            <w:i/>
            <w:color w:val="0077CC"/>
            <w:sz w:val="20"/>
            <w:u w:val="single"/>
            <w:shd w:val="clear" w:color="auto" w:fill="FFFFFF"/>
            <w:lang w:val="en-US" w:eastAsia="en-US" w:bidi="ar-SA"/>
          </w:rPr>
          <w:t>(2000), 75 B.C.L.R. (3d) 169</w:t>
        </w:r>
      </w:hyperlink>
      <w:r>
        <w:rPr>
          <w:rFonts w:ascii="arial" w:eastAsia="arial" w:hAnsi="arial" w:cs="arial"/>
          <w:color w:val="000000"/>
          <w:sz w:val="20"/>
          <w:lang w:val="en-US" w:eastAsia="en-US" w:bidi="ar-SA"/>
        </w:rPr>
        <w:t xml:space="preserve"> and (No. 2) </w:t>
      </w:r>
      <w:hyperlink r:id="rId46" w:history="1">
        <w:r>
          <w:rPr>
            <w:rFonts w:ascii="arial" w:eastAsia="arial" w:hAnsi="arial" w:cs="arial"/>
            <w:i/>
            <w:color w:val="0077CC"/>
            <w:sz w:val="20"/>
            <w:u w:val="single"/>
            <w:shd w:val="clear" w:color="auto" w:fill="FFFFFF"/>
            <w:lang w:val="en-US" w:eastAsia="en-US" w:bidi="ar-SA"/>
          </w:rPr>
          <w:t>(2003), 10 B.C.L.R. (4th) 340</w:t>
        </w:r>
      </w:hyperlink>
      <w:r>
        <w:rPr>
          <w:rFonts w:ascii="arial" w:eastAsia="arial" w:hAnsi="arial" w:cs="arial"/>
          <w:color w:val="000000"/>
          <w:sz w:val="20"/>
          <w:lang w:val="en-US" w:eastAsia="en-US" w:bidi="ar-SA"/>
        </w:rPr>
        <w:t xml:space="preserve"> (B.C.C.A.).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Webster (No. 1) at paragraphs 20 and 22 Newbury J.A. concluded it was necessary for the trial judge to "estimate the possibilities" "arising on the evidence" even where the expert and other evidence was "highly unsatisfactory" or no doubt "deficient". Newbury J.A. held at paragraph 22 that "[o]nce their loss was shown, the plaintiffs were entitled, despite the difficulty, to have a court assess [the hypothetical possibilities]".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this case it cannot be determined if the plaintiffs suffered loss in the Folklore account after May 1996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unless the actual performance of the account is compared to its hypothetical performance.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This analysis is fraught with difficulty. The court must attempt to assess the probabilities of hypothetical events while avoiding speculation. Nevertheless it is the approach I am obliged to follow. In this case it involves an assessment, based on the evidence of the past performance of the Folklore account and the parties' conduct, of what they likely would have done following a supervisory review in May 1996 and how the Folklore account would have thereafter performed in light their hypothetical 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My approach is to examine the pre and post May 1996 Folklore account activity in light of the whole of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Both the plaintiffs and defendants relied on expert reports which established that results in the Folklore account would have been much better than those actually realized by September 1997 if the account had been invested with less exposure to margin and less concentration in speculative shares.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Both reports are consistent with the conclusion there was loss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I find certain of the assumptions or hypotheses on which each report is based are not sufficiently consistent with the other evidence at the trial to be accepted as sound bases for assessing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relied on Mr. Clark's expert report which assumes that had the Folklore account "Investment Objectives" of 40%, 40%, 10%, 10%, as typewritten on the NAAF in August 1992, been adhered to until all five of the plaintiffs' accounts were closed in 1997, there would have been an annual return of 7.85% per year, which if applied to all the periodic contributions (assuming $120,000 was not withdrawn in April 1994 for the GRW shares acquired outside the account) would have resulted in a total closing value of the all the accounts some $841,782 higher than it actually was in September 1997. If the actual monthly returns on the three mutual funds selected to reflect the 40%, 40%, 10%, 10% profile are used rather than the annual returns, the result is $817, 908 rather than $841,782.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have already concluded there is no basis for a finding of liability against the defendants for Jeanette Hawkenson's accounts or Hawkenson's personal margin and RRSP accounts. I can see no basis for assuming they would have been more fruitfully invested than they in fact were. In any event, each of these accounts sustained so little, if any, of the losses they can be ignored.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do not reject Mr. Clark's approach to the assessment of damages because it treats all five accounts as one. Rather, I reject its approach to damages for, amongst others, three principle reasons. First, because I have found that the 10%, 40%, 10%, 40% profile was effectively accepted, since Folklore benefited from it up to May 1996 and Hawkenson never repudiated it. Based on his demonstrated risk tolerance, I am not persuaded that after a hypothetical May 1996 portfolio review Hawkenson would have been persuaded to reduce the speculative portion of the account to 10%. That is particularly so since he had enjoyed a large run up in the value of the speculative component in the preceding months. Second, because I have found there were no damages before May 1996. Third, because I am not persuaded the "off-book" GRW investment is properly included in the assessment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No plausible theory was advanced as to how the defendants could have any liability for that off-book investment. It was Hawkenson's decision to withdraw the money from the Folklore account for that or any other use. The performance of any investment Hawkenson made outside any Midland account with money withdrawn from it, cannot affect the defendants' liability. Had he lost all he withdrew, say, gambling, he would have no claim against the defendants even if they urged him to try his luck. If, say, he had made a killing on real estate speculation with the money, based on a tip from Rogers, that would not go to the defendants' credit on any assessment of damages due to losses in the Midland accounts.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Henderson's expert report estimated at $303,777 the difference between the closing total value of the Folklore account and what it would have been if an effort had been made to rebalance it after October 1995 to ensure it complied with the 10%, 40%, 10%, 40% profile.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Henderson selected October 1995 as the starting point because that was when Hawkenson transferred $263,000 from a GIC to the Folklore account with, as Hawkenson testified, the caution to Rogers that he could not afford to lose any of the new investment, because he was retiring.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Both Mr. Clark and Ms. Henderson agreed it was prudent to use part of the $263,500 in mid-November 1995 to pay off outstanding margin. Ms. Henderson's calculation assumed the balance of the $263,500, some $122,000, would have been used to purchase a bond in November 1995. In fact, no bond was purchased until January 1996 when a $100,000 bond was purchased. Ms. Henderson's calculation also assumed approximately $90,000 from Echo Bay shares sold in January 1996 was used to purchase a bond.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These assumed bond transactions aimed at rebalancing the Folklore account were the only major ones Ms. Henderson assumed occurred during the period October to May 1996, before the Folklore account peaked in May 1996. Had they been made, as and when she hypothesized, the appreciation in value of the Folklore account from $533,000 in October 1995 to its peak of $816,000 in May 1996, which was almost wholly attributable to increases in speculative shares, would not have been as large.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That means the Ms. Henderson's report must understate the post May 1996 consequences of rebalancing the account from October 1995, because calculations from May 1996 forward must be based on a lower value of the account as of that date than actually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have found that possible damages should be assessed from May 1996, not from October 1995 as Ms. Henderson's reports does, because the results in the account in May 1996 are consistent with what might reasonably have been expected of an account with the Folklore "Investment Objectives" profile of 10%, 40%, 10%, 40%.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What I must determine, using the Athey v. Leonati approach, is what likely would have happened after May 1996, assuming there had been a proper supervisory review of the Folklore account by Midland management after May 1996, triggered by the high commissions in that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find it reasonable to assume that such a review would have had no effect until the June 1996 results were apparent. The Folklore account which had advanced significantly for several months had a dramatic $152,000 reversal between May and June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further find it reasonable to assume that reversal would have prompted Midland to recommend reducing the speculative component of the portfolio, which was then about 58%, to 40%, and to end margin trading, both of which would reduce risk.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find it unreasonable to assume any more rigorous changes to the Folklore account. More reduction of the speculative component would have meant both Rogers and Hawkenson would have had to repudiate the investment approach which, for several months prior to May 1996, had produced good results. I find it is unlikely Rogers or Midland would have advised a reduction of the speculative component below 40%. Also, for the reasons mentioned in paragraph 70, I find it unreasonable to assume Hawkenson would have agreed to an investment strategy more conservative than eliminating margin and reducing the speculative component to 40%, even if Midland had advised a more conservative strategy.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June 1996 Folklore statement shows a closing cash balance of about -$162,085 reflecting the negative margin balance. This was then about 24.4% of the total $663,871 net value of the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Since the bulk of the subsequent losses were in the Chase and Software Control shares the "best case scenario" is that Midland, by acumen or accident, would have foreseen these shares were the most risky and advised Hawkenson to sell some of them to eliminate the $162,000 margin. Grantham had warned Ryan there was an over concentration in Chase. As of June 1996 the Folklore account held $196,650 of Chase shares and $130,000 of Software Control shares.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find it safe to assume that a portion of each holding, sufficient to pay off the $162,085 margin could be sold during July 1996, realizing the end of July prices of $4.10 for Chase and $1.00 for Software Control. This assumption is based on the following facts. First, 10,000 shares of Software Control were sold from the Folklore account on one day in January 1997 at a price of $0.35. From this I infer Rogers or Midland advised and Hawkenson accepted that 10,000 shares could be sold into the market prudently on one day without depressing the price unduly. If that was so when Software Control shares and market capitalization were roughly one third of what they were in July 1996, I find it fair to assume that the sale of 50,000 shares at $1.00 in five daily increments of 10,000 shares could have been achieved in July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Likewise I think it fair to assume that sales of five daily increments of 5000 shares of Chase during July 1996 could have been achieved at the July 1996 month end price of $4.10. I base this on the fact that 5000 shares of Chase were purchased in the Folklore account in two 2500 share increments over four days in December 1996, with only a $0.04 price increase. From this I infer 5000 share daily increments could have been sold with minimum impact on price during July 1996 when the shares were in the $4.00 range.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recognize there may have been other factors influencing the trading of these shares in July 1996. I have no evidence of the daily volumes traded, for example. While that information is no doubt available, it is not before me. In my view a timely result for the parties is preferable to reopening the case to secure such further evidence, which may be of little significance. I note that the assessment of damages under Athey is not a matter of precise calculation.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Sale of these shares, say 65,000 Software Control at $1.00 and 24,000 shares of Chase at $4.10 would have raised $163,400 to pay off the margin and reduce the speculative shareholding in the account by the same amount or about 26.4% of its net value of $619,378 at the end of July 1996. This would bring the speculative component to about 45.7%, still above the 40% objective in the Folklore NAAF.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order to achieve that 40% objective it would be necessary to reduce the speculative component by roughly a further $30,000 with no further reduction in the "Income" or "Growth" components. To do so, I assume the Noranda Forest shares would not have been sold in August 1996 to be replaced with the Echo Bay shares and the 10,000 shares of Belmont Resources sold in August 1996 for $1.30 and 10,000 shares of Belmont Resources sold in September for $1.60 would have been reinvested in securities in the "Growth" or "Income" components. Neither the $13,000 proceeds from the August 1996 sale of Belmont Resources shares nor new margin would have been used to acquire Anvil Range shares in August.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result of these transactions would have been that by the end of September 1996 the Folklore portfolio would have been reconfigured roughly in accordance with the Folklore NAAF investment objective of 40% speculative shares and been free of margin.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this basis, the Folklore portfolio, as of September 1996 would have consisted of the following "Growth" and "Income" investments, Cash (from Belmont sales) $29,000, Anvil Bond $107,000, Mutual Funds $148,232, Noranda Forest (August 1996 value) $72,244, Crestbrook $25,000, for a total of $381,476 and the following "Speculative" investments, 10,000 Belmont @ $1.31 = $13,100, 21,800 Chase @ $2,85 = $62,130, 35,000 Software Control @ $0.85 = $29,750, all other shares (save Anvil Range and Echo Bay) as they stood in the September 1996 Folklore monthly statement = $117,484, for a total of $222,464 or 36.8% of the portfolio total of $603,904.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Despite the post July 1996 history of the Folklore portfolio, I assume after the May supervisory review and "rebalancing" just outlined, speculative shares would have never again exceeded 40% of the portfolio. I also assume there would have been no further margin trading. I realize these assumptions are inconsistent with the pre and post May 1996 trading in the Folklore account, but they are consistent with the primary assumption that Hawkenson would have got and accepted advice to adopt a somewhat more cautious investment strategy after the big loss between May and June 1996 and would not have been advised or inclined to stray from that course thereafter.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effect, I find it reasonable to assume that having eliminated the margin risk and reduced the speculative component, Rogers and Midland would have met their obligation with respect to cautionary advice and that Hawkenson, who testified he was guided by such advice as he got from Rogers, would have been thereafter content to let the Folklore account remain at around 40% in speculative shares, reflecting his demonstrated risk tolerance, and to refrain from further margin trading.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My last two assumptions are that the 40% in the "Speculative" component of the Folklore account, would have performed as it actually did between September 1996 and September 1997 and that the other 60% of the account would have performed as the "Growth" and "Income" components did over that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These assumptions I base on the likelihood that Rogers and Hawkenson would have continued in their enthusiasm for volatile resource shares in the "speculative" component, with similar results, and that none of the "growth" or "income" investments actually held during the period in question were demonstrated to be inappropriate for those categories.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From September 1996 to September 1997 the "Speculative" component declined from $401,000 to $150,000 losing 62.6% and the combined "Growth" and "Income" components declined from $340,000 to $204,000 losing 40%. That is, the rate of loss in the "Speculative" component was 62.6% per year and the rate of loss in the balance of the portfolio was 40% per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If the components of the hypothetical "rebalanced" margin-free Folklore account had performed as the actual account performed from September 1996 to September 1997, the combined "Income" and "Growth" components would have fallen 40% from $381,500 to $228,900 and the "Speculative" component would have fallen 62.6% from $222,400 to $83,200 Leaving a total net value in the portfolio of $321,100.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loss attributable to the defendants' failure to advise the plaintiffs to reduce risk by eliminating margin and reducing the speculative component to around 40% and maintaining it there was the difference between the actual net account balance of $246,600 in September 1997 and the hypothetical balance of $321,100 if those things had been done in accordance with the assumptions I have found reasonable and applied to estimate the account balance. This is $65,500.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find this amount represents the damages which arise from Rogers' and Midland's failure to properly review Folklore account after May 1996, and advise Hawkenson to eliminate margin trading and reduce the "speculative" component to 40%.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Counsel for the defendants argued the application of the apportionment provisions s.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should reduce any award of damages on the basis of Hawkenson's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stem the losses by reacting to them on his own. I find s. 1 has no application in this case where a damage assessment is based on the Athey v. Leonati approach of assessing the probability of hypothetical facts. The issue at this stage of the analysis is not whether Hawkenson was negligent in not acting on his own to stop the losses in the Folklore account when there was no advice forthcoming from the defendants that he ought to do so. Rather it is the probability that he would have accepted and acted on prudent advice meeting the industry standard had it been provided as it ought to have been. I have already found it reasonable to assume he would have done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find the defendants jointly and severally liable for damages in the amount of $65,500 and costs on Scale 3, unless there has been an offer of settlement which would affect entitlement to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E.R.A. EDWARDS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 w:history="1">
        <w:r>
          <w:rPr>
            <w:rFonts w:ascii="arial" w:eastAsia="arial" w:hAnsi="arial" w:cs="arial"/>
            <w:b/>
            <w:bCs/>
            <w:i/>
            <w:color w:val="0077CC"/>
            <w:kern w:val="32"/>
            <w:sz w:val="28"/>
            <w:szCs w:val="32"/>
            <w:u w:val="single"/>
            <w:shd w:val="clear" w:color="auto" w:fill="FFFFFF"/>
            <w:lang w:val="en-US" w:eastAsia="en-US" w:bidi="ar-SA"/>
          </w:rPr>
          <w:t>James v. British Columbia, [2004] B.C.J. No. 933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29 and 30,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03 2951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933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608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131 A.C.W.S. (3d) 815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Kenneth David James, plaintiff, and Her Majesty The Queen in Right of the Province of British Columbia, defendant Brought Under the Class Proceedings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 w:name="Keywords_1"/>
      <w:bookmarkEnd w:id="18"/>
      <w:r>
        <w:rPr>
          <w:rFonts w:ascii="arial" w:eastAsia="arial" w:hAnsi="arial" w:cs="arial"/>
          <w:b/>
          <w:color w:val="000000"/>
          <w:sz w:val="20"/>
          <w:lang w:val="en-US" w:eastAsia="en-US" w:bidi="ar-SA"/>
        </w:rPr>
        <w:t xml:space="preserve">Civil procedure — Parties — Class or representative actions — Pleadings — Striking out pleadings or allegations — Grounds — Failure to disclose a cause of action or defence — Damages — For torts — Pure economic loss — Government law — Crown — Actions by and against Crown — Breach of statutory duty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Tort law — Duty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 w:name="Case Summary_1"/>
            <w:bookmarkEnd w:id="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James for an order certifying his action as a class proceeding. James was a forestry worker who alleged that he lost his job due to Crown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James worked at the Youbou sawmill. Youbou received the majority of its wood from Tree Farm Licence 46. In 1991, the Minister of Forests approved of a division of Licence 46 as part of a divesture agreement between two forestry companies. This approval was subject to the inclusion of a clause that provided that the holder of the licence would not allow the Youbou sawmill to reduce production or close for an extended period of time. The Minister replaced Licence 46 in 1996 on the condition that previous agreements in the licence would be incorporated into the replacement licence. However, in preparing the replacement licence, the clause that protected the Youbou sawmill was removed. In 2001, the Youbou sawmill closed down. James claimed that the failure to include the protective clause in the replacement licence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either the Crown employees or the Minister, and resulted in the loss of his job as well as those of his co-workers, the other members of the proposed Class.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 w:name="Holdings of Court_1"/>
            <w:bookmarkEnd w:id="2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James' pleadings disclosed a potential cause of action under the category of negligent performance of a service. James had pled his case on the basis that the Province had voluntarily accepted the responsibility of ensuring the continuation of the disability clause. There had been no duty on the Minister to impose a disability clause on the license in 1991. Such a clause was nonetheless imposed for the benefit of Youbou's workers. Arguably, therefore, the Minister had voluntarily accepted a responsibility to the workers that the disability clause would be continued, and a prima facie duty of care could be posited on that basis. James' application was also allowed on the grounds that it was possible that the pleadings established a relationship between the province and the sawmill employees sufficient to give rise to a duty of care. The province had repeatedly informed James' union that it would honour its commitment with respect to the disability clause. Nor was the spectre of indeterminate liability a relevant concern; the class was identifiable, and liability would not extend indeterminately.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 w:name="Legislation Cited_2"/>
      <w:bookmarkEnd w:id="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Proceedings Act (1996), R.S.B.C., c. 50, ss. 4(1)(a),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Forest Act (1996), R.S.B.C., c. 157.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Ministry of Forests Act (1996), R.S.B.C., c. 300, ss. 3, 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 w:name="Counsel_2"/>
      <w:bookmarkEnd w:id="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J.J. Arvay, Q.C. and A. Price, co-operative student, for the plaintiff. G.J. Underwood and K.W. Inaya,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 w:name="Judgment_2"/>
      <w:bookmarkEnd w:id="23"/>
      <w:r>
        <w:pict>
          <v:line id="_x0000_s1043" style="position:absolute;z-index:2518149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 w:name="R.D. WILSON J."/>
            <w:bookmarkEnd w:id="24"/>
            <w:r>
              <w:rPr>
                <w:rFonts w:ascii="arial" w:eastAsia="arial" w:hAnsi="arial" w:cs="arial"/>
                <w:b/>
                <w:color w:val="000000"/>
                <w:sz w:val="30"/>
                <w:lang w:val="en-US" w:eastAsia="en-US" w:bidi="ar-SA"/>
              </w:rPr>
              <w:t>R.D. WILSON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James applies for an order that his action be certified as a class proceeding. His application is made pursuant to the Class Proceedings Act.</w:t>
      </w:r>
      <w:bookmarkStart w:id="25"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5"/>
      <w:r>
        <w:rPr>
          <w:rFonts w:ascii="arial" w:eastAsia="arial" w:hAnsi="arial" w:cs="arial"/>
          <w:color w:val="000000"/>
          <w:sz w:val="20"/>
          <w:lang w:val="en-US" w:eastAsia="en-US" w:bidi="ar-SA"/>
        </w:rPr>
        <w:t xml:space="preserve"> As this matter was argued, the material provision of that legislation is s. 4(1)(a):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 if all of the following requirements are met: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remaining requirements were not the subject of controversy. I find that those requirements,</w:t>
      </w:r>
      <w:bookmarkStart w:id="26"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26"/>
      <w:r>
        <w:rPr>
          <w:rFonts w:ascii="arial" w:eastAsia="arial" w:hAnsi="arial" w:cs="arial"/>
          <w:color w:val="000000"/>
          <w:sz w:val="20"/>
          <w:lang w:val="en-US" w:eastAsia="en-US" w:bidi="ar-SA"/>
        </w:rPr>
        <w:t xml:space="preserve"> on the evidence presented,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 initially, is: do Mr. James' pleadings disclose a cause of action.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material allegations in Mr. James' statement of claim are: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a forestry worker previously employed by TFL Forest Ltd. (the "Licensee") at its Cowichan Sawmill (the "Youbou Mill") located at Youbou, in the Province of British Columbia.</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Her Majesty the Queen in Right of the Province of British Columbia (the "Crown") is directly and vicariously responsible for the actions of the Ministers of the Crown, including the Minister of Forests (the "Minister"), and employees of the Crown, including employees of the Ministry of Forests (the "Crown Employees").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an employee of the Licensee at the Youbou Mill from January 26, 1999, until January 26,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Licensee was and is the holder of a number of Tree Farm Licenses ("TFLs") in British Columbia.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1, 1983, a number of TFLs were amalgamated to form TFL 46, which was assigned to Fletcher Challenge Limited ("Fletcher Challenge").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Much of the timber processed at the Youbou Mill was harvested from TFL 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1991, Fletcher Challenge applied to have TFL 46 split into two blocks with one block to remain with Fletcher Challenge and the other to be transferred to Interfor as part of a 1991 divestiture agreement.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5, 1991, the Minister at the time, the Honourable Dan Miller, gave approval in principle to the request of Fletcher Challenge, subject to the inclusion of a new clause in the TFL ("Clause 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licensee will not cause its timber processing facility at Youbou to reduce production or to close for a sustained period of time, unless, and to the extent that the Minister or his designate, exempts the licensee from the requirement of this paragraph.</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7 was specifically intended to address concerns expressed by the employees of the Youbou Mill, through the Industrial Wood and Allied Workers ("IWA"), regarding the impact of reducing the timber available on workers at the Youbou Mill.</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19, 1991, the Minister signed various documents to implement the request to split TFL 46. One of the documents was Instrument 14 to TFL 46, which created TFL 54 and added Clause 7 into TFL 46.</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16, 1993, Fletcher Challenge assigned TFL 46 to the Licensee but retained a 51% shareholding in the Licensee.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16, 1996, the employees of the Youbou Mill, through the IWA, sent a letter to the Minister at the time, the Honourable David Zirnhelt, stating in part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wish to draw your attention to a number of concerns that I.W.A. Canada Local 1-80 has with regard to the sale or transfer of crown tenure rights such as Tree Farm License #46.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Our issues 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found in the letter from Dan Miller to J.D. Gelz dated December 5, 1991 and also found in the letter returned to Dan Miller from J.D. Gelz, item No. 7, the Company agreed to incorporate in the management working plan of TFL #46, terms and conditions which connect TFL #46 to the ongoing operation of the Cowichan Lumber Mill at Youbou, B.C. It is extremely important to us that these provisions remain in place as a condition in any future sale or transfer of the TFL.</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20, 1996, the Minister offered a replacement TFL 46 to the Licensee. One of the conditions of the offer was that "outstanding TFL 46 amendments entered into since the last agreement was signed will be incorporated." The replacement TFL was signed on or around July 1, 1997.</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preparing the replacement TFL documents, the Crown Employees removed the language of Clause 7 from TFL 46.</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removal of Clause 7 from TFL 46 was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Crown Employees in failing to meet a reasonable standard of care in preparing the replacement TFL 46 documents.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Crown Employees were negligent in failing to advise the Minister that they had removed Clause 7 from TFL 46 when they knew, or ought to have known, that such a decision required the Minister's consideration.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the removal of Clause 7 from TFL 46 was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Minister in failing to meet a reasonable standard of care in reviewing the replacement TFL 46 documents before executing the documents.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and Crown Employees owed the Plaintiff and the members of the class a private law duty of care to ensure that Clause 7 was not removed from TFL 46 in a negligent manner.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removal of Clause 7 from TFL 46 was not known to the Plaintiff until October 2000.</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10, 2000, the Licensee served notice of closure of the Youbou Mill on the Minister.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26, 2001, the Licensee closed and ceased operations at the Youbou Mill.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closure and cessation of operations at the Youbou Mill resulted in the loss of jobs and income for the Plaintiff and for other members of the Class.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closure and cessation of operations at the Youbou Mill was a result of the removal of Clause 7 from TFL 46.</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Crown Employees and/or the Minister as described in paragraphs 17, 18 and 19 was the cause of the losses of the Plaintiff and the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sum, the pleadings allege the Province made a commitment to Mr. James, through his trade union, which was dishonoured. In result, Mr. James lost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Province asserts that it is "plain and obvious" that Mr. James' statement of claim discloses no reasonable cause of action.</w:t>
      </w:r>
      <w:bookmarkStart w:id="27"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27"/>
      <w:r>
        <w:rPr>
          <w:rFonts w:ascii="arial" w:eastAsia="arial" w:hAnsi="arial" w:cs="arial"/>
          <w:color w:val="000000"/>
          <w:sz w:val="20"/>
          <w:lang w:val="en-US" w:eastAsia="en-US" w:bidi="ar-SA"/>
        </w:rPr>
        <w:t xml:space="preserve"> In particular, the Province says Mr. James does not have a cause of action,</w:t>
      </w:r>
      <w:bookmarkStart w:id="28"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28"/>
      <w:r>
        <w:rPr>
          <w:rFonts w:ascii="arial" w:eastAsia="arial" w:hAnsi="arial" w:cs="arial"/>
          <w:color w:val="000000"/>
          <w:sz w:val="20"/>
          <w:lang w:val="en-US" w:eastAsia="en-US" w:bidi="ar-SA"/>
        </w:rPr>
        <w:t xml:space="preserve"> because: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James' claim is for pure economic loss;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James' case against the Province is not a case recognized as actionable under current Canadian law;</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James is not the Province's neighbour;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policy reasons, Mr. James cannot succeed, because this tort would introduce indeterminant liability (open the flood gates);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James does not plead that he relied upon, or reasonably relied upon, the conduct of the Province;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 Province's failure to include the clause in the licensee's tree farm license, did not cause Mr. James to lose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James takes issue with the notion that his claim is a claim for "pure economic loss". In support of his argument, Mr. James has referred to the observations in two wrongful dismissal actions, Slate Communications Inc. v. Davidson and Wallace v. United Grain Growers Ltd.</w:t>
      </w:r>
      <w:bookmarkStart w:id="29"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29"/>
      <w:r>
        <w:rPr>
          <w:rFonts w:ascii="arial" w:eastAsia="arial" w:hAnsi="arial" w:cs="arial"/>
          <w:color w:val="000000"/>
          <w:sz w:val="20"/>
          <w:lang w:val="en-US" w:eastAsia="en-US" w:bidi="ar-SA"/>
        </w:rPr>
        <w:t xml:space="preserve"> In the former, the observation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identity aspect of employment is increasingly seen to serve deep psychological needs ... It recognizes the importance of providing the members of society with an opportunity to realize some sense of identity and meaning, some sense of worth in the community beyond that which can be taken from the material product of the institution ... It is this institution through which most of us secure much of our self respect and self esteem ... (citing Professor Beatty, in "Labour is not a Commodity" in Reiter and Swan, Editors, Studies in Contract Law (1980), at pages 323 to 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From the latter, the observation is, at paragraph 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for most people, work is one of the defining features of their lives. Accordingly, any change in a person's employment status is bound to have far reaching repercussions.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James also relies upon observations in a labour relations dispute in United Food and Commercial Workers, Local 1518 (U.F.C.W.) v. KMart Canada Ltd.,</w:t>
      </w:r>
      <w:bookmarkStart w:id="30"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30"/>
      <w:r>
        <w:rPr>
          <w:rFonts w:ascii="arial" w:eastAsia="arial" w:hAnsi="arial" w:cs="arial"/>
          <w:color w:val="000000"/>
          <w:sz w:val="20"/>
          <w:lang w:val="en-US" w:eastAsia="en-US" w:bidi="ar-SA"/>
        </w:rPr>
        <w:t xml:space="preserve"> at paragraph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importance of work for individuals has been consistently recognized and stressed. ... "A person's employment is an essential component of his or her sense of identity, self-worth and emotional well-being.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One cannot quarrel with those observations in the context they were made. However, they do not exempt Mr. James from the definition of pure economic loss, which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Pure economic loss is loss suffered by an individual that is not accompanied by physical injury or property damage.</w:t>
      </w:r>
      <w:bookmarkStart w:id="31"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31"/>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Whatever one's notion of employment, there was no bodily injury or physical damage to property in this case. It is plain and obvious that Mr. James' claim is a claim for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At the present time, the Province contends there is no precedent for the duty of care alleged by Mr. James in this case. And, it is plain and obvious, says the Province, that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not be extended to reach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framework for analysis of the Endean question is taken from Cooper v. Hobart,</w:t>
      </w:r>
      <w:bookmarkStart w:id="32"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32"/>
      <w:r>
        <w:rPr>
          <w:rFonts w:ascii="arial" w:eastAsia="arial" w:hAnsi="arial" w:cs="arial"/>
          <w:color w:val="000000"/>
          <w:sz w:val="20"/>
          <w:lang w:val="en-US" w:eastAsia="en-US" w:bidi="ar-SA"/>
        </w:rPr>
        <w:t xml:space="preserve"> at paragraph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question is whether the circumstances disclose reasonably foreseeable harm and proximity sufficient to establish a prima facie duty of care. The first inquiry at this stage is whether the case falls within or is analogous to a category of cases in which a duty of care has previously been recognized.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that "first inquiry", there are, currently, five categories in which a duty of care has been imposed in cases of pure economic loss; in addition to the situation where the defendant's act foreseeably causes physical harm to the plaintiff or the plaintiff's property. The five categories are:</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independent liability of statutory public authority;</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performance of a service;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supply of shoddy goods or structure;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relational economic loss.</w:t>
      </w:r>
      <w:bookmarkStart w:id="33"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33"/>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Under the first category, independent liability of statutory public authority, liability was found to attach at the following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Kamloops (City) v. Nielsen:</w:t>
      </w:r>
      <w:bookmarkStart w:id="34"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34"/>
      <w:r>
        <w:rPr>
          <w:rFonts w:ascii="arial" w:eastAsia="arial" w:hAnsi="arial" w:cs="arial"/>
          <w:color w:val="000000"/>
          <w:sz w:val="20"/>
          <w:lang w:val="en-US" w:eastAsia="en-US" w:bidi="ar-SA"/>
        </w:rPr>
        <w:t xml:space="preserve"> "A", a statutory public authority, was empowered to inspect buildings to ensure compliance with a building code. "A" negligently inspected a building built by "B" who sold to "C" who suffered loss. "C" was entitled to claim damages for pure economic loss against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Just v. British Columbia:</w:t>
      </w:r>
      <w:bookmarkStart w:id="35"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35"/>
      <w:r>
        <w:rPr>
          <w:rFonts w:ascii="arial" w:eastAsia="arial" w:hAnsi="arial" w:cs="arial"/>
          <w:color w:val="000000"/>
          <w:sz w:val="20"/>
          <w:lang w:val="en-US" w:eastAsia="en-US" w:bidi="ar-SA"/>
        </w:rPr>
        <w:t xml:space="preserve"> "A", a statutory public authority, undertook a policy of road maintenance. It negligently performed that undertaking. A rock fell from the highway right of way causing personal injury and property damage to "B". "B" successfully claimed damages against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Trosin v. Sikora:</w:t>
      </w:r>
      <w:bookmarkStart w:id="36" w:name="Backward_fnref_fnr-12"/>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36"/>
      <w:r>
        <w:rPr>
          <w:rFonts w:ascii="arial" w:eastAsia="arial" w:hAnsi="arial" w:cs="arial"/>
          <w:color w:val="000000"/>
          <w:sz w:val="20"/>
          <w:lang w:val="en-US" w:eastAsia="en-US" w:bidi="ar-SA"/>
        </w:rPr>
        <w:t xml:space="preserve"> "A", a statutory public authority, was empowered to undertake investigations, in securities matters, upon complaint. "B" was the subject of a complaint to "A" by "C". It was alleged, in an action by "C", that "A" negligently carried out an investigation. "A" made application to strike out "C's" claim. The action was allowed to proceed because, it was "not plain and obvious ... that a duty of care did not exist ... and therefore, ... not obvious that the action would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Ogden v. Gulf Log Salvage Co-Operative Assn.:</w:t>
      </w:r>
      <w:bookmarkStart w:id="37" w:name="Backward_fnref_fnr-13"/>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37"/>
      <w:r>
        <w:rPr>
          <w:rFonts w:ascii="arial" w:eastAsia="arial" w:hAnsi="arial" w:cs="arial"/>
          <w:color w:val="000000"/>
          <w:sz w:val="20"/>
          <w:lang w:val="en-US" w:eastAsia="en-US" w:bidi="ar-SA"/>
        </w:rPr>
        <w:t xml:space="preserve"> "A", a statutory public authority, was empowered to regulate a log salvaging licensee, "B". "C" alleged that it suffered economic loss as a result of the conduct of "B" and applied to add "A" in its action. Although "C's" claim did not fall within any of the "categories", it was not plain and obvious that a duty of care was not owed by "A" to "C". "A" was added to the action. (This was also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No duty of care was found in the following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Cooper v. Hobart:</w:t>
      </w:r>
      <w:bookmarkStart w:id="38" w:name="Backward_fnref_fnr-14"/>
      <w:hyperlink w:anchor="Forward_fnref_fnr-14" w:history="1">
        <w:r>
          <w:rPr>
            <w:rFonts w:ascii="arial" w:eastAsia="arial" w:hAnsi="arial" w:cs="arial"/>
            <w:b/>
            <w:color w:val="BE161D"/>
            <w:sz w:val="20"/>
            <w:shd w:val="clear" w:color="auto" w:fill="FFFFFF"/>
            <w:vertAlign w:val="superscript"/>
            <w:lang w:val="en-US" w:eastAsia="en-US" w:bidi="ar-SA"/>
          </w:rPr>
          <w:t>14</w:t>
        </w:r>
      </w:hyperlink>
      <w:bookmarkEnd w:id="38"/>
      <w:r>
        <w:rPr>
          <w:rFonts w:ascii="arial" w:eastAsia="arial" w:hAnsi="arial" w:cs="arial"/>
          <w:color w:val="000000"/>
          <w:sz w:val="20"/>
          <w:lang w:val="en-US" w:eastAsia="en-US" w:bidi="ar-SA"/>
        </w:rPr>
        <w:t xml:space="preserve"> "A", a statutory public authority, was empowered to regulate mortgage brokers. "B" carried out his mortgage brokering in a manner which caused loss to "C". "C" sued "A", and applied for an order that her action be certified as a class action. Her application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Kimpton v. Canada:</w:t>
      </w:r>
      <w:bookmarkStart w:id="39" w:name="Backward_fnref_fnr-15"/>
      <w:hyperlink w:anchor="Forward_fnref_fnr-15" w:history="1">
        <w:r>
          <w:rPr>
            <w:rFonts w:ascii="arial" w:eastAsia="arial" w:hAnsi="arial" w:cs="arial"/>
            <w:b/>
            <w:color w:val="BE161D"/>
            <w:sz w:val="20"/>
            <w:shd w:val="clear" w:color="auto" w:fill="FFFFFF"/>
            <w:vertAlign w:val="superscript"/>
            <w:lang w:val="en-US" w:eastAsia="en-US" w:bidi="ar-SA"/>
          </w:rPr>
          <w:t>15</w:t>
        </w:r>
      </w:hyperlink>
      <w:bookmarkEnd w:id="39"/>
      <w:r>
        <w:rPr>
          <w:rFonts w:ascii="arial" w:eastAsia="arial" w:hAnsi="arial" w:cs="arial"/>
          <w:color w:val="000000"/>
          <w:sz w:val="20"/>
          <w:lang w:val="en-US" w:eastAsia="en-US" w:bidi="ar-SA"/>
        </w:rPr>
        <w:t xml:space="preserve"> "A", a statutory public authority, adopted a building code. "B" constructed a condominium building pursuant to that code, and sold a unit to "C". The building failed. "C" sued "A" for her economic loss. She applied for an order certifying her action as a class proceeding. The application failed. "C" was not entitled to proceed against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are multiple reasons given for the results in the above cases. In the cases in which a claim for pure economic loss against a statutory public authority has succeeded, or has been permitted to proceed, there is one common factor. Namely, the existence of a legislated regulatory regime, which the public authority is executing. That factor is a necessary condition in this category. The principle was stated in Cooper, at paragraph 43,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factors giving rise to proximity, if they exist, must arise from the statute under which the Registrar is appointed. That statute is the only source of his duties, private or public. Apart from that statute, he is in no different position than the ordinary man or woman on the street. If a duty to investors with regulated mortgage brokers is to be found, it must be in the statute.</w:t>
      </w:r>
      <w:bookmarkStart w:id="40" w:name="Backward_fnref_fnr-16"/>
      <w:hyperlink w:anchor="Forward_fnref_fnr-16" w:history="1">
        <w:r>
          <w:rPr>
            <w:rFonts w:ascii="arial" w:eastAsia="arial" w:hAnsi="arial" w:cs="arial"/>
            <w:b/>
            <w:color w:val="BE161D"/>
            <w:sz w:val="20"/>
            <w:shd w:val="clear" w:color="auto" w:fill="FFFFFF"/>
            <w:vertAlign w:val="superscript"/>
            <w:lang w:val="en-US" w:eastAsia="en-US" w:bidi="ar-SA"/>
          </w:rPr>
          <w:t>16</w:t>
        </w:r>
      </w:hyperlink>
      <w:bookmarkEnd w:id="40"/>
      <w:r>
        <w:rPr>
          <w:rFonts w:ascii="arial" w:eastAsia="arial" w:hAnsi="arial" w:cs="arial"/>
          <w:color w:val="000000"/>
          <w:sz w:val="20"/>
          <w:lang w:val="en-US" w:eastAsia="en-US" w:bidi="ar-SA"/>
        </w:rPr>
        <w:t xml:space="preserve"> [the underlining 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Two statutes were referred to by counsel on this application: the Ministry of Forests Act</w:t>
      </w:r>
      <w:bookmarkStart w:id="41" w:name="Backward_fnref_fnr-17"/>
      <w:hyperlink w:anchor="Forward_fnref_fnr-17" w:history="1">
        <w:r>
          <w:rPr>
            <w:rFonts w:ascii="arial" w:eastAsia="arial" w:hAnsi="arial" w:cs="arial"/>
            <w:b/>
            <w:color w:val="BE161D"/>
            <w:sz w:val="20"/>
            <w:shd w:val="clear" w:color="auto" w:fill="FFFFFF"/>
            <w:vertAlign w:val="superscript"/>
            <w:lang w:val="en-US" w:eastAsia="en-US" w:bidi="ar-SA"/>
          </w:rPr>
          <w:t>17</w:t>
        </w:r>
      </w:hyperlink>
      <w:bookmarkEnd w:id="41"/>
      <w:r>
        <w:rPr>
          <w:rFonts w:ascii="arial" w:eastAsia="arial" w:hAnsi="arial" w:cs="arial"/>
          <w:color w:val="000000"/>
          <w:sz w:val="20"/>
          <w:lang w:val="en-US" w:eastAsia="en-US" w:bidi="ar-SA"/>
        </w:rPr>
        <w:t xml:space="preserve"> and the Forest Act.</w:t>
      </w:r>
      <w:bookmarkStart w:id="42" w:name="Backward_fnref_fnr-18"/>
      <w:hyperlink w:anchor="Forward_fnref_fnr-18" w:history="1">
        <w:r>
          <w:rPr>
            <w:rFonts w:ascii="arial" w:eastAsia="arial" w:hAnsi="arial" w:cs="arial"/>
            <w:b/>
            <w:color w:val="BE161D"/>
            <w:sz w:val="20"/>
            <w:shd w:val="clear" w:color="auto" w:fill="FFFFFF"/>
            <w:vertAlign w:val="superscript"/>
            <w:lang w:val="en-US" w:eastAsia="en-US" w:bidi="ar-SA"/>
          </w:rPr>
          <w:t>18</w:t>
        </w:r>
      </w:hyperlink>
      <w:bookmarkEnd w:id="42"/>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Section 3 of the Ministry of Forests Act defines the duties, powers and functions of the Minister of Forests. Section 4 defines the purposes and functions of the Ministry of Forests. Those provisions do not expressly, or by implication, impose a duty on the Minister, or the Ministry, to workers in the forest industry. I agree with the Province; the duty imposed by this statute is a duty to the public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Division 6 of the Forest Act prescribes the procedural and substantive conditions for the establishment of tree farm license areas, tree farm licenses, and the issuance and replacement of tree farm licenses. None of the provisions in Division 6, expressly or by implication, impose a duty on the Minister, or the Ministry, to workers in the forest industry. I agree with the Province; the duty imposed by the statute is a duty to the public as a whole. In that respect, this case is indistinguishable from Cooper.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result, it is plain and obvious that Mr. James' claim is not included in the first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Hedley Byrne &amp; Co., Ltd. v. Heller &amp; Partners, Ltd.</w:t>
      </w:r>
      <w:bookmarkStart w:id="43" w:name="Backward_fnref_fnr-19"/>
      <w:hyperlink w:anchor="Forward_fnref_fnr-19" w:history="1">
        <w:r>
          <w:rPr>
            <w:rFonts w:ascii="arial" w:eastAsia="arial" w:hAnsi="arial" w:cs="arial"/>
            <w:b/>
            <w:color w:val="BE161D"/>
            <w:sz w:val="20"/>
            <w:shd w:val="clear" w:color="auto" w:fill="FFFFFF"/>
            <w:vertAlign w:val="superscript"/>
            <w:lang w:val="en-US" w:eastAsia="en-US" w:bidi="ar-SA"/>
          </w:rPr>
          <w:t>19</w:t>
        </w:r>
      </w:hyperlink>
      <w:bookmarkEnd w:id="43"/>
      <w:r>
        <w:rPr>
          <w:rFonts w:ascii="arial" w:eastAsia="arial" w:hAnsi="arial" w:cs="arial"/>
          <w:color w:val="000000"/>
          <w:sz w:val="20"/>
          <w:lang w:val="en-US" w:eastAsia="en-US" w:bidi="ar-SA"/>
        </w:rPr>
        <w:t xml:space="preserve"> is the most notorious example of the second category -- negligent misrepresentation. There is no plea of a misrepresentation in this case. Accordingly, this category is not applicable. However, the Province seeks to import into the subsequent analysis, the notion of "reasonable reliance", reflected in misrepresentation litigation, in Queen v. Cognos Inc.</w:t>
      </w:r>
      <w:bookmarkStart w:id="44" w:name="Backward_fnref_fnr-20"/>
      <w:hyperlink w:anchor="Forward_fnref_fnr-20" w:history="1">
        <w:r>
          <w:rPr>
            <w:rFonts w:ascii="arial" w:eastAsia="arial" w:hAnsi="arial" w:cs="arial"/>
            <w:b/>
            <w:color w:val="BE161D"/>
            <w:sz w:val="20"/>
            <w:shd w:val="clear" w:color="auto" w:fill="FFFFFF"/>
            <w:vertAlign w:val="superscript"/>
            <w:lang w:val="en-US" w:eastAsia="en-US" w:bidi="ar-SA"/>
          </w:rPr>
          <w:t>20</w:t>
        </w:r>
      </w:hyperlink>
      <w:bookmarkEnd w:id="44"/>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following precedents dealt with the third category -- negligent performance of a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White v. Jones:</w:t>
      </w:r>
      <w:bookmarkStart w:id="45" w:name="Backward_fnref_fnr-21"/>
      <w:hyperlink w:anchor="Forward_fnref_fnr-21" w:history="1">
        <w:r>
          <w:rPr>
            <w:rFonts w:ascii="arial" w:eastAsia="arial" w:hAnsi="arial" w:cs="arial"/>
            <w:b/>
            <w:color w:val="BE161D"/>
            <w:sz w:val="20"/>
            <w:shd w:val="clear" w:color="auto" w:fill="FFFFFF"/>
            <w:vertAlign w:val="superscript"/>
            <w:lang w:val="en-US" w:eastAsia="en-US" w:bidi="ar-SA"/>
          </w:rPr>
          <w:t>21</w:t>
        </w:r>
      </w:hyperlink>
      <w:bookmarkEnd w:id="45"/>
      <w:r>
        <w:rPr>
          <w:rFonts w:ascii="arial" w:eastAsia="arial" w:hAnsi="arial" w:cs="arial"/>
          <w:color w:val="000000"/>
          <w:sz w:val="20"/>
          <w:lang w:val="en-US" w:eastAsia="en-US" w:bidi="ar-SA"/>
        </w:rPr>
        <w:t xml:space="preserve"> "A", a solicitor, drew a will for "B", the client. "C" was a disappointed beneficiary. "C" successfully claimed against "A" for economic loss. A duty of care was imposed. The same result obtained, for a disappointed beneficiary, in Wilhelm v. Hickson.</w:t>
      </w:r>
      <w:bookmarkStart w:id="46" w:name="Backward_fnref_fnr-22"/>
      <w:hyperlink w:anchor="Forward_fnref_fnr-22" w:history="1">
        <w:r>
          <w:rPr>
            <w:rFonts w:ascii="arial" w:eastAsia="arial" w:hAnsi="arial" w:cs="arial"/>
            <w:b/>
            <w:color w:val="BE161D"/>
            <w:sz w:val="20"/>
            <w:shd w:val="clear" w:color="auto" w:fill="FFFFFF"/>
            <w:vertAlign w:val="superscript"/>
            <w:lang w:val="en-US" w:eastAsia="en-US" w:bidi="ar-SA"/>
          </w:rPr>
          <w:t>22</w:t>
        </w:r>
      </w:hyperlink>
      <w:bookmarkEnd w:id="46"/>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Burnett v. Took Engineering Inc.:</w:t>
      </w:r>
      <w:bookmarkStart w:id="47" w:name="Backward_fnref_fnr-23"/>
      <w:hyperlink w:anchor="Forward_fnref_fnr-23" w:history="1">
        <w:r>
          <w:rPr>
            <w:rFonts w:ascii="arial" w:eastAsia="arial" w:hAnsi="arial" w:cs="arial"/>
            <w:b/>
            <w:color w:val="BE161D"/>
            <w:sz w:val="20"/>
            <w:shd w:val="clear" w:color="auto" w:fill="FFFFFF"/>
            <w:vertAlign w:val="superscript"/>
            <w:lang w:val="en-US" w:eastAsia="en-US" w:bidi="ar-SA"/>
          </w:rPr>
          <w:t>23</w:t>
        </w:r>
      </w:hyperlink>
      <w:bookmarkEnd w:id="47"/>
      <w:r>
        <w:rPr>
          <w:rFonts w:ascii="arial" w:eastAsia="arial" w:hAnsi="arial" w:cs="arial"/>
          <w:color w:val="000000"/>
          <w:sz w:val="20"/>
          <w:lang w:val="en-US" w:eastAsia="en-US" w:bidi="ar-SA"/>
        </w:rPr>
        <w:t xml:space="preserve"> "A", a professional engineer, provided an opinion to "B", a contractor, on subsoil conditions on a construction site, upon which "B" was building a house for "C". The house settled, inordinately. "C" was successful in a claim for economic loss against "A". A duty of care was imposed. (Mr. Burnett's success was based on both negligent misrepresentation and negligent performance of a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Esser v. Brown:</w:t>
      </w:r>
      <w:bookmarkStart w:id="48" w:name="Backward_fnref_fnr-24"/>
      <w:hyperlink w:anchor="Forward_fnref_fnr-24" w:history="1">
        <w:r>
          <w:rPr>
            <w:rFonts w:ascii="arial" w:eastAsia="arial" w:hAnsi="arial" w:cs="arial"/>
            <w:b/>
            <w:color w:val="BE161D"/>
            <w:sz w:val="20"/>
            <w:shd w:val="clear" w:color="auto" w:fill="FFFFFF"/>
            <w:vertAlign w:val="superscript"/>
            <w:lang w:val="en-US" w:eastAsia="en-US" w:bidi="ar-SA"/>
          </w:rPr>
          <w:t>24</w:t>
        </w:r>
      </w:hyperlink>
      <w:bookmarkEnd w:id="48"/>
      <w:r>
        <w:rPr>
          <w:rFonts w:ascii="arial" w:eastAsia="arial" w:hAnsi="arial" w:cs="arial"/>
          <w:color w:val="000000"/>
          <w:sz w:val="20"/>
          <w:lang w:val="en-US" w:eastAsia="en-US" w:bidi="ar-SA"/>
        </w:rPr>
        <w:t xml:space="preserve"> "A", a notary public, acted for "B" in a real estate transaction in which "C" suffered economic loss. "C's" action against "A" was successful. A duty of care was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Mayer v. Nordstrom:</w:t>
      </w:r>
      <w:bookmarkStart w:id="49" w:name="Backward_fnref_fnr-25"/>
      <w:hyperlink w:anchor="Forward_fnref_fnr-25" w:history="1">
        <w:r>
          <w:rPr>
            <w:rFonts w:ascii="arial" w:eastAsia="arial" w:hAnsi="arial" w:cs="arial"/>
            <w:b/>
            <w:color w:val="BE161D"/>
            <w:sz w:val="20"/>
            <w:shd w:val="clear" w:color="auto" w:fill="FFFFFF"/>
            <w:vertAlign w:val="superscript"/>
            <w:lang w:val="en-US" w:eastAsia="en-US" w:bidi="ar-SA"/>
          </w:rPr>
          <w:t>25</w:t>
        </w:r>
      </w:hyperlink>
      <w:bookmarkEnd w:id="49"/>
      <w:r>
        <w:rPr>
          <w:rFonts w:ascii="arial" w:eastAsia="arial" w:hAnsi="arial" w:cs="arial"/>
          <w:color w:val="000000"/>
          <w:sz w:val="20"/>
          <w:lang w:val="en-US" w:eastAsia="en-US" w:bidi="ar-SA"/>
        </w:rPr>
        <w:t xml:space="preserve"> "A", a chartered life underwriter and financial consultant, acted for "B", the client. "A's" advice to "B" resulted in economic loss to "C". "C's" claim, as a disappointed beneficiary, succeeded against "A". A duty of care was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 duty of care was found not to be established in the following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B.D.C. Ltd. v. Hofstrand Farms Ltd.:</w:t>
      </w:r>
      <w:bookmarkStart w:id="50" w:name="Backward_fnref_fnr-26"/>
      <w:hyperlink w:anchor="Forward_fnref_fnr-26" w:history="1">
        <w:r>
          <w:rPr>
            <w:rFonts w:ascii="arial" w:eastAsia="arial" w:hAnsi="arial" w:cs="arial"/>
            <w:b/>
            <w:color w:val="BE161D"/>
            <w:sz w:val="20"/>
            <w:shd w:val="clear" w:color="auto" w:fill="FFFFFF"/>
            <w:vertAlign w:val="superscript"/>
            <w:lang w:val="en-US" w:eastAsia="en-US" w:bidi="ar-SA"/>
          </w:rPr>
          <w:t>26</w:t>
        </w:r>
      </w:hyperlink>
      <w:bookmarkEnd w:id="50"/>
      <w:r>
        <w:rPr>
          <w:rFonts w:ascii="arial" w:eastAsia="arial" w:hAnsi="arial" w:cs="arial"/>
          <w:color w:val="000000"/>
          <w:sz w:val="20"/>
          <w:lang w:val="en-US" w:eastAsia="en-US" w:bidi="ar-SA"/>
        </w:rPr>
        <w:t xml:space="preserve"> "A", a courier delivery service, was engaged to deliver a document from "B" to "C". Late delivery of the document caused economic loss to "C". "C" was unsuccessful in his claim for economic loss against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 Hasegawa &amp; Co. Ltd. v. Pepsi Bottling (Canada), Co.:</w:t>
      </w:r>
      <w:bookmarkStart w:id="51" w:name="Backward_fnref_fnr-27"/>
      <w:hyperlink w:anchor="Forward_fnref_fnr-27" w:history="1">
        <w:r>
          <w:rPr>
            <w:rFonts w:ascii="arial" w:eastAsia="arial" w:hAnsi="arial" w:cs="arial"/>
            <w:b/>
            <w:color w:val="BE161D"/>
            <w:sz w:val="20"/>
            <w:shd w:val="clear" w:color="auto" w:fill="FFFFFF"/>
            <w:vertAlign w:val="superscript"/>
            <w:lang w:val="en-US" w:eastAsia="en-US" w:bidi="ar-SA"/>
          </w:rPr>
          <w:t>27</w:t>
        </w:r>
      </w:hyperlink>
      <w:bookmarkEnd w:id="51"/>
      <w:r>
        <w:rPr>
          <w:rFonts w:ascii="arial" w:eastAsia="arial" w:hAnsi="arial" w:cs="arial"/>
          <w:color w:val="000000"/>
          <w:sz w:val="20"/>
          <w:lang w:val="en-US" w:eastAsia="en-US" w:bidi="ar-SA"/>
        </w:rPr>
        <w:t xml:space="preserve"> "A" contracted to bottle water for "B", which "B" then sold to "C". Contaminants entered the water during the bottling process. "C" suffered economic loss and sued "A", unsuccessfully. This case failed on both the negligent performance of a service category, and the negligent supply of shoddy goods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is not plain and obvious that Mr. James' claim is not included in this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Province contends that "clearly" Mr. James' case does not involve the negligent performance of a service. These cases, it is said, "... appear to rely on a duty of care arising from a specific business relationship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an application such as this one, it may be error to conclude that this category is so narrowly confined. The object of the inquiry is the determination of the presence or absence of a duty of care. Many and varied are the ways in which a duty of care may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Hedley Byrne &amp; Co. Ltd. v. Heller &amp; Partners Ltd.,</w:t>
      </w:r>
      <w:bookmarkStart w:id="52" w:name="Backward_fnref_fnr-28"/>
      <w:hyperlink w:anchor="Forward_fnref_fnr-28" w:history="1">
        <w:r>
          <w:rPr>
            <w:rFonts w:ascii="arial" w:eastAsia="arial" w:hAnsi="arial" w:cs="arial"/>
            <w:b/>
            <w:color w:val="BE161D"/>
            <w:sz w:val="20"/>
            <w:shd w:val="clear" w:color="auto" w:fill="FFFFFF"/>
            <w:vertAlign w:val="superscript"/>
            <w:lang w:val="en-US" w:eastAsia="en-US" w:bidi="ar-SA"/>
          </w:rPr>
          <w:t>28</w:t>
        </w:r>
      </w:hyperlink>
      <w:bookmarkEnd w:id="52"/>
      <w:r>
        <w:rPr>
          <w:rFonts w:ascii="arial" w:eastAsia="arial" w:hAnsi="arial" w:cs="arial"/>
          <w:color w:val="000000"/>
          <w:sz w:val="20"/>
          <w:lang w:val="en-US" w:eastAsia="en-US" w:bidi="ar-SA"/>
        </w:rPr>
        <w:t xml:space="preserve"> Lord Devlin advanced this proposition: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do not understand any of your Lordships to hold that it is a responsibility imposed by law upon certain types of persons or in certain sorts of situations. It is a responsibility that is voluntarily accepted or undertaken, either generally where a general relationship, such as that of solicitor and client or banker and customer, is created, or specifically in relation to a particular transaction.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pleaded, Mr. James' case presents as the "voluntary acceptance" of a responsibility by the Province. Mr. James' case is not a case where a policy regime has been established by the legislative branch, which has been carelessly administered by the executive branch. It is a case where a policy decision has been taken by the executive branch, which has, allegedly, been carelessly administered by the executive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was no duty on the Minister to impose a disability on the licensee in 1991. However, a disability was imposed on the licensee, for the benefit of the licensee's workers. Arguably, the Minister "voluntary accepted" a responsibility to the workers to see that disability continued to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relation to the precedents in this category, cited above, Mr. James' case may be unique, but it is not novel. The analogy of Mr. James' case to those precedents is this -- the Minister is to the solicitor, professional engineer, notary, or financial consultant, what the licensee and Mr. James are to the client, or contractor, and the disappointed beneficiary and building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That conclusion is a necessary and sufficient condition for the order sought by Mr. James on the application. In the event of a review of that conclusion, however, I set out the other conclusions I reached on the other controversial questions.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James does not argue that his is a case of negligent supply of shoddy goods or structures. No issue arises under that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fifth category, relational economic loss, is exemplified in Canadian National Railway Co. v. Norsk Pacific Steamship Co.</w:t>
      </w:r>
      <w:bookmarkStart w:id="53" w:name="Backward_fnref_fnr-29"/>
      <w:hyperlink w:anchor="Forward_fnref_fnr-29" w:history="1">
        <w:r>
          <w:rPr>
            <w:rFonts w:ascii="arial" w:eastAsia="arial" w:hAnsi="arial" w:cs="arial"/>
            <w:b/>
            <w:color w:val="BE161D"/>
            <w:sz w:val="20"/>
            <w:shd w:val="clear" w:color="auto" w:fill="FFFFFF"/>
            <w:vertAlign w:val="superscript"/>
            <w:lang w:val="en-US" w:eastAsia="en-US" w:bidi="ar-SA"/>
          </w:rPr>
          <w:t>29</w:t>
        </w:r>
      </w:hyperlink>
      <w:bookmarkEnd w:id="53"/>
      <w:r>
        <w:rPr>
          <w:rFonts w:ascii="arial" w:eastAsia="arial" w:hAnsi="arial" w:cs="arial"/>
          <w:color w:val="000000"/>
          <w:sz w:val="20"/>
          <w:lang w:val="en-US" w:eastAsia="en-US" w:bidi="ar-SA"/>
        </w:rPr>
        <w:t xml:space="preserve"> In that case, "A" negligently damaged a bridge owned by "B" and used, under contract, by "C". "C" suffered economic loss as a result of the unserviceable bridge. "C" successfully claimed its loss from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category is more restrictive than the other four. There may be a presumption against recovery. In any event, this category is further circumscribed by extending to cases only where the claimant has a possessory or proprietary interest in the damaged property; or the claimant's case is one of general average; or the relationship between the claimant, and the owner of the damaged property, constitutes a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James says he may qualify as an analog in this category.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plain and obvious that Mr. James' case does not fall within this category. There was no physical damage to property. Indeed, the licensee arguably obtained a benefit from the Province's omission. Extension of this category, to include Mr. James' case, would not be incremental extension; it would be radical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If the conclusion that Mr. James' case may be included in the negligent performance of a service category, is in error, then the framework of analysis prescribed in Cooper directs an analysis of Mr. James' case according to the principles established in Anns v. Merton London Borough Council.</w:t>
      </w:r>
      <w:bookmarkStart w:id="54" w:name="Backward_fnref_fnr-30"/>
      <w:hyperlink w:anchor="Forward_fnref_fnr-30" w:history="1">
        <w:r>
          <w:rPr>
            <w:rFonts w:ascii="arial" w:eastAsia="arial" w:hAnsi="arial" w:cs="arial"/>
            <w:b/>
            <w:color w:val="BE161D"/>
            <w:sz w:val="20"/>
            <w:shd w:val="clear" w:color="auto" w:fill="FFFFFF"/>
            <w:vertAlign w:val="superscript"/>
            <w:lang w:val="en-US" w:eastAsia="en-US" w:bidi="ar-SA"/>
          </w:rPr>
          <w:t>30</w:t>
        </w:r>
      </w:hyperlink>
      <w:bookmarkEnd w:id="54"/>
      <w:r>
        <w:rPr>
          <w:rFonts w:ascii="arial" w:eastAsia="arial" w:hAnsi="arial" w:cs="arial"/>
          <w:color w:val="000000"/>
          <w:sz w:val="20"/>
          <w:lang w:val="en-US" w:eastAsia="en-US" w:bidi="ar-SA"/>
        </w:rPr>
        <w:t xml:space="preserve"> That analysis involves a two-part test:</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 relationship of proximity, between Mr. James and the Province, to make it reasonably foreseeable that carelessness by the Province may cause damage to Mr. James;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do policy considerations either negative or limit the scope of the duty, the class of persons to whom the duty is owed, or the damages caused by the breach of duty?</w:t>
      </w:r>
      <w:bookmarkStart w:id="55" w:name="Backward_fnref_fnr-31"/>
      <w:hyperlink w:anchor="Forward_fnref_fnr-31" w:history="1">
        <w:r>
          <w:rPr>
            <w:rFonts w:ascii="arial" w:eastAsia="arial" w:hAnsi="arial" w:cs="arial"/>
            <w:b/>
            <w:color w:val="BE161D"/>
            <w:sz w:val="20"/>
            <w:shd w:val="clear" w:color="auto" w:fill="FFFFFF"/>
            <w:vertAlign w:val="superscript"/>
            <w:lang w:val="en-US" w:eastAsia="en-US" w:bidi="ar-SA"/>
          </w:rPr>
          <w:t>31</w:t>
        </w:r>
      </w:hyperlink>
      <w:bookmarkEnd w:id="55"/>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first part of the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Determining whether "proximity" exists on a given set of facts consists in an attempt to discern whether, as a matter of simple justice, the defendant may be said to have had an obligation to be mindful of the plaintiff's interests in going about his or her business.</w:t>
      </w:r>
      <w:bookmarkStart w:id="56" w:name="Backward_fnref_fnr-32"/>
      <w:hyperlink w:anchor="Forward_fnref_fnr-32" w:history="1">
        <w:r>
          <w:rPr>
            <w:rFonts w:ascii="arial" w:eastAsia="arial" w:hAnsi="arial" w:cs="arial"/>
            <w:b/>
            <w:color w:val="BE161D"/>
            <w:sz w:val="20"/>
            <w:shd w:val="clear" w:color="auto" w:fill="FFFFFF"/>
            <w:vertAlign w:val="superscript"/>
            <w:lang w:val="en-US" w:eastAsia="en-US" w:bidi="ar-SA"/>
          </w:rPr>
          <w:t>32</w:t>
        </w:r>
      </w:hyperlink>
      <w:bookmarkEnd w:id="56"/>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Further direction on discerning the proximity of the relationship is taken from Cooper:</w:t>
      </w:r>
      <w:bookmarkStart w:id="57" w:name="Backward_fnref_fnr-33"/>
      <w:hyperlink w:anchor="Forward_fnref_fnr-33" w:history="1">
        <w:r>
          <w:rPr>
            <w:rFonts w:ascii="arial" w:eastAsia="arial" w:hAnsi="arial" w:cs="arial"/>
            <w:b/>
            <w:color w:val="BE161D"/>
            <w:sz w:val="20"/>
            <w:shd w:val="clear" w:color="auto" w:fill="FFFFFF"/>
            <w:vertAlign w:val="superscript"/>
            <w:lang w:val="en-US" w:eastAsia="en-US" w:bidi="ar-SA"/>
          </w:rPr>
          <w:t>33</w:t>
        </w:r>
      </w:hyperlink>
      <w:bookmarkEnd w:id="57"/>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may involve looking at expectations, representations, reliance, and the property or other interests involved.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1991, the IWA made an inquiry of the Province. As Heller &amp; Partners could have done, so could have the Province, taken the position that it would not become involved. The Province could have told the IWA then that market considerations would govern the future of the licensee's workers. The Province did not do that. The Province met the IWA's inquiry with a commitment to impose a disability on the licensee. By its conduct, the Province created a "relationship" with the IWA, which represented the licensee's workers. That the IWA had an expectation that the Province would honour its commitment, is evidenced in the subsequent inquiry, on the same topic, of 16 December 1996. Again, the Province did not advise the IWA that market conditions would prevail; it confirmed that it would follow through with its commitment.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Where responsibilities have been assumed, expectations raised, and reliance placed, the law has found a proximity of relationship under varying circumstances. There were no policy reasons advanced to support a conclusion that the Province ought to be held to a different standard in its relationships than solicitors, notaries, professional engineers, credit reporters, bankers or bottlers of ginger beer.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not plain and obvious that these pleadings do not disclose a sufficient relationship of proximity, between Mr. James and the Province, to make it reasonably foreseeable that carelessness by the Province may cause damage to Mr. James. It is not plain and obvious that Mr. James has not established a prima facie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first policy consideration raised by the Province, in the second part of the Anns two-step test, is "the spectre of indeterminate liability". This is the Province's shorthand for the propositions stated by Cardozo C.J. in Ultramares Corp. v. Touche</w:t>
      </w:r>
      <w:bookmarkStart w:id="58" w:name="Backward_fnref_fnr-34"/>
      <w:hyperlink w:anchor="Forward_fnref_fnr-34" w:history="1">
        <w:r>
          <w:rPr>
            <w:rFonts w:ascii="arial" w:eastAsia="arial" w:hAnsi="arial" w:cs="arial"/>
            <w:b/>
            <w:color w:val="BE161D"/>
            <w:sz w:val="20"/>
            <w:shd w:val="clear" w:color="auto" w:fill="FFFFFF"/>
            <w:vertAlign w:val="superscript"/>
            <w:lang w:val="en-US" w:eastAsia="en-US" w:bidi="ar-SA"/>
          </w:rPr>
          <w:t>34</w:t>
        </w:r>
      </w:hyperlink>
      <w:bookmarkEnd w:id="58"/>
      <w:r>
        <w:rPr>
          <w:rFonts w:ascii="arial" w:eastAsia="arial" w:hAnsi="arial" w:cs="arial"/>
          <w:color w:val="000000"/>
          <w:sz w:val="20"/>
          <w:lang w:val="en-US" w:eastAsia="en-US" w:bidi="ar-SA"/>
        </w:rPr>
        <w:t xml:space="preserve"> -- "liability in an indeterminate amount for an indeterminate time to an indeterminate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evidence upon which to make any determination of the quantum (if that is what is meant) of the liability (should it be found); therefore, it is not possible to say that it is plain and obvious that to allow this action to proceed would raise the spectre of liability in an indeterminate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If liability were found in this case, it would not extend for an indeterminate time. The class has been determined. It is defined in the pleadings. If the members of that class were found entitled to damages, there would be no more indeterminacy in their claims than there would be indeterminacy in the claims of the plaintiffs in Ogden v. Gulf Log Salvage Co-Operative Assn.</w:t>
      </w:r>
      <w:bookmarkStart w:id="59" w:name="Backward_fnref_fnr-35"/>
      <w:hyperlink w:anchor="Forward_fnref_fnr-35" w:history="1">
        <w:r>
          <w:rPr>
            <w:rFonts w:ascii="arial" w:eastAsia="arial" w:hAnsi="arial" w:cs="arial"/>
            <w:b/>
            <w:color w:val="BE161D"/>
            <w:sz w:val="20"/>
            <w:shd w:val="clear" w:color="auto" w:fill="FFFFFF"/>
            <w:vertAlign w:val="superscript"/>
            <w:lang w:val="en-US" w:eastAsia="en-US" w:bidi="ar-SA"/>
          </w:rPr>
          <w:t>35</w:t>
        </w:r>
      </w:hyperlink>
      <w:bookmarkEnd w:id="59"/>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not plain and obvious that, as a policy consideration, indeterminacy will negative, or restrict, a duty of care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Further, the Province relies upon Martel Building Ltd. v. Canada,</w:t>
      </w:r>
      <w:bookmarkStart w:id="60" w:name="Backward_fnref_fnr-36"/>
      <w:hyperlink w:anchor="Forward_fnref_fnr-36" w:history="1">
        <w:r>
          <w:rPr>
            <w:rFonts w:ascii="arial" w:eastAsia="arial" w:hAnsi="arial" w:cs="arial"/>
            <w:b/>
            <w:color w:val="BE161D"/>
            <w:sz w:val="20"/>
            <w:shd w:val="clear" w:color="auto" w:fill="FFFFFF"/>
            <w:vertAlign w:val="superscript"/>
            <w:lang w:val="en-US" w:eastAsia="en-US" w:bidi="ar-SA"/>
          </w:rPr>
          <w:t>36</w:t>
        </w:r>
      </w:hyperlink>
      <w:bookmarkEnd w:id="60"/>
      <w:r>
        <w:rPr>
          <w:rFonts w:ascii="arial" w:eastAsia="arial" w:hAnsi="arial" w:cs="arial"/>
          <w:color w:val="000000"/>
          <w:sz w:val="20"/>
          <w:lang w:val="en-US" w:eastAsia="en-US" w:bidi="ar-SA"/>
        </w:rPr>
        <w:t xml:space="preserve"> for a number of propositions about the policy considerations in step two of the Anns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 central issue in Martel was the extent, if any, that a duty of care in tort, should be extended to negotiations between parties, preparatory to the conclusion of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are two aspects of Martel which limit its assistance. First, all findings were made after a trial of the action. Second, an extension of the duty of care in tort would have adverse ramifications on commercial transactions. Neither of those factors is present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Of greater assistance, in the context of this application, is Haskett v. Equifax Canada Inc. et al,</w:t>
      </w:r>
      <w:bookmarkStart w:id="61" w:name="Backward_fnref_fnr-37"/>
      <w:hyperlink w:anchor="Forward_fnref_fnr-37" w:history="1">
        <w:r>
          <w:rPr>
            <w:rFonts w:ascii="arial" w:eastAsia="arial" w:hAnsi="arial" w:cs="arial"/>
            <w:b/>
            <w:color w:val="BE161D"/>
            <w:sz w:val="20"/>
            <w:shd w:val="clear" w:color="auto" w:fill="FFFFFF"/>
            <w:vertAlign w:val="superscript"/>
            <w:lang w:val="en-US" w:eastAsia="en-US" w:bidi="ar-SA"/>
          </w:rPr>
          <w:t>37</w:t>
        </w:r>
      </w:hyperlink>
      <w:bookmarkEnd w:id="61"/>
      <w:r>
        <w:rPr>
          <w:rFonts w:ascii="arial" w:eastAsia="arial" w:hAnsi="arial" w:cs="arial"/>
          <w:color w:val="000000"/>
          <w:sz w:val="20"/>
          <w:lang w:val="en-US" w:eastAsia="en-US" w:bidi="ar-SA"/>
        </w:rPr>
        <w:t xml:space="preserve"> also a case of a proposed class action. There, "A", a credit reporting agency, reported erroneous credit information to creditor grantors, "B", about customer "C". "C" sued "A" alleging, among other causes of action, negligent misrepresentation causing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an application by "A" for dismissal of the action, summarily, as it disclosed no reasonable cause of action, the chambers judge did dismiss the action. On appeal to the Court of Appeal of Ontario, the appeal was allowed. The Court of Appeal judgment is authority for the proposition that a court should be reluctant to dismiss a claim as disclosing no reasonable cause of action based on policy reasons, at the motion stage, before there is a record on which a court can analyze the strengths and weaknesses of the policy argument. This is so because: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are not deciding the issue definitively, but only determining whether the action must be struck out as clearly unavailable.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Those propositions commend themselves to me and I adopt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Next, the Province argues that the law incorporates a check, on indeterminacy, by coupling a necessary condition of reasonable reliance to the detriment of the claimant, with a necessary condition of proximity. The Province urges an adoption of the reliance principles established in the negligent misrepresentation category.</w:t>
      </w:r>
      <w:bookmarkStart w:id="62" w:name="Backward_fnref_fnr-38"/>
      <w:hyperlink w:anchor="Forward_fnref_fnr-38" w:history="1">
        <w:r>
          <w:rPr>
            <w:rFonts w:ascii="arial" w:eastAsia="arial" w:hAnsi="arial" w:cs="arial"/>
            <w:b/>
            <w:color w:val="BE161D"/>
            <w:sz w:val="20"/>
            <w:shd w:val="clear" w:color="auto" w:fill="FFFFFF"/>
            <w:vertAlign w:val="superscript"/>
            <w:lang w:val="en-US" w:eastAsia="en-US" w:bidi="ar-SA"/>
          </w:rPr>
          <w:t>38</w:t>
        </w:r>
      </w:hyperlink>
      <w:bookmarkEnd w:id="62"/>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That is a sensible proposition. But how much of the law surrounding actions for negligent misrepresentation is to be adopted in the Anns analysis? For example, is Rainbow Industrial Caterers Ltd. v. Canadian National Railway Co.</w:t>
      </w:r>
      <w:bookmarkStart w:id="63" w:name="Backward_fnref_fnr-39"/>
      <w:hyperlink w:anchor="Forward_fnref_fnr-39" w:history="1">
        <w:r>
          <w:rPr>
            <w:rFonts w:ascii="arial" w:eastAsia="arial" w:hAnsi="arial" w:cs="arial"/>
            <w:b/>
            <w:color w:val="BE161D"/>
            <w:sz w:val="20"/>
            <w:shd w:val="clear" w:color="auto" w:fill="FFFFFF"/>
            <w:vertAlign w:val="superscript"/>
            <w:lang w:val="en-US" w:eastAsia="en-US" w:bidi="ar-SA"/>
          </w:rPr>
          <w:t>39</w:t>
        </w:r>
      </w:hyperlink>
      <w:bookmarkEnd w:id="63"/>
      <w:r>
        <w:rPr>
          <w:rFonts w:ascii="arial" w:eastAsia="arial" w:hAnsi="arial" w:cs="arial"/>
          <w:color w:val="000000"/>
          <w:sz w:val="20"/>
          <w:lang w:val="en-US" w:eastAsia="en-US" w:bidi="ar-SA"/>
        </w:rPr>
        <w:t xml:space="preserve"> to be adopted? Should there be a reversal of the ordinary incidence of proof in this non-negligent misrepresentation case? If so, then, seemingly, the onus would be on the Province to prove the reliance was not reasonable; or, seemingly, no detrimental reliance. Those are all issues more prudently reserved to a trial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Finally,</w:t>
      </w:r>
      <w:bookmarkStart w:id="64" w:name="Backward_fnref_fnr-40"/>
      <w:hyperlink w:anchor="Forward_fnref_fnr-40" w:history="1">
        <w:r>
          <w:rPr>
            <w:rFonts w:ascii="arial" w:eastAsia="arial" w:hAnsi="arial" w:cs="arial"/>
            <w:b/>
            <w:color w:val="BE161D"/>
            <w:sz w:val="20"/>
            <w:shd w:val="clear" w:color="auto" w:fill="FFFFFF"/>
            <w:vertAlign w:val="superscript"/>
            <w:lang w:val="en-US" w:eastAsia="en-US" w:bidi="ar-SA"/>
          </w:rPr>
          <w:t>40</w:t>
        </w:r>
      </w:hyperlink>
      <w:bookmarkEnd w:id="64"/>
      <w:r>
        <w:rPr>
          <w:rFonts w:ascii="arial" w:eastAsia="arial" w:hAnsi="arial" w:cs="arial"/>
          <w:color w:val="000000"/>
          <w:sz w:val="20"/>
          <w:lang w:val="en-US" w:eastAsia="en-US" w:bidi="ar-SA"/>
        </w:rPr>
        <w:t xml:space="preserve"> the Province contends that even if a duty of care is imposed in this case, Mr. James is still bound to fail because the Province's omission, of the clause imposing the disability on the licensee, did not cause Mr. James to lose his job. The proximate cause of the disappearance of that job, says the Province, was the closure of the Youbou Mill, which was motivated by economic factors. Accordingly, Mr. James cannot prove causation in fact. Nor can he prove causation in law because his loss of job is "too remote" from the Province's omission.</w:t>
      </w:r>
      <w:bookmarkStart w:id="65" w:name="Backward_fnref_fnr-41"/>
      <w:hyperlink w:anchor="Forward_fnref_fnr-41" w:history="1">
        <w:r>
          <w:rPr>
            <w:rFonts w:ascii="arial" w:eastAsia="arial" w:hAnsi="arial" w:cs="arial"/>
            <w:b/>
            <w:color w:val="BE161D"/>
            <w:sz w:val="20"/>
            <w:shd w:val="clear" w:color="auto" w:fill="FFFFFF"/>
            <w:vertAlign w:val="superscript"/>
            <w:lang w:val="en-US" w:eastAsia="en-US" w:bidi="ar-SA"/>
          </w:rPr>
          <w:t>41</w:t>
        </w:r>
      </w:hyperlink>
      <w:bookmarkEnd w:id="65"/>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That, too, is a matter more prudently reserved to a trial of the action. Mr. James has pleaded, as a material fact,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Province caused the loss. It will be for Mr. James to prove that allegation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However, s. 5 of the Class Proceedings Act mandates the filing of affidavits on the application for certification. Therefore, it is not sufficient to confine the inquiry into the issue of causation to the pleading. Nevertheless, the affidavit material must establish that it is plain and obvious that the Province's omission was not a cause, or materially contributing cause, to Mr. James' loss of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What is plain and obvious is that the intent of the clause imposing the disability on the licensee, was to address the concerns of the employees of the Youbou Mill of the impact of reducing the timber available on their jobs at the Youbou Mill. Implicitly, the words of that clause had meaning to the IWA (as representative of the workers) and the Province, and were not merely precatory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After the omission was discovered, the Province did not take the position that the words of the clause were meaningless. The Province did not take the position that the clause was irrelevant because the closure of the Mill was dictated by market forces. Activity appears to have been concentrated on determining why the clause imposing the disability had been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analysis and evaluation of the Youbou Sawmill, attached to the affidavit of Mr. Harris, does not prove beyond a reasonable doubt that the omission of the clause was not a cause or materially contributing cause to the loss of jobs. That report, and the correspondence between the licensee and the Province, attached to Mr. Harris' affidavit, do indicate that the Province does have a strong defence to Mr. James' claim. It may be the licensee conducted itself as if it continued to be subject to the disability imposed by the omitted clause. However, a strong defence is not, in and of itself, a necessary and sufficient condition for denying Mr. James the opportunity to proceed with his action.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summary, my conclusions are:</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James' case is analogous to the relationship that founds a cause of action for negligent performance of a service, and a prima facie duty of care may be posited on that basis;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this is a novel situation in which a new duty of care could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were ten claims for relief in Mr. James' notice of motion initiating the application. These reasons address only the first claim for relief. Counsel may set the remaining nine matters for determination at a date for continuation which is mutually convenient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44" style="position:absolute;z-index:25186508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66"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6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1996 R.S.B.C., c. 50.</w:t>
      </w:r>
    </w:p>
    <w:p>
      <w:pPr>
        <w:spacing w:before="120" w:after="20" w:line="240" w:lineRule="atLeast"/>
        <w:ind w:left="720" w:hanging="360"/>
        <w:jc w:val="both"/>
        <w:rPr>
          <w:rFonts w:ascii="arial" w:eastAsia="arial" w:hAnsi="arial" w:cs="arial"/>
          <w:sz w:val="20"/>
          <w:lang w:val="en-US" w:eastAsia="en-US" w:bidi="ar-SA"/>
        </w:rPr>
      </w:pPr>
      <w:bookmarkStart w:id="67"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67"/>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(b) there is an identifiable class of 2 or more persons; (c) the claims of the class members raise common issues, whether or not those common issues predominate over issues affecting only individual members; (d) a class proceeding would be the preferable procedure for the fair and efficient resolution of the common issues; (e) there is a representative plaintiff who (i) would fairly and adequately represent the interests of the class ... and (iii) does not have, on the common issues, an interest that is in conflict with the interests of other class members.</w:t>
      </w:r>
    </w:p>
    <w:p>
      <w:pPr>
        <w:spacing w:before="120" w:after="20" w:line="240" w:lineRule="atLeast"/>
        <w:ind w:left="720" w:hanging="360"/>
        <w:jc w:val="both"/>
        <w:rPr>
          <w:rFonts w:ascii="arial" w:eastAsia="arial" w:hAnsi="arial" w:cs="arial"/>
          <w:sz w:val="20"/>
          <w:lang w:val="en-US" w:eastAsia="en-US" w:bidi="ar-SA"/>
        </w:rPr>
      </w:pPr>
      <w:bookmarkStart w:id="68"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68"/>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The governing principle on this application is taken from Endean v. Canadian Red Cross Society </w:t>
      </w:r>
      <w:hyperlink r:id="rId54" w:history="1">
        <w:r>
          <w:rPr>
            <w:rFonts w:ascii="arial" w:eastAsia="arial" w:hAnsi="arial" w:cs="arial"/>
            <w:i/>
            <w:color w:val="0077CC"/>
            <w:sz w:val="18"/>
            <w:u w:val="single"/>
            <w:shd w:val="clear" w:color="auto" w:fill="FFFFFF"/>
            <w:lang w:val="en-US" w:eastAsia="en-US" w:bidi="ar-SA"/>
          </w:rPr>
          <w:t>(1998), 48 B.C.L.R. (3d) 90</w:t>
        </w:r>
      </w:hyperlink>
      <w:r>
        <w:rPr>
          <w:rFonts w:ascii="arial" w:eastAsia="arial" w:hAnsi="arial" w:cs="arial"/>
          <w:color w:val="6D6E71"/>
          <w:sz w:val="18"/>
          <w:lang w:val="en-US" w:eastAsia="en-US" w:bidi="ar-SA"/>
        </w:rPr>
        <w:t xml:space="preserve"> (B.C.C.A.) at page 93, paragraph 8: "The question to be decided, then, is whether it is "plain and obvious" that the plaintiff's statement of claim discloses no reasonable cause of action. Is there some radical defect which would amount to an abuse of process of the court such that the claim should be struck? The fact that the point is a novel one would not prevent the issue proceeding to trial." At the same time, however, one must be mindful of the competing principle in Kripps v. Touche Ross &amp; Co. </w:t>
      </w:r>
      <w:hyperlink r:id="rId55" w:history="1">
        <w:r>
          <w:rPr>
            <w:rFonts w:ascii="arial" w:eastAsia="arial" w:hAnsi="arial" w:cs="arial"/>
            <w:i/>
            <w:color w:val="0077CC"/>
            <w:sz w:val="18"/>
            <w:u w:val="single"/>
            <w:shd w:val="clear" w:color="auto" w:fill="FFFFFF"/>
            <w:lang w:val="en-US" w:eastAsia="en-US" w:bidi="ar-SA"/>
          </w:rPr>
          <w:t>(1992), 69 B.C.L.R. (2d) 62</w:t>
        </w:r>
      </w:hyperlink>
      <w:r>
        <w:rPr>
          <w:rFonts w:ascii="arial" w:eastAsia="arial" w:hAnsi="arial" w:cs="arial"/>
          <w:color w:val="6D6E71"/>
          <w:sz w:val="18"/>
          <w:lang w:val="en-US" w:eastAsia="en-US" w:bidi="ar-SA"/>
        </w:rPr>
        <w:t xml:space="preserve"> (B.C.C.A.), per Taylor J.A., at paragraph 86: "... It is, I think, important in some cases that the court make a decision at this stage concerning the extent to which recovery in </w:t>
      </w:r>
      <w:r>
        <w:rPr>
          <w:rFonts w:ascii="arial" w:eastAsia="arial" w:hAnsi="arial" w:cs="arial"/>
          <w:b/>
          <w:i/>
          <w:color w:val="6D6E71"/>
          <w:sz w:val="18"/>
          <w:u w:val="single"/>
          <w:lang w:val="en-US" w:eastAsia="en-US" w:bidi="ar-SA"/>
        </w:rPr>
        <w:t>negligence</w:t>
      </w:r>
      <w:r>
        <w:rPr>
          <w:rFonts w:ascii="arial" w:eastAsia="arial" w:hAnsi="arial" w:cs="arial"/>
          <w:color w:val="6D6E71"/>
          <w:sz w:val="18"/>
          <w:lang w:val="en-US" w:eastAsia="en-US" w:bidi="ar-SA"/>
        </w:rPr>
        <w:t xml:space="preserve"> can be enlarged, and I believe this to be such a case."</w:t>
      </w:r>
    </w:p>
    <w:p>
      <w:pPr>
        <w:spacing w:before="120" w:after="20" w:line="240" w:lineRule="atLeast"/>
        <w:ind w:left="720" w:hanging="360"/>
        <w:jc w:val="both"/>
        <w:rPr>
          <w:rFonts w:ascii="arial" w:eastAsia="arial" w:hAnsi="arial" w:cs="arial"/>
          <w:sz w:val="20"/>
          <w:lang w:val="en-US" w:eastAsia="en-US" w:bidi="ar-SA"/>
        </w:rPr>
      </w:pPr>
      <w:bookmarkStart w:id="69"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6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A cause of action is a combination of facts prescribed by substantive law which entitles a person to seek a remedy in the courts. The facts constituting a cause of action are facts supporting a right or title of the plaintiff, a wrong by the defendant infringing on that right or title, and consequent damage: Clancy v. Beach </w:t>
      </w:r>
      <w:hyperlink r:id="rId56" w:history="1">
        <w:r>
          <w:rPr>
            <w:rFonts w:ascii="arial" w:eastAsia="arial" w:hAnsi="arial" w:cs="arial"/>
            <w:i/>
            <w:color w:val="0077CC"/>
            <w:sz w:val="18"/>
            <w:u w:val="single"/>
            <w:shd w:val="clear" w:color="auto" w:fill="FFFFFF"/>
            <w:lang w:val="en-US" w:eastAsia="en-US" w:bidi="ar-SA"/>
          </w:rPr>
          <w:t>(1994), 92 B.C.L.R. (2d) 82</w:t>
        </w:r>
      </w:hyperlink>
      <w:r>
        <w:rPr>
          <w:rFonts w:ascii="arial" w:eastAsia="arial" w:hAnsi="arial" w:cs="arial"/>
          <w:color w:val="6D6E71"/>
          <w:sz w:val="18"/>
          <w:lang w:val="en-US" w:eastAsia="en-US" w:bidi="ar-SA"/>
        </w:rPr>
        <w:t xml:space="preserve"> (B.C.S.C.), at page 92, paragraph 40.</w:t>
      </w:r>
    </w:p>
    <w:p>
      <w:pPr>
        <w:spacing w:before="120" w:after="20" w:line="240" w:lineRule="atLeast"/>
        <w:ind w:left="720" w:hanging="360"/>
        <w:jc w:val="both"/>
        <w:rPr>
          <w:rFonts w:ascii="arial" w:eastAsia="arial" w:hAnsi="arial" w:cs="arial"/>
          <w:sz w:val="20"/>
          <w:lang w:val="en-US" w:eastAsia="en-US" w:bidi="ar-SA"/>
        </w:rPr>
      </w:pPr>
      <w:bookmarkStart w:id="70"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70"/>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57" w:history="1">
        <w:r>
          <w:rPr>
            <w:rFonts w:ascii="arial" w:eastAsia="arial" w:hAnsi="arial" w:cs="arial"/>
            <w:i/>
            <w:color w:val="0077CC"/>
            <w:sz w:val="18"/>
            <w:u w:val="single"/>
            <w:shd w:val="clear" w:color="auto" w:fill="FFFFFF"/>
            <w:lang w:val="en-US" w:eastAsia="en-US" w:bidi="ar-SA"/>
          </w:rPr>
          <w:t>[1989] 1 S.C.R. 1038</w:t>
        </w:r>
      </w:hyperlink>
      <w:r>
        <w:rPr>
          <w:rFonts w:ascii="arial" w:eastAsia="arial" w:hAnsi="arial" w:cs="arial"/>
          <w:color w:val="6D6E71"/>
          <w:sz w:val="18"/>
          <w:lang w:val="en-US" w:eastAsia="en-US" w:bidi="ar-SA"/>
        </w:rPr>
        <w:t xml:space="preserve"> and </w:t>
      </w:r>
      <w:hyperlink r:id="rId58" w:history="1">
        <w:r>
          <w:rPr>
            <w:rFonts w:ascii="arial" w:eastAsia="arial" w:hAnsi="arial" w:cs="arial"/>
            <w:i/>
            <w:color w:val="0077CC"/>
            <w:sz w:val="18"/>
            <w:u w:val="single"/>
            <w:shd w:val="clear" w:color="auto" w:fill="FFFFFF"/>
            <w:lang w:val="en-US" w:eastAsia="en-US" w:bidi="ar-SA"/>
          </w:rPr>
          <w:t>[1997] 3 S.C.R. 701</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71"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71"/>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59" w:history="1">
        <w:r>
          <w:rPr>
            <w:rFonts w:ascii="arial" w:eastAsia="arial" w:hAnsi="arial" w:cs="arial"/>
            <w:i/>
            <w:color w:val="0077CC"/>
            <w:sz w:val="18"/>
            <w:u w:val="single"/>
            <w:shd w:val="clear" w:color="auto" w:fill="FFFFFF"/>
            <w:lang w:val="en-US" w:eastAsia="en-US" w:bidi="ar-SA"/>
          </w:rPr>
          <w:t>[1999] 2 S.C.R. 1083</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72"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72"/>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D'Amato v. Badger, </w:t>
      </w:r>
      <w:hyperlink r:id="rId60" w:history="1">
        <w:r>
          <w:rPr>
            <w:rFonts w:ascii="arial" w:eastAsia="arial" w:hAnsi="arial" w:cs="arial"/>
            <w:i/>
            <w:color w:val="0077CC"/>
            <w:sz w:val="18"/>
            <w:u w:val="single"/>
            <w:shd w:val="clear" w:color="auto" w:fill="FFFFFF"/>
            <w:lang w:val="en-US" w:eastAsia="en-US" w:bidi="ar-SA"/>
          </w:rPr>
          <w:t>[1996] 2 S.C.R. 1071</w:t>
        </w:r>
      </w:hyperlink>
      <w:r>
        <w:rPr>
          <w:rFonts w:ascii="arial" w:eastAsia="arial" w:hAnsi="arial" w:cs="arial"/>
          <w:color w:val="6D6E71"/>
          <w:sz w:val="18"/>
          <w:lang w:val="en-US" w:eastAsia="en-US" w:bidi="ar-SA"/>
        </w:rPr>
        <w:t xml:space="preserve">, per Major J. at paragraph 13. And see Canadian National Railway Co. v. Norsk Pacific Steamship Company, </w:t>
      </w:r>
      <w:hyperlink r:id="rId61" w:history="1">
        <w:r>
          <w:rPr>
            <w:rFonts w:ascii="arial" w:eastAsia="arial" w:hAnsi="arial" w:cs="arial"/>
            <w:i/>
            <w:color w:val="0077CC"/>
            <w:sz w:val="18"/>
            <w:u w:val="single"/>
            <w:shd w:val="clear" w:color="auto" w:fill="FFFFFF"/>
            <w:lang w:val="en-US" w:eastAsia="en-US" w:bidi="ar-SA"/>
          </w:rPr>
          <w:t>[1992] 1 S.C.R. 1021</w:t>
        </w:r>
      </w:hyperlink>
      <w:r>
        <w:rPr>
          <w:rFonts w:ascii="arial" w:eastAsia="arial" w:hAnsi="arial" w:cs="arial"/>
          <w:color w:val="6D6E71"/>
          <w:sz w:val="18"/>
          <w:lang w:val="en-US" w:eastAsia="en-US" w:bidi="ar-SA"/>
        </w:rPr>
        <w:t xml:space="preserve">, per La Forest, J., (in dissent) at page 1041: "in its broad formulation, the rule was said to exclude all claims in </w:t>
      </w:r>
      <w:r>
        <w:rPr>
          <w:rFonts w:ascii="arial" w:eastAsia="arial" w:hAnsi="arial" w:cs="arial"/>
          <w:b/>
          <w:i/>
          <w:color w:val="6D6E71"/>
          <w:sz w:val="18"/>
          <w:u w:val="single"/>
          <w:lang w:val="en-US" w:eastAsia="en-US" w:bidi="ar-SA"/>
        </w:rPr>
        <w:t>negligence</w:t>
      </w:r>
      <w:r>
        <w:rPr>
          <w:rFonts w:ascii="arial" w:eastAsia="arial" w:hAnsi="arial" w:cs="arial"/>
          <w:color w:val="6D6E71"/>
          <w:sz w:val="18"/>
          <w:lang w:val="en-US" w:eastAsia="en-US" w:bidi="ar-SA"/>
        </w:rPr>
        <w:t xml:space="preserve"> for pure economic loss, i.e., economic loss in the absence of property loss or personal injury loss, to the plaintiff in question."</w:t>
      </w:r>
    </w:p>
    <w:p>
      <w:pPr>
        <w:spacing w:before="120" w:after="20" w:line="240" w:lineRule="atLeast"/>
        <w:ind w:left="720" w:hanging="360"/>
        <w:jc w:val="both"/>
        <w:rPr>
          <w:rFonts w:ascii="arial" w:eastAsia="arial" w:hAnsi="arial" w:cs="arial"/>
          <w:sz w:val="20"/>
          <w:lang w:val="en-US" w:eastAsia="en-US" w:bidi="ar-SA"/>
        </w:rPr>
      </w:pPr>
      <w:bookmarkStart w:id="73"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73"/>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62" w:history="1">
        <w:r>
          <w:rPr>
            <w:rFonts w:ascii="arial" w:eastAsia="arial" w:hAnsi="arial" w:cs="arial"/>
            <w:i/>
            <w:color w:val="0077CC"/>
            <w:sz w:val="18"/>
            <w:u w:val="single"/>
            <w:shd w:val="clear" w:color="auto" w:fill="FFFFFF"/>
            <w:lang w:val="en-US" w:eastAsia="en-US" w:bidi="ar-SA"/>
          </w:rPr>
          <w:t>[2001] 3 S.C.R. 537</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74"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7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M. Hasegawa &amp; Co. Ltd. v. Pepsi Bottling Group (Canada) Co., </w:t>
      </w:r>
      <w:hyperlink r:id="rId63" w:history="1">
        <w:r>
          <w:rPr>
            <w:rFonts w:ascii="arial" w:eastAsia="arial" w:hAnsi="arial" w:cs="arial"/>
            <w:i/>
            <w:color w:val="0077CC"/>
            <w:sz w:val="18"/>
            <w:u w:val="single"/>
            <w:shd w:val="clear" w:color="auto" w:fill="FFFFFF"/>
            <w:lang w:val="en-US" w:eastAsia="en-US" w:bidi="ar-SA"/>
          </w:rPr>
          <w:t>[2002] B.C.J. No. 1125</w:t>
        </w:r>
      </w:hyperlink>
      <w:r>
        <w:rPr>
          <w:rFonts w:ascii="arial" w:eastAsia="arial" w:hAnsi="arial" w:cs="arial"/>
          <w:color w:val="6D6E71"/>
          <w:sz w:val="18"/>
          <w:lang w:val="en-US" w:eastAsia="en-US" w:bidi="ar-SA"/>
        </w:rPr>
        <w:t xml:space="preserve">, </w:t>
      </w:r>
      <w:hyperlink r:id="rId63" w:history="1">
        <w:r>
          <w:rPr>
            <w:rFonts w:ascii="arial" w:eastAsia="arial" w:hAnsi="arial" w:cs="arial"/>
            <w:i/>
            <w:color w:val="0077CC"/>
            <w:sz w:val="18"/>
            <w:u w:val="single"/>
            <w:shd w:val="clear" w:color="auto" w:fill="FFFFFF"/>
            <w:lang w:val="en-US" w:eastAsia="en-US" w:bidi="ar-SA"/>
          </w:rPr>
          <w:t>2002 BCCA 324</w:t>
        </w:r>
      </w:hyperlink>
      <w:r>
        <w:rPr>
          <w:rFonts w:ascii="arial" w:eastAsia="arial" w:hAnsi="arial" w:cs="arial"/>
          <w:color w:val="6D6E71"/>
          <w:sz w:val="18"/>
          <w:lang w:val="en-US" w:eastAsia="en-US" w:bidi="ar-SA"/>
        </w:rPr>
        <w:t xml:space="preserve"> at paragraph 30, citing, Winnipeg Condominium Corporation No. 36 v. Bird Construction Co. </w:t>
      </w:r>
      <w:hyperlink r:id="rId64" w:history="1">
        <w:r>
          <w:rPr>
            <w:rFonts w:ascii="arial" w:eastAsia="arial" w:hAnsi="arial" w:cs="arial"/>
            <w:i/>
            <w:color w:val="0077CC"/>
            <w:sz w:val="18"/>
            <w:u w:val="single"/>
            <w:shd w:val="clear" w:color="auto" w:fill="FFFFFF"/>
            <w:lang w:val="en-US" w:eastAsia="en-US" w:bidi="ar-SA"/>
          </w:rPr>
          <w:t>(1995), 121 D.L.R. (4th) 193</w:t>
        </w:r>
      </w:hyperlink>
      <w:r>
        <w:rPr>
          <w:rFonts w:ascii="arial" w:eastAsia="arial" w:hAnsi="arial" w:cs="arial"/>
          <w:color w:val="6D6E71"/>
          <w:sz w:val="18"/>
          <w:lang w:val="en-US" w:eastAsia="en-US" w:bidi="ar-SA"/>
        </w:rPr>
        <w:t xml:space="preserve"> and Martel Building Ltd. v. Canada, </w:t>
      </w:r>
      <w:hyperlink r:id="rId65" w:history="1">
        <w:r>
          <w:rPr>
            <w:rFonts w:ascii="arial" w:eastAsia="arial" w:hAnsi="arial" w:cs="arial"/>
            <w:i/>
            <w:color w:val="0077CC"/>
            <w:sz w:val="18"/>
            <w:u w:val="single"/>
            <w:shd w:val="clear" w:color="auto" w:fill="FFFFFF"/>
            <w:lang w:val="en-US" w:eastAsia="en-US" w:bidi="ar-SA"/>
          </w:rPr>
          <w:t>[2000] 2 S.C.R. 860</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75"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7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66" w:history="1">
        <w:r>
          <w:rPr>
            <w:rFonts w:ascii="arial" w:eastAsia="arial" w:hAnsi="arial" w:cs="arial"/>
            <w:i/>
            <w:color w:val="0077CC"/>
            <w:sz w:val="18"/>
            <w:u w:val="single"/>
            <w:shd w:val="clear" w:color="auto" w:fill="FFFFFF"/>
            <w:lang w:val="en-US" w:eastAsia="en-US" w:bidi="ar-SA"/>
          </w:rPr>
          <w:t>[1984] 2 S.C.R. 2</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76"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7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67" w:history="1">
        <w:r>
          <w:rPr>
            <w:rFonts w:ascii="arial" w:eastAsia="arial" w:hAnsi="arial" w:cs="arial"/>
            <w:i/>
            <w:color w:val="0077CC"/>
            <w:sz w:val="18"/>
            <w:u w:val="single"/>
            <w:shd w:val="clear" w:color="auto" w:fill="FFFFFF"/>
            <w:lang w:val="en-US" w:eastAsia="en-US" w:bidi="ar-SA"/>
          </w:rPr>
          <w:t>[1989] 2 S.C.R. 1228</w:t>
        </w:r>
      </w:hyperlink>
      <w:r>
        <w:rPr>
          <w:rFonts w:ascii="arial" w:eastAsia="arial" w:hAnsi="arial" w:cs="arial"/>
          <w:color w:val="6D6E71"/>
          <w:sz w:val="18"/>
          <w:lang w:val="en-US" w:eastAsia="en-US" w:bidi="ar-SA"/>
        </w:rPr>
        <w:t>. This is not a case of pure economic loss. Mr. James relies upon it to illustrate the distinction between "policy" matters and "operational" matters.</w:t>
      </w:r>
    </w:p>
    <w:p>
      <w:pPr>
        <w:spacing w:before="120" w:after="20" w:line="240" w:lineRule="atLeast"/>
        <w:ind w:left="720" w:hanging="360"/>
        <w:jc w:val="both"/>
        <w:rPr>
          <w:rFonts w:ascii="arial" w:eastAsia="arial" w:hAnsi="arial" w:cs="arial"/>
          <w:sz w:val="20"/>
          <w:lang w:val="en-US" w:eastAsia="en-US" w:bidi="ar-SA"/>
        </w:rPr>
      </w:pPr>
      <w:bookmarkStart w:id="77"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77"/>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68" w:history="1">
        <w:r>
          <w:rPr>
            <w:rFonts w:ascii="arial" w:eastAsia="arial" w:hAnsi="arial" w:cs="arial"/>
            <w:i/>
            <w:color w:val="0077CC"/>
            <w:sz w:val="18"/>
            <w:u w:val="single"/>
            <w:shd w:val="clear" w:color="auto" w:fill="FFFFFF"/>
            <w:lang w:val="en-US" w:eastAsia="en-US" w:bidi="ar-SA"/>
          </w:rPr>
          <w:t>[2002] A.J. No. 164</w:t>
        </w:r>
      </w:hyperlink>
      <w:r>
        <w:rPr>
          <w:rFonts w:ascii="arial" w:eastAsia="arial" w:hAnsi="arial" w:cs="arial"/>
          <w:color w:val="6D6E71"/>
          <w:sz w:val="18"/>
          <w:lang w:val="en-US" w:eastAsia="en-US" w:bidi="ar-SA"/>
        </w:rPr>
        <w:t xml:space="preserve">, </w:t>
      </w:r>
      <w:hyperlink r:id="rId68" w:history="1">
        <w:r>
          <w:rPr>
            <w:rFonts w:ascii="arial" w:eastAsia="arial" w:hAnsi="arial" w:cs="arial"/>
            <w:i/>
            <w:color w:val="0077CC"/>
            <w:sz w:val="18"/>
            <w:u w:val="single"/>
            <w:shd w:val="clear" w:color="auto" w:fill="FFFFFF"/>
            <w:lang w:val="en-US" w:eastAsia="en-US" w:bidi="ar-SA"/>
          </w:rPr>
          <w:t>2002 ABQB 132</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78" w:name="Forward_fnref_fnr-13"/>
      <w:hyperlink w:anchor="Backward_fnref_fnr-13" w:history="1">
        <w:r>
          <w:rPr>
            <w:rFonts w:ascii="arial" w:eastAsia="arial" w:hAnsi="arial" w:cs="arial"/>
            <w:b/>
            <w:color w:val="BE161D"/>
            <w:sz w:val="18"/>
            <w:shd w:val="clear" w:color="auto" w:fill="FFFFFF"/>
            <w:lang w:val="en-US" w:eastAsia="en-US" w:bidi="ar-SA"/>
          </w:rPr>
          <w:t>13</w:t>
        </w:r>
      </w:hyperlink>
      <w:bookmarkEnd w:id="78"/>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69" w:history="1">
        <w:r>
          <w:rPr>
            <w:rFonts w:ascii="arial" w:eastAsia="arial" w:hAnsi="arial" w:cs="arial"/>
            <w:i/>
            <w:color w:val="0077CC"/>
            <w:sz w:val="18"/>
            <w:u w:val="single"/>
            <w:shd w:val="clear" w:color="auto" w:fill="FFFFFF"/>
            <w:lang w:val="en-US" w:eastAsia="en-US" w:bidi="ar-SA"/>
          </w:rPr>
          <w:t>[2004] B.C.J. No. 58</w:t>
        </w:r>
      </w:hyperlink>
      <w:r>
        <w:rPr>
          <w:rFonts w:ascii="arial" w:eastAsia="arial" w:hAnsi="arial" w:cs="arial"/>
          <w:color w:val="6D6E71"/>
          <w:sz w:val="18"/>
          <w:lang w:val="en-US" w:eastAsia="en-US" w:bidi="ar-SA"/>
        </w:rPr>
        <w:t xml:space="preserve">, </w:t>
      </w:r>
      <w:hyperlink r:id="rId69" w:history="1">
        <w:r>
          <w:rPr>
            <w:rFonts w:ascii="arial" w:eastAsia="arial" w:hAnsi="arial" w:cs="arial"/>
            <w:i/>
            <w:color w:val="0077CC"/>
            <w:sz w:val="18"/>
            <w:u w:val="single"/>
            <w:shd w:val="clear" w:color="auto" w:fill="FFFFFF"/>
            <w:lang w:val="en-US" w:eastAsia="en-US" w:bidi="ar-SA"/>
          </w:rPr>
          <w:t>2004 BCSC 53</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79" w:name="Forward_fnref_fnr-14"/>
      <w:hyperlink w:anchor="Backward_fnref_fnr-14" w:history="1">
        <w:r>
          <w:rPr>
            <w:rFonts w:ascii="arial" w:eastAsia="arial" w:hAnsi="arial" w:cs="arial"/>
            <w:b/>
            <w:color w:val="BE161D"/>
            <w:sz w:val="18"/>
            <w:shd w:val="clear" w:color="auto" w:fill="FFFFFF"/>
            <w:lang w:val="en-US" w:eastAsia="en-US" w:bidi="ar-SA"/>
          </w:rPr>
          <w:t>14</w:t>
        </w:r>
      </w:hyperlink>
      <w:bookmarkEnd w:id="7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supra.</w:t>
      </w:r>
    </w:p>
    <w:p>
      <w:pPr>
        <w:spacing w:before="120" w:after="20" w:line="240" w:lineRule="atLeast"/>
        <w:ind w:left="720" w:hanging="360"/>
        <w:jc w:val="both"/>
        <w:rPr>
          <w:rFonts w:ascii="arial" w:eastAsia="arial" w:hAnsi="arial" w:cs="arial"/>
          <w:sz w:val="20"/>
          <w:lang w:val="en-US" w:eastAsia="en-US" w:bidi="ar-SA"/>
        </w:rPr>
      </w:pPr>
      <w:bookmarkStart w:id="80" w:name="Forward_fnref_fnr-15"/>
      <w:hyperlink w:anchor="Backward_fnref_fnr-15" w:history="1">
        <w:r>
          <w:rPr>
            <w:rFonts w:ascii="arial" w:eastAsia="arial" w:hAnsi="arial" w:cs="arial"/>
            <w:b/>
            <w:color w:val="BE161D"/>
            <w:sz w:val="18"/>
            <w:shd w:val="clear" w:color="auto" w:fill="FFFFFF"/>
            <w:lang w:val="en-US" w:eastAsia="en-US" w:bidi="ar-SA"/>
          </w:rPr>
          <w:t>15</w:t>
        </w:r>
      </w:hyperlink>
      <w:bookmarkEnd w:id="80"/>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70" w:history="1">
        <w:r>
          <w:rPr>
            <w:rFonts w:ascii="arial" w:eastAsia="arial" w:hAnsi="arial" w:cs="arial"/>
            <w:i/>
            <w:color w:val="0077CC"/>
            <w:sz w:val="18"/>
            <w:u w:val="single"/>
            <w:shd w:val="clear" w:color="auto" w:fill="FFFFFF"/>
            <w:lang w:val="en-US" w:eastAsia="en-US" w:bidi="ar-SA"/>
          </w:rPr>
          <w:t>[2002] B.C.J. No. 2691</w:t>
        </w:r>
      </w:hyperlink>
      <w:r>
        <w:rPr>
          <w:rFonts w:ascii="arial" w:eastAsia="arial" w:hAnsi="arial" w:cs="arial"/>
          <w:color w:val="6D6E71"/>
          <w:sz w:val="18"/>
          <w:lang w:val="en-US" w:eastAsia="en-US" w:bidi="ar-SA"/>
        </w:rPr>
        <w:t xml:space="preserve">, </w:t>
      </w:r>
      <w:hyperlink r:id="rId70" w:history="1">
        <w:r>
          <w:rPr>
            <w:rFonts w:ascii="arial" w:eastAsia="arial" w:hAnsi="arial" w:cs="arial"/>
            <w:i/>
            <w:color w:val="0077CC"/>
            <w:sz w:val="18"/>
            <w:u w:val="single"/>
            <w:shd w:val="clear" w:color="auto" w:fill="FFFFFF"/>
            <w:lang w:val="en-US" w:eastAsia="en-US" w:bidi="ar-SA"/>
          </w:rPr>
          <w:t>2002 BCSC 1645</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81" w:name="Forward_fnref_fnr-16"/>
      <w:hyperlink w:anchor="Backward_fnref_fnr-16" w:history="1">
        <w:r>
          <w:rPr>
            <w:rFonts w:ascii="arial" w:eastAsia="arial" w:hAnsi="arial" w:cs="arial"/>
            <w:b/>
            <w:color w:val="BE161D"/>
            <w:sz w:val="18"/>
            <w:shd w:val="clear" w:color="auto" w:fill="FFFFFF"/>
            <w:lang w:val="en-US" w:eastAsia="en-US" w:bidi="ar-SA"/>
          </w:rPr>
          <w:t>16</w:t>
        </w:r>
      </w:hyperlink>
      <w:bookmarkEnd w:id="81"/>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supra, Footnote 8.</w:t>
      </w:r>
    </w:p>
    <w:p>
      <w:pPr>
        <w:spacing w:before="120" w:after="20" w:line="240" w:lineRule="atLeast"/>
        <w:ind w:left="720" w:hanging="360"/>
        <w:jc w:val="both"/>
        <w:rPr>
          <w:rFonts w:ascii="arial" w:eastAsia="arial" w:hAnsi="arial" w:cs="arial"/>
          <w:sz w:val="20"/>
          <w:lang w:val="en-US" w:eastAsia="en-US" w:bidi="ar-SA"/>
        </w:rPr>
      </w:pPr>
      <w:bookmarkStart w:id="82" w:name="Forward_fnref_fnr-17"/>
      <w:hyperlink w:anchor="Backward_fnref_fnr-17" w:history="1">
        <w:r>
          <w:rPr>
            <w:rFonts w:ascii="arial" w:eastAsia="arial" w:hAnsi="arial" w:cs="arial"/>
            <w:b/>
            <w:color w:val="BE161D"/>
            <w:sz w:val="18"/>
            <w:shd w:val="clear" w:color="auto" w:fill="FFFFFF"/>
            <w:lang w:val="en-US" w:eastAsia="en-US" w:bidi="ar-SA"/>
          </w:rPr>
          <w:t>17</w:t>
        </w:r>
      </w:hyperlink>
      <w:bookmarkEnd w:id="82"/>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(1996), R.S.B.C., c. 300.</w:t>
      </w:r>
    </w:p>
    <w:p>
      <w:pPr>
        <w:spacing w:before="120" w:after="20" w:line="240" w:lineRule="atLeast"/>
        <w:ind w:left="720" w:hanging="360"/>
        <w:jc w:val="both"/>
        <w:rPr>
          <w:rFonts w:ascii="arial" w:eastAsia="arial" w:hAnsi="arial" w:cs="arial"/>
          <w:sz w:val="20"/>
          <w:lang w:val="en-US" w:eastAsia="en-US" w:bidi="ar-SA"/>
        </w:rPr>
      </w:pPr>
      <w:bookmarkStart w:id="83" w:name="Forward_fnref_fnr-18"/>
      <w:hyperlink w:anchor="Backward_fnref_fnr-18" w:history="1">
        <w:r>
          <w:rPr>
            <w:rFonts w:ascii="arial" w:eastAsia="arial" w:hAnsi="arial" w:cs="arial"/>
            <w:b/>
            <w:color w:val="BE161D"/>
            <w:sz w:val="18"/>
            <w:shd w:val="clear" w:color="auto" w:fill="FFFFFF"/>
            <w:lang w:val="en-US" w:eastAsia="en-US" w:bidi="ar-SA"/>
          </w:rPr>
          <w:t>18</w:t>
        </w:r>
      </w:hyperlink>
      <w:bookmarkEnd w:id="83"/>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(1996), R.S.B.C., c. 157.</w:t>
      </w:r>
    </w:p>
    <w:p>
      <w:pPr>
        <w:spacing w:before="120" w:after="20" w:line="240" w:lineRule="atLeast"/>
        <w:ind w:left="720" w:hanging="360"/>
        <w:jc w:val="both"/>
        <w:rPr>
          <w:rFonts w:ascii="arial" w:eastAsia="arial" w:hAnsi="arial" w:cs="arial"/>
          <w:sz w:val="20"/>
          <w:lang w:val="en-US" w:eastAsia="en-US" w:bidi="ar-SA"/>
        </w:rPr>
      </w:pPr>
      <w:bookmarkStart w:id="84" w:name="Forward_fnref_fnr-19"/>
      <w:hyperlink w:anchor="Backward_fnref_fnr-19" w:history="1">
        <w:r>
          <w:rPr>
            <w:rFonts w:ascii="arial" w:eastAsia="arial" w:hAnsi="arial" w:cs="arial"/>
            <w:b/>
            <w:color w:val="BE161D"/>
            <w:sz w:val="18"/>
            <w:shd w:val="clear" w:color="auto" w:fill="FFFFFF"/>
            <w:lang w:val="en-US" w:eastAsia="en-US" w:bidi="ar-SA"/>
          </w:rPr>
          <w:t>19</w:t>
        </w:r>
      </w:hyperlink>
      <w:bookmarkEnd w:id="8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[1963] 2 All E.R. 575 (H.L.).</w:t>
      </w:r>
    </w:p>
    <w:p>
      <w:pPr>
        <w:spacing w:before="120" w:after="20" w:line="240" w:lineRule="atLeast"/>
        <w:ind w:left="720" w:hanging="360"/>
        <w:jc w:val="both"/>
        <w:rPr>
          <w:rFonts w:ascii="arial" w:eastAsia="arial" w:hAnsi="arial" w:cs="arial"/>
          <w:sz w:val="20"/>
          <w:lang w:val="en-US" w:eastAsia="en-US" w:bidi="ar-SA"/>
        </w:rPr>
      </w:pPr>
      <w:bookmarkStart w:id="85" w:name="Forward_fnref_fnr-20"/>
      <w:hyperlink w:anchor="Backward_fnref_fnr-20" w:history="1">
        <w:r>
          <w:rPr>
            <w:rFonts w:ascii="arial" w:eastAsia="arial" w:hAnsi="arial" w:cs="arial"/>
            <w:b/>
            <w:color w:val="BE161D"/>
            <w:sz w:val="18"/>
            <w:shd w:val="clear" w:color="auto" w:fill="FFFFFF"/>
            <w:lang w:val="en-US" w:eastAsia="en-US" w:bidi="ar-SA"/>
          </w:rPr>
          <w:t>20</w:t>
        </w:r>
      </w:hyperlink>
      <w:bookmarkEnd w:id="8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71" w:history="1">
        <w:r>
          <w:rPr>
            <w:rFonts w:ascii="arial" w:eastAsia="arial" w:hAnsi="arial" w:cs="arial"/>
            <w:i/>
            <w:color w:val="0077CC"/>
            <w:sz w:val="18"/>
            <w:u w:val="single"/>
            <w:shd w:val="clear" w:color="auto" w:fill="FFFFFF"/>
            <w:lang w:val="en-US" w:eastAsia="en-US" w:bidi="ar-SA"/>
          </w:rPr>
          <w:t>[1993] 1 S.C.R. 87</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86" w:name="Forward_fnref_fnr-21"/>
      <w:hyperlink w:anchor="Backward_fnref_fnr-21" w:history="1">
        <w:r>
          <w:rPr>
            <w:rFonts w:ascii="arial" w:eastAsia="arial" w:hAnsi="arial" w:cs="arial"/>
            <w:b/>
            <w:color w:val="BE161D"/>
            <w:sz w:val="18"/>
            <w:shd w:val="clear" w:color="auto" w:fill="FFFFFF"/>
            <w:lang w:val="en-US" w:eastAsia="en-US" w:bidi="ar-SA"/>
          </w:rPr>
          <w:t>21</w:t>
        </w:r>
      </w:hyperlink>
      <w:bookmarkEnd w:id="8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[1995] 1 All E.R. 691 (H.L.).</w:t>
      </w:r>
    </w:p>
    <w:p>
      <w:pPr>
        <w:spacing w:before="120" w:after="20" w:line="240" w:lineRule="atLeast"/>
        <w:ind w:left="720" w:hanging="360"/>
        <w:jc w:val="both"/>
        <w:rPr>
          <w:rFonts w:ascii="arial" w:eastAsia="arial" w:hAnsi="arial" w:cs="arial"/>
          <w:sz w:val="20"/>
          <w:lang w:val="en-US" w:eastAsia="en-US" w:bidi="ar-SA"/>
        </w:rPr>
      </w:pPr>
      <w:bookmarkStart w:id="87" w:name="Forward_fnref_fnr-22"/>
      <w:hyperlink w:anchor="Backward_fnref_fnr-22" w:history="1">
        <w:r>
          <w:rPr>
            <w:rFonts w:ascii="arial" w:eastAsia="arial" w:hAnsi="arial" w:cs="arial"/>
            <w:b/>
            <w:color w:val="BE161D"/>
            <w:sz w:val="18"/>
            <w:shd w:val="clear" w:color="auto" w:fill="FFFFFF"/>
            <w:lang w:val="en-US" w:eastAsia="en-US" w:bidi="ar-SA"/>
          </w:rPr>
          <w:t>22</w:t>
        </w:r>
      </w:hyperlink>
      <w:bookmarkEnd w:id="87"/>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72" w:history="1">
        <w:r>
          <w:rPr>
            <w:rFonts w:ascii="arial" w:eastAsia="arial" w:hAnsi="arial" w:cs="arial"/>
            <w:i/>
            <w:color w:val="0077CC"/>
            <w:sz w:val="18"/>
            <w:u w:val="single"/>
            <w:shd w:val="clear" w:color="auto" w:fill="FFFFFF"/>
            <w:lang w:val="en-US" w:eastAsia="en-US" w:bidi="ar-SA"/>
          </w:rPr>
          <w:t>[2000] S.J. No. 45</w:t>
        </w:r>
      </w:hyperlink>
      <w:r>
        <w:rPr>
          <w:rFonts w:ascii="arial" w:eastAsia="arial" w:hAnsi="arial" w:cs="arial"/>
          <w:color w:val="6D6E71"/>
          <w:sz w:val="18"/>
          <w:lang w:val="en-US" w:eastAsia="en-US" w:bidi="ar-SA"/>
        </w:rPr>
        <w:t xml:space="preserve">, </w:t>
      </w:r>
      <w:hyperlink r:id="rId72" w:history="1">
        <w:r>
          <w:rPr>
            <w:rFonts w:ascii="arial" w:eastAsia="arial" w:hAnsi="arial" w:cs="arial"/>
            <w:i/>
            <w:color w:val="0077CC"/>
            <w:sz w:val="18"/>
            <w:u w:val="single"/>
            <w:shd w:val="clear" w:color="auto" w:fill="FFFFFF"/>
            <w:lang w:val="en-US" w:eastAsia="en-US" w:bidi="ar-SA"/>
          </w:rPr>
          <w:t>2000 SKCA 1</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88" w:name="Forward_fnref_fnr-23"/>
      <w:hyperlink w:anchor="Backward_fnref_fnr-23" w:history="1">
        <w:r>
          <w:rPr>
            <w:rFonts w:ascii="arial" w:eastAsia="arial" w:hAnsi="arial" w:cs="arial"/>
            <w:b/>
            <w:color w:val="BE161D"/>
            <w:sz w:val="18"/>
            <w:shd w:val="clear" w:color="auto" w:fill="FFFFFF"/>
            <w:lang w:val="en-US" w:eastAsia="en-US" w:bidi="ar-SA"/>
          </w:rPr>
          <w:t>23</w:t>
        </w:r>
      </w:hyperlink>
      <w:bookmarkEnd w:id="88"/>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73" w:history="1">
        <w:r>
          <w:rPr>
            <w:rFonts w:ascii="arial" w:eastAsia="arial" w:hAnsi="arial" w:cs="arial"/>
            <w:i/>
            <w:color w:val="0077CC"/>
            <w:sz w:val="18"/>
            <w:u w:val="single"/>
            <w:shd w:val="clear" w:color="auto" w:fill="FFFFFF"/>
            <w:lang w:val="en-US" w:eastAsia="en-US" w:bidi="ar-SA"/>
          </w:rPr>
          <w:t>[2000] B.C.J. No. 2302</w:t>
        </w:r>
      </w:hyperlink>
      <w:r>
        <w:rPr>
          <w:rFonts w:ascii="arial" w:eastAsia="arial" w:hAnsi="arial" w:cs="arial"/>
          <w:color w:val="6D6E71"/>
          <w:sz w:val="18"/>
          <w:lang w:val="en-US" w:eastAsia="en-US" w:bidi="ar-SA"/>
        </w:rPr>
        <w:t xml:space="preserve">, </w:t>
      </w:r>
      <w:hyperlink r:id="rId73" w:history="1">
        <w:r>
          <w:rPr>
            <w:rFonts w:ascii="arial" w:eastAsia="arial" w:hAnsi="arial" w:cs="arial"/>
            <w:i/>
            <w:color w:val="0077CC"/>
            <w:sz w:val="18"/>
            <w:u w:val="single"/>
            <w:shd w:val="clear" w:color="auto" w:fill="FFFFFF"/>
            <w:lang w:val="en-US" w:eastAsia="en-US" w:bidi="ar-SA"/>
          </w:rPr>
          <w:t>2000 BCSC 1630</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89" w:name="Forward_fnref_fnr-24"/>
      <w:hyperlink w:anchor="Backward_fnref_fnr-24" w:history="1">
        <w:r>
          <w:rPr>
            <w:rFonts w:ascii="arial" w:eastAsia="arial" w:hAnsi="arial" w:cs="arial"/>
            <w:b/>
            <w:color w:val="BE161D"/>
            <w:sz w:val="18"/>
            <w:shd w:val="clear" w:color="auto" w:fill="FFFFFF"/>
            <w:lang w:val="en-US" w:eastAsia="en-US" w:bidi="ar-SA"/>
          </w:rPr>
          <w:t>24</w:t>
        </w:r>
      </w:hyperlink>
      <w:bookmarkEnd w:id="8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74" w:history="1">
        <w:r>
          <w:rPr>
            <w:rFonts w:ascii="arial" w:eastAsia="arial" w:hAnsi="arial" w:cs="arial"/>
            <w:i/>
            <w:color w:val="0077CC"/>
            <w:sz w:val="18"/>
            <w:u w:val="single"/>
            <w:shd w:val="clear" w:color="auto" w:fill="FFFFFF"/>
            <w:lang w:val="en-US" w:eastAsia="en-US" w:bidi="ar-SA"/>
          </w:rPr>
          <w:t>[2003] B.C.J. No. 354</w:t>
        </w:r>
      </w:hyperlink>
      <w:r>
        <w:rPr>
          <w:rFonts w:ascii="arial" w:eastAsia="arial" w:hAnsi="arial" w:cs="arial"/>
          <w:color w:val="6D6E71"/>
          <w:sz w:val="18"/>
          <w:lang w:val="en-US" w:eastAsia="en-US" w:bidi="ar-SA"/>
        </w:rPr>
        <w:t xml:space="preserve">, </w:t>
      </w:r>
      <w:hyperlink r:id="rId74" w:history="1">
        <w:r>
          <w:rPr>
            <w:rFonts w:ascii="arial" w:eastAsia="arial" w:hAnsi="arial" w:cs="arial"/>
            <w:i/>
            <w:color w:val="0077CC"/>
            <w:sz w:val="18"/>
            <w:u w:val="single"/>
            <w:shd w:val="clear" w:color="auto" w:fill="FFFFFF"/>
            <w:lang w:val="en-US" w:eastAsia="en-US" w:bidi="ar-SA"/>
          </w:rPr>
          <w:t>2003 BCSC 246</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90" w:name="Forward_fnref_fnr-25"/>
      <w:hyperlink w:anchor="Backward_fnref_fnr-25" w:history="1">
        <w:r>
          <w:rPr>
            <w:rFonts w:ascii="arial" w:eastAsia="arial" w:hAnsi="arial" w:cs="arial"/>
            <w:b/>
            <w:color w:val="BE161D"/>
            <w:sz w:val="18"/>
            <w:shd w:val="clear" w:color="auto" w:fill="FFFFFF"/>
            <w:lang w:val="en-US" w:eastAsia="en-US" w:bidi="ar-SA"/>
          </w:rPr>
          <w:t>25</w:t>
        </w:r>
      </w:hyperlink>
      <w:bookmarkEnd w:id="90"/>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75" w:history="1">
        <w:r>
          <w:rPr>
            <w:rFonts w:ascii="arial" w:eastAsia="arial" w:hAnsi="arial" w:cs="arial"/>
            <w:i/>
            <w:color w:val="0077CC"/>
            <w:sz w:val="18"/>
            <w:u w:val="single"/>
            <w:shd w:val="clear" w:color="auto" w:fill="FFFFFF"/>
            <w:lang w:val="en-US" w:eastAsia="en-US" w:bidi="ar-SA"/>
          </w:rPr>
          <w:t>[2003] S.J. No. 599</w:t>
        </w:r>
      </w:hyperlink>
      <w:r>
        <w:rPr>
          <w:rFonts w:ascii="arial" w:eastAsia="arial" w:hAnsi="arial" w:cs="arial"/>
          <w:color w:val="6D6E71"/>
          <w:sz w:val="18"/>
          <w:lang w:val="en-US" w:eastAsia="en-US" w:bidi="ar-SA"/>
        </w:rPr>
        <w:t xml:space="preserve">, </w:t>
      </w:r>
      <w:hyperlink r:id="rId75" w:history="1">
        <w:r>
          <w:rPr>
            <w:rFonts w:ascii="arial" w:eastAsia="arial" w:hAnsi="arial" w:cs="arial"/>
            <w:i/>
            <w:color w:val="0077CC"/>
            <w:sz w:val="18"/>
            <w:u w:val="single"/>
            <w:shd w:val="clear" w:color="auto" w:fill="FFFFFF"/>
            <w:lang w:val="en-US" w:eastAsia="en-US" w:bidi="ar-SA"/>
          </w:rPr>
          <w:t>2003 SKQB 397</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91" w:name="Forward_fnref_fnr-26"/>
      <w:hyperlink w:anchor="Backward_fnref_fnr-26" w:history="1">
        <w:r>
          <w:rPr>
            <w:rFonts w:ascii="arial" w:eastAsia="arial" w:hAnsi="arial" w:cs="arial"/>
            <w:b/>
            <w:color w:val="BE161D"/>
            <w:sz w:val="18"/>
            <w:shd w:val="clear" w:color="auto" w:fill="FFFFFF"/>
            <w:lang w:val="en-US" w:eastAsia="en-US" w:bidi="ar-SA"/>
          </w:rPr>
          <w:t>26</w:t>
        </w:r>
      </w:hyperlink>
      <w:bookmarkEnd w:id="91"/>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76" w:history="1">
        <w:r>
          <w:rPr>
            <w:rFonts w:ascii="arial" w:eastAsia="arial" w:hAnsi="arial" w:cs="arial"/>
            <w:i/>
            <w:color w:val="0077CC"/>
            <w:sz w:val="18"/>
            <w:u w:val="single"/>
            <w:shd w:val="clear" w:color="auto" w:fill="FFFFFF"/>
            <w:lang w:val="en-US" w:eastAsia="en-US" w:bidi="ar-SA"/>
          </w:rPr>
          <w:t>[1986] 1 S.C.R. 228</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92" w:name="Forward_fnref_fnr-27"/>
      <w:hyperlink w:anchor="Backward_fnref_fnr-27" w:history="1">
        <w:r>
          <w:rPr>
            <w:rFonts w:ascii="arial" w:eastAsia="arial" w:hAnsi="arial" w:cs="arial"/>
            <w:b/>
            <w:color w:val="BE161D"/>
            <w:sz w:val="18"/>
            <w:shd w:val="clear" w:color="auto" w:fill="FFFFFF"/>
            <w:lang w:val="en-US" w:eastAsia="en-US" w:bidi="ar-SA"/>
          </w:rPr>
          <w:t>27</w:t>
        </w:r>
      </w:hyperlink>
      <w:bookmarkEnd w:id="92"/>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supra, Footnote 9.</w:t>
      </w:r>
    </w:p>
    <w:p>
      <w:pPr>
        <w:spacing w:before="120" w:after="20" w:line="240" w:lineRule="atLeast"/>
        <w:ind w:left="720" w:hanging="360"/>
        <w:jc w:val="both"/>
        <w:rPr>
          <w:rFonts w:ascii="arial" w:eastAsia="arial" w:hAnsi="arial" w:cs="arial"/>
          <w:sz w:val="20"/>
          <w:lang w:val="en-US" w:eastAsia="en-US" w:bidi="ar-SA"/>
        </w:rPr>
      </w:pPr>
      <w:bookmarkStart w:id="93" w:name="Forward_fnref_fnr-28"/>
      <w:hyperlink w:anchor="Backward_fnref_fnr-28" w:history="1">
        <w:r>
          <w:rPr>
            <w:rFonts w:ascii="arial" w:eastAsia="arial" w:hAnsi="arial" w:cs="arial"/>
            <w:b/>
            <w:color w:val="BE161D"/>
            <w:sz w:val="18"/>
            <w:shd w:val="clear" w:color="auto" w:fill="FFFFFF"/>
            <w:lang w:val="en-US" w:eastAsia="en-US" w:bidi="ar-SA"/>
          </w:rPr>
          <w:t>28</w:t>
        </w:r>
      </w:hyperlink>
      <w:bookmarkEnd w:id="93"/>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[1964] A.C. 465, at page 529.</w:t>
      </w:r>
    </w:p>
    <w:p>
      <w:pPr>
        <w:spacing w:before="120" w:after="20" w:line="240" w:lineRule="atLeast"/>
        <w:ind w:left="720" w:hanging="360"/>
        <w:jc w:val="both"/>
        <w:rPr>
          <w:rFonts w:ascii="arial" w:eastAsia="arial" w:hAnsi="arial" w:cs="arial"/>
          <w:sz w:val="20"/>
          <w:lang w:val="en-US" w:eastAsia="en-US" w:bidi="ar-SA"/>
        </w:rPr>
      </w:pPr>
      <w:bookmarkStart w:id="94" w:name="Forward_fnref_fnr-29"/>
      <w:hyperlink w:anchor="Backward_fnref_fnr-29" w:history="1">
        <w:r>
          <w:rPr>
            <w:rFonts w:ascii="arial" w:eastAsia="arial" w:hAnsi="arial" w:cs="arial"/>
            <w:b/>
            <w:color w:val="BE161D"/>
            <w:sz w:val="18"/>
            <w:shd w:val="clear" w:color="auto" w:fill="FFFFFF"/>
            <w:lang w:val="en-US" w:eastAsia="en-US" w:bidi="ar-SA"/>
          </w:rPr>
          <w:t>29</w:t>
        </w:r>
      </w:hyperlink>
      <w:bookmarkEnd w:id="9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61" w:history="1">
        <w:r>
          <w:rPr>
            <w:rFonts w:ascii="arial" w:eastAsia="arial" w:hAnsi="arial" w:cs="arial"/>
            <w:i/>
            <w:color w:val="0077CC"/>
            <w:sz w:val="18"/>
            <w:u w:val="single"/>
            <w:shd w:val="clear" w:color="auto" w:fill="FFFFFF"/>
            <w:lang w:val="en-US" w:eastAsia="en-US" w:bidi="ar-SA"/>
          </w:rPr>
          <w:t>[1992] 1 S.C.R. 1021</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95" w:name="Forward_fnref_fnr-30"/>
      <w:hyperlink w:anchor="Backward_fnref_fnr-30" w:history="1">
        <w:r>
          <w:rPr>
            <w:rFonts w:ascii="arial" w:eastAsia="arial" w:hAnsi="arial" w:cs="arial"/>
            <w:b/>
            <w:color w:val="BE161D"/>
            <w:sz w:val="18"/>
            <w:shd w:val="clear" w:color="auto" w:fill="FFFFFF"/>
            <w:lang w:val="en-US" w:eastAsia="en-US" w:bidi="ar-SA"/>
          </w:rPr>
          <w:t>30</w:t>
        </w:r>
      </w:hyperlink>
      <w:bookmarkEnd w:id="9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[1978] A.C. 728 (H.L.).</w:t>
      </w:r>
    </w:p>
    <w:p>
      <w:pPr>
        <w:spacing w:before="120" w:after="20" w:line="240" w:lineRule="atLeast"/>
        <w:ind w:left="720" w:hanging="360"/>
        <w:jc w:val="both"/>
        <w:rPr>
          <w:rFonts w:ascii="arial" w:eastAsia="arial" w:hAnsi="arial" w:cs="arial"/>
          <w:sz w:val="20"/>
          <w:lang w:val="en-US" w:eastAsia="en-US" w:bidi="ar-SA"/>
        </w:rPr>
      </w:pPr>
      <w:bookmarkStart w:id="96" w:name="Forward_fnref_fnr-31"/>
      <w:hyperlink w:anchor="Backward_fnref_fnr-31" w:history="1">
        <w:r>
          <w:rPr>
            <w:rFonts w:ascii="arial" w:eastAsia="arial" w:hAnsi="arial" w:cs="arial"/>
            <w:b/>
            <w:color w:val="BE161D"/>
            <w:sz w:val="18"/>
            <w:shd w:val="clear" w:color="auto" w:fill="FFFFFF"/>
            <w:lang w:val="en-US" w:eastAsia="en-US" w:bidi="ar-SA"/>
          </w:rPr>
          <w:t>31</w:t>
        </w:r>
      </w:hyperlink>
      <w:bookmarkEnd w:id="9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Kamloops (City) v. Nielsen, above, Footnote 10, at page 10.</w:t>
      </w:r>
    </w:p>
    <w:p>
      <w:pPr>
        <w:spacing w:before="120" w:after="20" w:line="240" w:lineRule="atLeast"/>
        <w:ind w:left="720" w:hanging="360"/>
        <w:jc w:val="both"/>
        <w:rPr>
          <w:rFonts w:ascii="arial" w:eastAsia="arial" w:hAnsi="arial" w:cs="arial"/>
          <w:sz w:val="20"/>
          <w:lang w:val="en-US" w:eastAsia="en-US" w:bidi="ar-SA"/>
        </w:rPr>
      </w:pPr>
      <w:bookmarkStart w:id="97" w:name="Forward_fnref_fnr-32"/>
      <w:hyperlink w:anchor="Backward_fnref_fnr-32" w:history="1">
        <w:r>
          <w:rPr>
            <w:rFonts w:ascii="arial" w:eastAsia="arial" w:hAnsi="arial" w:cs="arial"/>
            <w:b/>
            <w:color w:val="BE161D"/>
            <w:sz w:val="18"/>
            <w:shd w:val="clear" w:color="auto" w:fill="FFFFFF"/>
            <w:lang w:val="en-US" w:eastAsia="en-US" w:bidi="ar-SA"/>
          </w:rPr>
          <w:t>32</w:t>
        </w:r>
      </w:hyperlink>
      <w:bookmarkEnd w:id="97"/>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Hercules Managements Ltd. v. Ernst &amp; Young, </w:t>
      </w:r>
      <w:hyperlink r:id="rId77" w:history="1">
        <w:r>
          <w:rPr>
            <w:rFonts w:ascii="arial" w:eastAsia="arial" w:hAnsi="arial" w:cs="arial"/>
            <w:i/>
            <w:color w:val="0077CC"/>
            <w:sz w:val="18"/>
            <w:u w:val="single"/>
            <w:shd w:val="clear" w:color="auto" w:fill="FFFFFF"/>
            <w:lang w:val="en-US" w:eastAsia="en-US" w:bidi="ar-SA"/>
          </w:rPr>
          <w:t>[1997] 2 S.C.R. 165</w:t>
        </w:r>
      </w:hyperlink>
      <w:r>
        <w:rPr>
          <w:rFonts w:ascii="arial" w:eastAsia="arial" w:hAnsi="arial" w:cs="arial"/>
          <w:color w:val="6D6E71"/>
          <w:sz w:val="18"/>
          <w:lang w:val="en-US" w:eastAsia="en-US" w:bidi="ar-SA"/>
        </w:rPr>
        <w:t xml:space="preserve"> at page 190.</w:t>
      </w:r>
    </w:p>
    <w:p>
      <w:pPr>
        <w:spacing w:before="120" w:after="20" w:line="240" w:lineRule="atLeast"/>
        <w:ind w:left="720" w:hanging="360"/>
        <w:jc w:val="both"/>
        <w:rPr>
          <w:rFonts w:ascii="arial" w:eastAsia="arial" w:hAnsi="arial" w:cs="arial"/>
          <w:sz w:val="20"/>
          <w:lang w:val="en-US" w:eastAsia="en-US" w:bidi="ar-SA"/>
        </w:rPr>
      </w:pPr>
      <w:bookmarkStart w:id="98" w:name="Forward_fnref_fnr-33"/>
      <w:hyperlink w:anchor="Backward_fnref_fnr-33" w:history="1">
        <w:r>
          <w:rPr>
            <w:rFonts w:ascii="arial" w:eastAsia="arial" w:hAnsi="arial" w:cs="arial"/>
            <w:b/>
            <w:color w:val="BE161D"/>
            <w:sz w:val="18"/>
            <w:shd w:val="clear" w:color="auto" w:fill="FFFFFF"/>
            <w:lang w:val="en-US" w:eastAsia="en-US" w:bidi="ar-SA"/>
          </w:rPr>
          <w:t>33</w:t>
        </w:r>
      </w:hyperlink>
      <w:bookmarkEnd w:id="98"/>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Above, Footnote 8, at paragraph 34.</w:t>
      </w:r>
    </w:p>
    <w:p>
      <w:pPr>
        <w:spacing w:before="120" w:after="20" w:line="240" w:lineRule="atLeast"/>
        <w:ind w:left="720" w:hanging="360"/>
        <w:jc w:val="both"/>
        <w:rPr>
          <w:rFonts w:ascii="arial" w:eastAsia="arial" w:hAnsi="arial" w:cs="arial"/>
          <w:sz w:val="20"/>
          <w:lang w:val="en-US" w:eastAsia="en-US" w:bidi="ar-SA"/>
        </w:rPr>
      </w:pPr>
      <w:bookmarkStart w:id="99" w:name="Forward_fnref_fnr-34"/>
      <w:hyperlink w:anchor="Backward_fnref_fnr-34" w:history="1">
        <w:r>
          <w:rPr>
            <w:rFonts w:ascii="arial" w:eastAsia="arial" w:hAnsi="arial" w:cs="arial"/>
            <w:b/>
            <w:color w:val="BE161D"/>
            <w:sz w:val="18"/>
            <w:shd w:val="clear" w:color="auto" w:fill="FFFFFF"/>
            <w:lang w:val="en-US" w:eastAsia="en-US" w:bidi="ar-SA"/>
          </w:rPr>
          <w:t>34</w:t>
        </w:r>
      </w:hyperlink>
      <w:bookmarkEnd w:id="9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174 N.E. 441 (N.Y. 1931) at page 44.</w:t>
      </w:r>
    </w:p>
    <w:p>
      <w:pPr>
        <w:spacing w:before="120" w:after="20" w:line="240" w:lineRule="atLeast"/>
        <w:ind w:left="720" w:hanging="360"/>
        <w:jc w:val="both"/>
        <w:rPr>
          <w:rFonts w:ascii="arial" w:eastAsia="arial" w:hAnsi="arial" w:cs="arial"/>
          <w:sz w:val="20"/>
          <w:lang w:val="en-US" w:eastAsia="en-US" w:bidi="ar-SA"/>
        </w:rPr>
      </w:pPr>
      <w:bookmarkStart w:id="100" w:name="Forward_fnref_fnr-35"/>
      <w:hyperlink w:anchor="Backward_fnref_fnr-35" w:history="1">
        <w:r>
          <w:rPr>
            <w:rFonts w:ascii="arial" w:eastAsia="arial" w:hAnsi="arial" w:cs="arial"/>
            <w:b/>
            <w:color w:val="BE161D"/>
            <w:sz w:val="18"/>
            <w:shd w:val="clear" w:color="auto" w:fill="FFFFFF"/>
            <w:lang w:val="en-US" w:eastAsia="en-US" w:bidi="ar-SA"/>
          </w:rPr>
          <w:t>35</w:t>
        </w:r>
      </w:hyperlink>
      <w:bookmarkEnd w:id="100"/>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supra, Footnote 13.</w:t>
      </w:r>
    </w:p>
    <w:p>
      <w:pPr>
        <w:spacing w:before="120" w:after="20" w:line="240" w:lineRule="atLeast"/>
        <w:ind w:left="720" w:hanging="360"/>
        <w:jc w:val="both"/>
        <w:rPr>
          <w:rFonts w:ascii="arial" w:eastAsia="arial" w:hAnsi="arial" w:cs="arial"/>
          <w:sz w:val="20"/>
          <w:lang w:val="en-US" w:eastAsia="en-US" w:bidi="ar-SA"/>
        </w:rPr>
      </w:pPr>
      <w:bookmarkStart w:id="101" w:name="Forward_fnref_fnr-36"/>
      <w:hyperlink w:anchor="Backward_fnref_fnr-36" w:history="1">
        <w:r>
          <w:rPr>
            <w:rFonts w:ascii="arial" w:eastAsia="arial" w:hAnsi="arial" w:cs="arial"/>
            <w:b/>
            <w:color w:val="BE161D"/>
            <w:sz w:val="18"/>
            <w:shd w:val="clear" w:color="auto" w:fill="FFFFFF"/>
            <w:lang w:val="en-US" w:eastAsia="en-US" w:bidi="ar-SA"/>
          </w:rPr>
          <w:t>36</w:t>
        </w:r>
      </w:hyperlink>
      <w:bookmarkEnd w:id="101"/>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65" w:history="1">
        <w:r>
          <w:rPr>
            <w:rFonts w:ascii="arial" w:eastAsia="arial" w:hAnsi="arial" w:cs="arial"/>
            <w:i/>
            <w:color w:val="0077CC"/>
            <w:sz w:val="18"/>
            <w:u w:val="single"/>
            <w:shd w:val="clear" w:color="auto" w:fill="FFFFFF"/>
            <w:lang w:val="en-US" w:eastAsia="en-US" w:bidi="ar-SA"/>
          </w:rPr>
          <w:t>[2000] 2 S.C.R. 860</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102" w:name="Forward_fnref_fnr-37"/>
      <w:hyperlink w:anchor="Backward_fnref_fnr-37" w:history="1">
        <w:r>
          <w:rPr>
            <w:rFonts w:ascii="arial" w:eastAsia="arial" w:hAnsi="arial" w:cs="arial"/>
            <w:b/>
            <w:color w:val="BE161D"/>
            <w:sz w:val="18"/>
            <w:shd w:val="clear" w:color="auto" w:fill="FFFFFF"/>
            <w:lang w:val="en-US" w:eastAsia="en-US" w:bidi="ar-SA"/>
          </w:rPr>
          <w:t>37</w:t>
        </w:r>
      </w:hyperlink>
      <w:bookmarkEnd w:id="102"/>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78" w:history="1">
        <w:r>
          <w:rPr>
            <w:rFonts w:ascii="arial" w:eastAsia="arial" w:hAnsi="arial" w:cs="arial"/>
            <w:i/>
            <w:color w:val="0077CC"/>
            <w:sz w:val="18"/>
            <w:u w:val="single"/>
            <w:shd w:val="clear" w:color="auto" w:fill="FFFFFF"/>
            <w:lang w:val="en-US" w:eastAsia="en-US" w:bidi="ar-SA"/>
          </w:rPr>
          <w:t>(2003), 63 O.R. (3d) 577</w:t>
        </w:r>
      </w:hyperlink>
      <w:r>
        <w:rPr>
          <w:rFonts w:ascii="arial" w:eastAsia="arial" w:hAnsi="arial" w:cs="arial"/>
          <w:color w:val="6D6E71"/>
          <w:sz w:val="18"/>
          <w:lang w:val="en-US" w:eastAsia="en-US" w:bidi="ar-SA"/>
        </w:rPr>
        <w:t xml:space="preserve"> (Ont. C.A.).</w:t>
      </w:r>
    </w:p>
    <w:p>
      <w:pPr>
        <w:spacing w:before="120" w:after="20" w:line="240" w:lineRule="atLeast"/>
        <w:ind w:left="720" w:hanging="360"/>
        <w:jc w:val="both"/>
        <w:rPr>
          <w:rFonts w:ascii="arial" w:eastAsia="arial" w:hAnsi="arial" w:cs="arial"/>
          <w:sz w:val="20"/>
          <w:lang w:val="en-US" w:eastAsia="en-US" w:bidi="ar-SA"/>
        </w:rPr>
      </w:pPr>
      <w:bookmarkStart w:id="103" w:name="Forward_fnref_fnr-38"/>
      <w:hyperlink w:anchor="Backward_fnref_fnr-38" w:history="1">
        <w:r>
          <w:rPr>
            <w:rFonts w:ascii="arial" w:eastAsia="arial" w:hAnsi="arial" w:cs="arial"/>
            <w:b/>
            <w:color w:val="BE161D"/>
            <w:sz w:val="18"/>
            <w:shd w:val="clear" w:color="auto" w:fill="FFFFFF"/>
            <w:lang w:val="en-US" w:eastAsia="en-US" w:bidi="ar-SA"/>
          </w:rPr>
          <w:t>38</w:t>
        </w:r>
      </w:hyperlink>
      <w:bookmarkEnd w:id="103"/>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See Queen v. Cognos Inc., </w:t>
      </w:r>
      <w:hyperlink r:id="rId71" w:history="1">
        <w:r>
          <w:rPr>
            <w:rFonts w:ascii="arial" w:eastAsia="arial" w:hAnsi="arial" w:cs="arial"/>
            <w:i/>
            <w:color w:val="0077CC"/>
            <w:sz w:val="18"/>
            <w:u w:val="single"/>
            <w:shd w:val="clear" w:color="auto" w:fill="FFFFFF"/>
            <w:lang w:val="en-US" w:eastAsia="en-US" w:bidi="ar-SA"/>
          </w:rPr>
          <w:t>[1993] 1 S.C.R. 87</w:t>
        </w:r>
      </w:hyperlink>
      <w:r>
        <w:rPr>
          <w:rFonts w:ascii="arial" w:eastAsia="arial" w:hAnsi="arial" w:cs="arial"/>
          <w:color w:val="6D6E71"/>
          <w:sz w:val="18"/>
          <w:lang w:val="en-US" w:eastAsia="en-US" w:bidi="ar-SA"/>
        </w:rPr>
        <w:t xml:space="preserve">, at paragraph 33: "... the constituent elements of negligent misrepresentation ... are: 1. That a duty of care existed, based on a special relationship between the representor and the representee; 2. that the representation was untrue, inaccurate or misleading; 3. that the representor acted negligently in making the representation; 4. that the representee reasonably relied upon the representation; and 5. that the reliance resulted in damage to the representee." And see, Hercules Managements Ltd. v. Ernst &amp; Young, </w:t>
      </w:r>
      <w:hyperlink r:id="rId77" w:history="1">
        <w:r>
          <w:rPr>
            <w:rFonts w:ascii="arial" w:eastAsia="arial" w:hAnsi="arial" w:cs="arial"/>
            <w:i/>
            <w:color w:val="0077CC"/>
            <w:sz w:val="18"/>
            <w:u w:val="single"/>
            <w:shd w:val="clear" w:color="auto" w:fill="FFFFFF"/>
            <w:lang w:val="en-US" w:eastAsia="en-US" w:bidi="ar-SA"/>
          </w:rPr>
          <w:t>[1997] 2 S.C.R. 165</w:t>
        </w:r>
      </w:hyperlink>
      <w:r>
        <w:rPr>
          <w:rFonts w:ascii="arial" w:eastAsia="arial" w:hAnsi="arial" w:cs="arial"/>
          <w:color w:val="6D6E71"/>
          <w:sz w:val="18"/>
          <w:lang w:val="en-US" w:eastAsia="en-US" w:bidi="ar-SA"/>
        </w:rPr>
        <w:t xml:space="preserve"> at paragraph 21: "... the same general framework ought to be used in approaching the duty of care question in both types of case."</w:t>
      </w:r>
    </w:p>
    <w:p>
      <w:pPr>
        <w:spacing w:before="120" w:after="20" w:line="240" w:lineRule="atLeast"/>
        <w:ind w:left="720" w:hanging="360"/>
        <w:jc w:val="both"/>
        <w:rPr>
          <w:rFonts w:ascii="arial" w:eastAsia="arial" w:hAnsi="arial" w:cs="arial"/>
          <w:sz w:val="20"/>
          <w:lang w:val="en-US" w:eastAsia="en-US" w:bidi="ar-SA"/>
        </w:rPr>
      </w:pPr>
      <w:bookmarkStart w:id="104" w:name="Forward_fnref_fnr-39"/>
      <w:hyperlink w:anchor="Backward_fnref_fnr-39" w:history="1">
        <w:r>
          <w:rPr>
            <w:rFonts w:ascii="arial" w:eastAsia="arial" w:hAnsi="arial" w:cs="arial"/>
            <w:b/>
            <w:color w:val="BE161D"/>
            <w:sz w:val="18"/>
            <w:shd w:val="clear" w:color="auto" w:fill="FFFFFF"/>
            <w:lang w:val="en-US" w:eastAsia="en-US" w:bidi="ar-SA"/>
          </w:rPr>
          <w:t>39</w:t>
        </w:r>
      </w:hyperlink>
      <w:bookmarkEnd w:id="10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w:t>
      </w:r>
      <w:hyperlink r:id="rId79" w:history="1">
        <w:r>
          <w:rPr>
            <w:rFonts w:ascii="arial" w:eastAsia="arial" w:hAnsi="arial" w:cs="arial"/>
            <w:i/>
            <w:color w:val="0077CC"/>
            <w:sz w:val="18"/>
            <w:u w:val="single"/>
            <w:shd w:val="clear" w:color="auto" w:fill="FFFFFF"/>
            <w:lang w:val="en-US" w:eastAsia="en-US" w:bidi="ar-SA"/>
          </w:rPr>
          <w:t>[1991] 3 S.C.R. 3</w:t>
        </w:r>
      </w:hyperlink>
      <w:r>
        <w:rPr>
          <w:rFonts w:ascii="arial" w:eastAsia="arial" w:hAnsi="arial" w:cs="arial"/>
          <w:color w:val="6D6E71"/>
          <w:sz w:val="18"/>
          <w:lang w:val="en-US" w:eastAsia="en-US" w:bidi="ar-SA"/>
        </w:rPr>
        <w:t>, particularly, per Sopinka J., at pages 14 through 17.</w:t>
      </w:r>
    </w:p>
    <w:p>
      <w:pPr>
        <w:spacing w:before="120" w:after="20" w:line="240" w:lineRule="atLeast"/>
        <w:ind w:left="720" w:hanging="360"/>
        <w:jc w:val="both"/>
        <w:rPr>
          <w:rFonts w:ascii="arial" w:eastAsia="arial" w:hAnsi="arial" w:cs="arial"/>
          <w:sz w:val="20"/>
          <w:lang w:val="en-US" w:eastAsia="en-US" w:bidi="ar-SA"/>
        </w:rPr>
      </w:pPr>
      <w:bookmarkStart w:id="105" w:name="Forward_fnref_fnr-40"/>
      <w:hyperlink w:anchor="Backward_fnref_fnr-40" w:history="1">
        <w:r>
          <w:rPr>
            <w:rFonts w:ascii="arial" w:eastAsia="arial" w:hAnsi="arial" w:cs="arial"/>
            <w:b/>
            <w:color w:val="BE161D"/>
            <w:sz w:val="18"/>
            <w:shd w:val="clear" w:color="auto" w:fill="FFFFFF"/>
            <w:lang w:val="en-US" w:eastAsia="en-US" w:bidi="ar-SA"/>
          </w:rPr>
          <w:t>40</w:t>
        </w:r>
      </w:hyperlink>
      <w:bookmarkEnd w:id="10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The Province also urged a cautious approach to the creation of a new category for recovery for pure economic loss. That is certainly a principle well supported in the authorities; however, it is difficult to apply on an application such as this. It is not plain and obvious that caution dictates that Mr. James has no cause of action.</w:t>
      </w:r>
    </w:p>
    <w:p>
      <w:pPr>
        <w:spacing w:before="120" w:after="20" w:line="240" w:lineRule="atLeast"/>
        <w:ind w:left="720" w:hanging="360"/>
        <w:jc w:val="both"/>
        <w:rPr>
          <w:rFonts w:ascii="arial" w:eastAsia="arial" w:hAnsi="arial" w:cs="arial"/>
          <w:sz w:val="20"/>
          <w:lang w:val="en-US" w:eastAsia="en-US" w:bidi="ar-SA"/>
        </w:rPr>
      </w:pPr>
      <w:bookmarkStart w:id="106" w:name="Forward_fnref_fnr-41"/>
      <w:hyperlink w:anchor="Backward_fnref_fnr-41" w:history="1">
        <w:r>
          <w:rPr>
            <w:rFonts w:ascii="arial" w:eastAsia="arial" w:hAnsi="arial" w:cs="arial"/>
            <w:b/>
            <w:color w:val="BE161D"/>
            <w:sz w:val="18"/>
            <w:shd w:val="clear" w:color="auto" w:fill="FFFFFF"/>
            <w:lang w:val="en-US" w:eastAsia="en-US" w:bidi="ar-SA"/>
          </w:rPr>
          <w:t>41</w:t>
        </w:r>
      </w:hyperlink>
      <w:bookmarkEnd w:id="10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 Athey v. Leonati, </w:t>
      </w:r>
      <w:hyperlink r:id="rId44" w:history="1">
        <w:r>
          <w:rPr>
            <w:rFonts w:ascii="arial" w:eastAsia="arial" w:hAnsi="arial" w:cs="arial"/>
            <w:i/>
            <w:color w:val="0077CC"/>
            <w:sz w:val="18"/>
            <w:u w:val="single"/>
            <w:shd w:val="clear" w:color="auto" w:fill="FFFFFF"/>
            <w:lang w:val="en-US" w:eastAsia="en-US" w:bidi="ar-SA"/>
          </w:rPr>
          <w:t>[1996] 3 S.C.R. 458</w:t>
        </w:r>
      </w:hyperlink>
      <w:r>
        <w:rPr>
          <w:rFonts w:ascii="arial" w:eastAsia="arial" w:hAnsi="arial" w:cs="arial"/>
          <w:color w:val="6D6E71"/>
          <w:sz w:val="18"/>
          <w:lang w:val="en-US" w:eastAsia="en-US" w:bidi="ar-SA"/>
        </w:rPr>
        <w:t xml:space="preserve"> and T.W.N.A. v. Clarke, </w:t>
      </w:r>
      <w:hyperlink r:id="rId80" w:history="1">
        <w:r>
          <w:rPr>
            <w:rFonts w:ascii="arial" w:eastAsia="arial" w:hAnsi="arial" w:cs="arial"/>
            <w:i/>
            <w:color w:val="0077CC"/>
            <w:sz w:val="18"/>
            <w:u w:val="single"/>
            <w:shd w:val="clear" w:color="auto" w:fill="FFFFFF"/>
            <w:lang w:val="en-US" w:eastAsia="en-US" w:bidi="ar-SA"/>
          </w:rPr>
          <w:t>[2003] B.C.J. No. 2747</w:t>
        </w:r>
      </w:hyperlink>
      <w:r>
        <w:rPr>
          <w:rFonts w:ascii="arial" w:eastAsia="arial" w:hAnsi="arial" w:cs="arial"/>
          <w:color w:val="6D6E71"/>
          <w:sz w:val="18"/>
          <w:lang w:val="en-US" w:eastAsia="en-US" w:bidi="ar-SA"/>
        </w:rPr>
        <w:t xml:space="preserve">, </w:t>
      </w:r>
      <w:hyperlink r:id="rId80" w:history="1">
        <w:r>
          <w:rPr>
            <w:rFonts w:ascii="arial" w:eastAsia="arial" w:hAnsi="arial" w:cs="arial"/>
            <w:i/>
            <w:color w:val="0077CC"/>
            <w:sz w:val="18"/>
            <w:u w:val="single"/>
            <w:shd w:val="clear" w:color="auto" w:fill="FFFFFF"/>
            <w:lang w:val="en-US" w:eastAsia="en-US" w:bidi="ar-SA"/>
          </w:rPr>
          <w:t>2003 BCCA 670</w:t>
        </w:r>
      </w:hyperlink>
      <w:r>
        <w:rPr>
          <w:rFonts w:ascii="arial" w:eastAsia="arial" w:hAnsi="arial" w:cs="arial"/>
          <w:color w:val="6D6E71"/>
          <w:sz w:val="18"/>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5"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Joel v. Paivarinta, [2005] B.C.J. No. 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4 - 8, 12 - 15, 18 - 22 and 25 - 29,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November 1 - 5,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M000027 and M015305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1058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Paulette Patricia Joel, plaintiff, and Henry Paivarinta, The Corporation of the City of Nelson and Insurance Corporation of British Columbia, defendants (Vancouver Registry No. M000027) And between Paulette Patricia Joel, plaintiff, and Mei Chu Wu, defendant (Vancouver Registry No. M015305)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6"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7" w:name="Keywords_2"/>
      <w:bookmarkEnd w:id="107"/>
      <w:r>
        <w:rPr>
          <w:rFonts w:ascii="arial" w:eastAsia="arial" w:hAnsi="arial" w:cs="arial"/>
          <w:b/>
          <w:color w:val="000000"/>
          <w:sz w:val="20"/>
          <w:lang w:val="en-US" w:eastAsia="en-US" w:bidi="ar-SA"/>
        </w:rPr>
        <w:t xml:space="preserve">Damages — General damages — For personal injuries — Cost of future care — Loss of earning capacity — Retroactive loss of income — Special damages — Municipal law — Liabilities of municipality — Tortious liability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Vicarious liability — Employer, for acts of employees — Transportation law — Motor vehicles — Accident claims fund — Actions against fund — Application to fund — Requirement — Caused by motor vehicle.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8" w:name="Case Summary_2"/>
            <w:bookmarkEnd w:id="1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Joel against Paivarinta for damages suffered as a result of a car accident, against the City of Nelson for vicarious liability and against the Insurance Corporation of British Columbia (ICBC). Joel had been taking part in a civilian "ride-along" in a police vehicle driven by Paivarinta. A vehicle which they had been pursuing struck the vehicle in which they were riding. The impact caused little damage. However, in an attempt to resume the pursuit, Paivarinta became disoriented and backed his vehicle off the road, causing it to descend approximately 15 feet down an embankment. At the time of the incident, Joel reported that she was "OK". Neither she nor Paivarinta requires the assistance of emergency services. She later claimed, however, that she had suffered a traumatic brain injury and whiplash in the incident. She became fatigued easily and had difficulties focusing. Joel had been to a myriad of physicians. Their assessments as to the cause and extent of Joel's injuries varied.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9" w:name="Holdings of Court_2"/>
            <w:bookmarkEnd w:id="109"/>
            <w:r>
              <w:rPr>
                <w:rFonts w:ascii="arial" w:eastAsia="arial" w:hAnsi="arial" w:cs="arial"/>
                <w:color w:val="000000"/>
                <w:sz w:val="20"/>
                <w:lang w:val="en-US" w:eastAsia="en-US" w:bidi="ar-SA"/>
              </w:rPr>
              <w:t>HELD: Action against Paivarinta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Action against ICBC dismissed. Action against the City allowed. Paivarinta had operated his motor vehicle in a negligent, but not grossly negligent, manner. By virtue of s. 21(1) of the Police Act, Paivarinta was not liable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Nor could Joel claim compensation from ICBC. The impact of the passing truck did not cause or materially contribute to Joel's injuries. The City, however, was vicariously liable for the acts of its agents, which included the acts of Paivarinta. There had been nothing in Joel's conduct from which it could be inferred that she knew or accepted the physical and legal risks of injury associated with Paivarinta's actions so as to absolve the Police Force or the City from liability. The evidence taken as a whole did not support a finding that Joel's problems resulted from a brain injury. She sustained a severe whiplash and a very mild traumatic brain injury that had not yet fully resolved. The accident triggered psychological complications that emerged from a pre-existing susceptibility to such ailments. The fatigue reported by Joel was overwhelmingly psychological rather than neurological in origin. Damages were assessed as $200,000 for past income lost, $250,000 for impairment of future earnings capacity, $30,000 for future care, $10,500 in special damages and $110,000 in general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0" w:name="Legislation Cited_3"/>
      <w:bookmarkEnd w:id="1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7"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88" w:history="1">
        <w:r>
          <w:rPr>
            <w:rFonts w:ascii="arial" w:eastAsia="arial" w:hAnsi="arial" w:cs="arial"/>
            <w:i/>
            <w:color w:val="0077CC"/>
            <w:sz w:val="20"/>
            <w:u w:val="single"/>
            <w:shd w:val="clear" w:color="auto" w:fill="FFFFFF"/>
            <w:lang w:val="en-US" w:eastAsia="en-US" w:bidi="ar-SA"/>
          </w:rPr>
          <w:t>R.S.B.C. 1996, c. 231, ss. 24</w:t>
        </w:r>
      </w:hyperlink>
      <w:r>
        <w:rPr>
          <w:rFonts w:ascii="arial" w:eastAsia="arial" w:hAnsi="arial" w:cs="arial"/>
          <w:color w:val="000000"/>
          <w:sz w:val="20"/>
          <w:lang w:val="en-US" w:eastAsia="en-US" w:bidi="ar-SA"/>
        </w:rPr>
        <w:t>(1)(a), 24(1)(c)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89" w:history="1">
        <w:r>
          <w:rPr>
            <w:rFonts w:ascii="arial" w:eastAsia="arial" w:hAnsi="arial" w:cs="arial"/>
            <w:i/>
            <w:color w:val="0077CC"/>
            <w:sz w:val="20"/>
            <w:u w:val="single"/>
            <w:shd w:val="clear" w:color="auto" w:fill="FFFFFF"/>
            <w:lang w:val="en-US" w:eastAsia="en-US" w:bidi="ar-SA"/>
          </w:rPr>
          <w:t>R.S.B.C. 1996, c. 318, s. 86</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90" w:history="1">
        <w:r>
          <w:rPr>
            <w:rFonts w:ascii="arial" w:eastAsia="arial" w:hAnsi="arial" w:cs="arial"/>
            <w:i/>
            <w:color w:val="0077CC"/>
            <w:sz w:val="20"/>
            <w:u w:val="single"/>
            <w:shd w:val="clear" w:color="auto" w:fill="FFFFFF"/>
            <w:lang w:val="en-US" w:eastAsia="en-US" w:bidi="ar-SA"/>
          </w:rPr>
          <w:t>R.S.B.C. 1996, c. 367, s. 21</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1" w:name="Counsel_3"/>
      <w:bookmarkEnd w:id="1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8"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Deborah A. Acheson, Q.C. and Danielle C. Topliss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Patricia J. Armstrong and Richard B. Lindsay,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2" w:name="Judgment_3"/>
      <w:bookmarkEnd w:id="112"/>
      <w:r>
        <w:pict>
          <v:line id="_x0000_s1049" style="position:absolute;z-index:2518159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3" w:name="PITFIELD J."/>
            <w:bookmarkEnd w:id="113"/>
            <w:r>
              <w:rPr>
                <w:rFonts w:ascii="arial" w:eastAsia="arial" w:hAnsi="arial" w:cs="arial"/>
                <w:b/>
                <w:color w:val="000000"/>
                <w:sz w:val="30"/>
                <w:lang w:val="en-US" w:eastAsia="en-US" w:bidi="ar-SA"/>
              </w:rPr>
              <w:t>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May 1999, Ms. Paulette Joel was employed as a Constable with the Vancouver Police Department. She had applied for employment with the City of Nelson Police Department. On May 22nd, when in Nelson as part of the interview process she was engaged in a civilian "ride-along" in a police vehicle driven by the defendant, then Constable, now Inspector Paivarinta, a member of the Nelson Police Department. The purpose of the ride-along was to permit a non-member to observe the police force in operation and, in this case, to allow a member of the force to observe Ms. Joel as a prospective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early morning hours of May 22nd, Constable Paivarinta observed a truck proceeding at an excessive rate of speed. He followed the vehicle, lost sight of it for a period of time, but regained sight of it shortly before it turned on to Chatham Street. Chatham is narrow and runs up and across the slope of a hill, the high side of which is on the right as one ascends. Constable Paivarinta proceeded up Chatham which he knew to be a dead end street. He stopped his vehicle so that it faced diagonally across the road, passenger side on the up-slope, expecting that the truck he was pursuing would be unable to pass as it came downhill. Constable Paivarinta and Ms. Joel observed the truck coming downhill. It drove on to private property on the passenger side of the vehicle in order to pass the police vehicle and continue downhill. As it did so, it struck the police vehicle but did little in the way of damage. The impact did not set the police vehicle in motion. After passing the police vehicle the truck re-entered Chatham and continued downhill. Constable Paivarinta turned on his emergency lights but not his siren. He began to back his vehicle down the road at a speed he estimated to be not in excess of 30 kph. Ms. Joel testified that because of the amount of engine sound, the speed may have been greater. The alternative to backing up was to drive on to the top of Chatham where the vehicle could have been turned around in the cul-de-sac.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Constable Paivarinta backed into a cloud of dust that had been raised by the departing truck. He became disoriented and, while continuing in reverse, backed his vehicle off the road on the downhill side. The vehicle descended approximately 15 feet and came to rest on its side, passenger door up. There was a marked indentation on the rear bumper of the vehicle and other damage. The cost of repair approached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Joel claims she suffered a traumatic brain injury and whiplash in this accident. She claims general damages and special damages as well as damages for lost income, impairment of earning capacity, and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December 17, 1999, Ms. Joel was involved in another accident when the vehicle which she was driving was struck by the defendant Mei Chu Wu. Ms. Joel claims that accident moderately exacerbated the whiplash she sustained in the May 22, 1999 accident, and that some of the pain associated with the prior whiplash reappeared. Ms. Joel claims modest general damages in respect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find that Constable Paivarinta operated the police vehicle in a negligent, but not grossly negligent, manner when he backed his vehicle down Chatham Street and failed to stop on a timely basis after his visibility became impaired by dust.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 police officer acting in the course of his duties, as was Constable Paivarinta, is not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virtue of s. 21(1)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except in respect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none of which is present in this case. The action against Constable Paivarinta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Insurance Corporation of British Columbia ("ICBC") was named as a defendant because the driver of the truck which Constable Paivarinta was pursuing was never identified with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Section 24(1)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24(1) If bodily injury to or the death of a person or damage to property arises out of the use or operation of a motor vehicle on a highway in British Columbia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motor vehicle are not ascertainable,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any person who has a cause of action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(a), against the owner or the driver,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bodily injury, death or property damage may bring an action against the corporation as nominal defendant,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ICBC claims that the negligent actions of an unidentified driver caused or materially contributed to Ms. Joel's injuries. ICBC says it was that driver's conduct which prompted the initial police pursuit, caused Constable Paivarinta to ascend Chatham Street and stop, caused him to back his vehicle down the road, and raised the dust that obscured the constable's vision causing him to back off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find that the impact with the passing truck did not cause or materially contribute to any person's physical injury. I find that the driver of the truck did not initiate the chain of events that resulted in the police vehicle backing off the road. The circumstances were such that after his vehicle was struck by the passing truck, Constable Paivarinta could have chosen an alternative course of conduct that would not have required him to back down the road in the unsafe manner that caused the accident in which his vehicle was involved. In the circumstances, the driver of the passing truck did not cause or materially contribute to Ms. Joel's injuries. The action against ICBC as a nominal defendant in respect of any injury sustained by Ms. Joel in the accident of May 22, 1999,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City of Nelson is vicariously liable for the acts of its agents, in which class the Nelson Police Department and Constable Paivarinta were included. The conclusion is not seriously disputed by the City because of s. 86(1)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It follows that the City is liable for damages flowing from Constable Paivarinta's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unless the defence of volenti non fit injuria is available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defendants claim that Ms. Joel willingly assumed the physical and legal risk of injury associated with the ride-along so that the principle of volenti prevents her from claiming damages in respect of Constable Paivarinta's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do not claim to be beneficiaries of a waiver signed by Ms. Joel in their favour. As a result, I need not be concerned with questions of contract. Rather, the defence is advanced on the basis that Ms. Joel was a police officer who was aware of the risks associated with the job, she participated in the ride-along in order to impress others about her qualifications for employment in Nelson, and she acted throughout the ride-along as more than a passive observer. None of those factors is sufficient to ground the volenti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substance of the volenti defence was described by the Supreme Court of Canada as follows in the case of Dubé v. Labar, </w:t>
      </w:r>
      <w:hyperlink r:id="rId91" w:history="1">
        <w:r>
          <w:rPr>
            <w:rFonts w:ascii="arial" w:eastAsia="arial" w:hAnsi="arial" w:cs="arial"/>
            <w:i/>
            <w:color w:val="0077CC"/>
            <w:sz w:val="20"/>
            <w:u w:val="single"/>
            <w:shd w:val="clear" w:color="auto" w:fill="FFFFFF"/>
            <w:lang w:val="en-US" w:eastAsia="en-US" w:bidi="ar-SA"/>
          </w:rPr>
          <w:t>[1986] 1 S.C.R. 649</w:t>
        </w:r>
      </w:hyperlink>
      <w:r>
        <w:rPr>
          <w:rFonts w:ascii="arial" w:eastAsia="arial" w:hAnsi="arial" w:cs="arial"/>
          <w:color w:val="000000"/>
          <w:sz w:val="20"/>
          <w:lang w:val="en-US" w:eastAsia="en-US" w:bidi="ar-SA"/>
        </w:rPr>
        <w:t>, at paras. 6 and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volenti will arise only where the circumstances are such that it is clear that the plaintiff, knowing of the virtually certain risk of harm, in essence bargained away his right to sue for injuries incurred as a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defendant's part. The acceptance of risk may be express or may arise by necessary implication from the conduct of the parties, but it will arise, in cases such as the present, only where there can truly be said to be an understanding on the part of both parties that the defendant assumed no responsibility to take due care for the safety of the plaintiff, and that the plaintiff did not expect him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defence of volenti will, furthermore, necessarily be inapplicable in the great majority of drunken driver-willing passenger cases. It requires an awareness of the circumstances and the consequences of action that are rarely present on the facts of such cases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direction provided by the Supreme Court of Canada requires that there be an awareness of the specific risk that occasioned the injury to the claimant and active and knowing acceptance of that risk. In addition, the claimant must be found to have voluntarily assumed the physical and legal risk so as to have absolved the actor, in this case an employee, and his employer from any claim for compensation in the event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this case there was no awareness of the possibility or likelihood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harm when Constable Paivarinta put his vehicle in motion. Ms. Joel was not afforded the opportunity to assume or avoid any risk that might be created by Constable Paivarinta backing his vehicle downhill into a cloud of dust so that he became disoriented and unable to control the vehicle. There is no evidence from which one could conclude that Ms. Joel was aware of the risk that might be associated with Constable Paivarinta's decision to proceed in reverse down the hill before the risk materialized such that she might have avoided it. There is no evidence that she had observed anything about Constable Paivarinta's driving ability that would have put her on notice that he might drive in a negligent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sum, there is no conduct on Ms. Joel's part from which it might be inferred that she knew or accepted the physical and legal risks of injury associated with Constable Paivarinta's decision to back down the hill so as to absolve the Nelson Police Department and the City of Nelson of liability in the event she sustained injury and I find as a fact she did not. None of the factors essential to ground the defence of volenti are present in the circumstances of this case and the defence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defendants allege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Joel in relation to the Paivarinta accident. The allegation was that Ms. Joel had not properly adjusted her headrest and her seatbelt. I accept the evidence of Constable Paivarinta that the passenger's headrest was not adjustable. I find as a fact from the evidence of Ms. Joel and Constable Paivarinta that Ms. Joel was wearing a seatbelt. I accept her evidence that she had initially released the belt in order to get out of the parked police vehicle but had reattached it as the truck approached. The fact that she then relaxed the belt in order that she could turn her body in an attempt to obtain the license of the passing truck did not amount to a negligent act on her part. She did nothing that any reasonable person would have refrained from doing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City of Nelson is solely liable for any damage sustained by Ms. Joel as a passenger in the Paivarinta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There is little dispute in relation to liability insofar as the second accident is concerned.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Mei Chu Wu, was the sole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follows then that only the City of Nelson is liable for damages in respect of the injuries sustained by Ms. Joel in the May 22, 1999 accident, and only Mr. Wu is liable for damages sustained by Ms. Joel in respect of December 17, 1999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Injury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questions to be addressed are these: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nature, extent and severity of the injuries sustained by Ms. Joel in the separate accidents?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if any, is to be assessed as general damages in respect of each accident?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the May 22, 1999 accident, what amount, if any, is to be assessed as damages in respect of:</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income lost by Ms. Joel from May 22, 1999 to the date of trial;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Ms. Joel's future income earning capacity;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future care which might be required by Ms. Joel as a consequence of injuries sustained;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in respect of expenditures incurred by Ms. Joel from the May 22, 1999 accident to the date of trial?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Extent and Severity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persuaded on the balance of probabilities, and find, that Ms. Joel sustained a severe whiplash injury and a very mild traumatic brain injury in the Nelson accident on May 22, 1999. I am persuaded on the balance of probabilities that the accident caused or materially contributed to psychological problems which affect Ms. Joel. I will address the impact of the brain injury and the psychological problems on the assessment of damages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persuaded on the balance of probabilities and find that the May 22nd whiplash injury was exacerbated to a very limited extent by the accident caused by Mei Chiu Wu. I find that the Wu accident did not cause or materially contribute to any loss of income before trial or impairment of earning capacity. Accordingly, the only head under which any award in respect of the Wu accident is appropriate is that of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have made my findings in relation to the injuries sustained in the Nelson accident with regard for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police vehicle came to rest on its side, driver's side down, at the bottom of a 14-foot incline. Ms. Joel used the police radio to advise dispatch that the vehicle had rolled. Constable Scott-Pryke of the Nelson Police Department testified that during the transmission, Ms. Joel used the police phrase "Alpha 12" which means "rolled vehicle" and she sounded matter of fact in her short transmission which was followed by Constable Paivarinta's transmission of their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Constable Paivarinta and Ms. Joel got out of the vehicle without the assistance of police or emergency personnel. Each advised the other that they were "okay". They decided that no ambulance was required. Ms. Joel told Fire Chief Chambers, one of those who responded to the radio dispatch, that she was "all right". Chief Chambers examined Ms. Joel, observed no injury to her head and found her eyes to be equal and reactive to light and her speech to be normal. Ms. Joel reported pain in the area of her shoulder and collarbone. He suggested she should go to be checked out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Joel was driven to the Kootenay Lake District Hospital in a police vehicle. She was examined at approximately 3 a.m. on May 22nd and advised to return for x-rays later in the morning which she did. On neither occasion did the attending physician observe symptoms suggestive of neurological injury although Ms. Joel did report that her right ear seemed plugged. On each visit, the examining physician observed muscle tenderness and strain suggestive of a whiplash injury. The x-rays showed some loss of curvature in the cervical spine but no fracture or dislocation. Ms. Joel was prescribed ice, Ibuprofen, Tylenol 3, and the use of a soft collar for long driving 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Joel stayed in Nelson with Ms. Gould, her former sister in law, the night of May 22-23. Ms. Gould testified to her recollection that Ms. Joel complained of an extremely sore back and neck. Ms. Gould provided Ms. Joel with an extra blanket in response to her complaint that she felt cold. Ms. Gould testified to her recollection that when Ms. Joel left Nelson to return to Vancouver on May 23rd, she planned to drive as far as Osoyoos and to continue to Vancouver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Joel drove to Vancouver on May 23rd and 24th as planned without misadventure. She stayed overnight in Osoyoos as planned. She saw her own physician, Dr. Anderson, in Vancouver on May 25th and several dates thereafter including June 2nd, June 10th, June 22nd and July 6th.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symptoms described by Ms. Joel initially caused Dr. Anderson to conclude, on May 25th, that she had sustained a concussion and soft tissue injury in the accident. At the June 2nd consultation, Ms. Joel advised Dr. Anderson she had hit the left side of her head on the "prisoner's gate" in the police vehicle, that being the Plexiglas dividing wall between the front and rear passenger areas of the police vehicle. She reported that the bump she had on the left side of her head was then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June 10th, Ms. Joel reported that on one occasion since the last visit the left side of her body, including face and tongue, was 90% numb. She continued to report exhaustion, irritability, and "foggy" thinking.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June 22nd, Ms. Joel reported that she had tried to return to work but felt fatigued. She reported that her forgetfulness fluctuated, she was writing things down, her vision was blurred, the nausea had decreased but was still present, she had experienced numbness in the left side of her body, she thought herself to be slower at work and to be repeating questions she asked of others. On July 6th, Ms. Joel reported continuing "foggy brain" problems, numbness on the left side of her body, and poorer performance from the left side of her body in the course of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accumulation of symptoms reported by Ms. Joel through July 6th, including sore right posterior neck, plugged right ear, pain to her fingertips when driving to Vancouver, dull pain and tingling in her fingers thereafter, nausea on and off over a three day period following the accident, a 24-hour headache, the severity of which changed from time to time, occasional dizziness when moving too fast, a "messed up" sleep pattern, low back pain more on the right than the left, irritability, a "foggy brain", a sore left jaw, problems including numbness on the left side of her body, fatigue, exhaustion, an inability to concentrate, a very short attention span, and difficulties encountered on her attempted return to work, caused Dr. Anderson to conclude that she should refer Ms. Joel to Dr. Cameron, a neurologist, for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Joel first saw Dr. Cameron on August 12, 1999. He conducted a "bedside mental status evaluation" in respect of which he reported that Ms. Joel recalled none of three items she had been asked to remember at three minutes, and two of the three with prompting, but slowly. She could not subtract seven from 100 in serial fashion below 93 and did that slowly. She was able to spell the word "world" backwards, but extremely slowly. He completed his neurological examination at a second consultation on August 19th. On that occasion he noted decreased sensation to temperature on the left side of the face, and decreased temperature, pin, and vibration sensation in the left upper and lower extremities. He described the tone of the muscles in the left lower extremity as "pathologically brisk". He concluded that Ms. Joel was suffering from a very mild pattern of weakness attributable to brain injury affecting the lower left extremity and, to a lesser extent, the upper left extremity of Ms. Joel's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Cameron described his impression of Ms. Joel's state in the following terms when writing to Dr. Anderson on August 16th: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Paulette Joel has sustained a traumatic brain injury at the time of the motor vehicle accident in May, 1999. She remains significantly disabled because of cognitive deficits, and also pain and discomfort. It is my opinion that Ms. Joel should not be working as she is not productive. It is my recommendation that she be assessed at a head injury program, either at UBC or G.F. Strong. Also, it is my opinion that Ms. Joel have [sic] psychological assessment, including psychological counselling, and neuropsychological testing performed at this time. I would also request that a MRI brain scan be performed to evaluate whether she has sustained any contusions in the brain. Her head, in the left vertex region, struck something hard in the car: she does not recall what it struck, however, she has complained of pain, discomfort and increased sensitivity of the scalp in this region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observation that Ms. Joel could not recall what her head struck is inconsistent with her earlier advice to Dr. Anderson that she had struck the prisoner's 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Following the August 19th consultation Dr. Cameron advised Dr. Anderson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Joel has definite focal abnormalities on clinical examination indicating a focal traumatic brain injury as well as diffuse traumatic brain injury, which I had discussed following my previous assessment of Ms. Joel. I recommended that she have neuropsychological testing performed and psychological counselling undertaken at the time of my previous assessment. I am also recommending that she have an MRI brain scan performed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Cameron testified that his recommendations for assessment and admission to a brain injury program resulted from the fact that Ms. Joel's short term memory seemed impaired, she was slow to process on the serial 7 examination, and he was concerned that a psychological dysfunction might be evolving. Ms. Joel was not referred at the time for the recommended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By January 29, 2001, Dr. Cameron had formed the opinion that Ms. Joel sustained an injury to the hypothalamus in the May 22, 1999 accident. He based his opinion primarily on neurological literature and Ms. Joel's report of temperature intolerance or sensitivity and irregularity in her menstrual cycle. There is no evidence that Ms. Joel's core body temperature was adversely affected by the accident. Ms. Joel had reported irregularity in menstrual cycles to her physician pre-accident as late as May 10, 1999. I do not find Dr. Cameron's conclusion that menstrual irregularity indicated brain injury in this case to be persuasive. His observation was based on self-reporting by Ms. Joel without particularity or detail regarding the character of any irregularity and without comparison to the character of the irregularity reported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By April 30, 2001, Dr. Cameron had formed the opinion that Ms. Joel had "probably developed psychological problems as a result of the injury sustained in the May 1999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Cameron provided his last written medical-legal opinion to counsel for Ms. Joel on April 14, 2003 in which he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my numerous neurological assessments of Ms. Paulette Joel and following my review of the medical records and documents, it is my opinion that Ms. Paulette Joel did sustain a mild to moderate traumatic brain injury at the time of the motor vehicle accident on May 22, 1999. It is my opinion that Ms. Paulette Joel subsequently manifested symptoms diagnostic of post traumatic brain injury syndrome following the accident. It is my opinion that Ms. Joel sustained both focal and diffuse traumatic brain injury at the time of the motor vehicle accident on May 22, 1999. The focal brain injury has resulted in dysfunction involving the left upper extremity objectively for a short period of time following the accident and subjectively for a chronic period of time in that Ms. Joel still reports decreased fine motor control with repetitive use involving the left hand.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Joel has also manifested symptoms of focal traumatic brain injury involving the deep regions of the brain, specifically the hypothalamus with disrupted menstrual cycle chronically and disrupted temperature sensitivity chronically, and fatigue as a result of the diffuse and focal traumatic brain injury that she sustained at the time of the motor vehicle accident on May 22, 1999. I agree with the psychologist that Ms. Joel is manifesting ongoing, chronic cognitive problems, in part as a result of the original mild to moderate traumatic brain injury that she sustained at the time of the motor vehicle accident, and in part due to development of psychological dysfunction or psychological problems as a result of the injuries that she sustained at the time of the motor vehicle accident on May 22,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Joel was admitted to the brain injury program at G.F. Strong in November 1999 following assessment by Dr. Hirsch, a specialist in physical medicine and rehabilitation. At that time he recorded that Ms. Joel advised she was able to perform all household tasks but they took longer and were still a struggle, the pain in her neck and back had significantly lessened, her memory was better but she was still forgetful and had to use a diary, the left-sided numbness and weakness had more or less resolved, the plugging of the right ear had subsided, she still felt off balance when she made sudden movements, she no longer had nausea and no longer vomited, her long term memory was compromised, she had continuous headaches of variable intensity but they had improved, she occasionally had mildly blurred vision, her sense of smell and taste were intact, the pain in her left jaw had subsided completely, she was constipated at times, she experienced post-prandial abdominal pain, she experienced a feeling of clamminess and cold, and her sleep had improved but was non-restorative.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Noteworthy is the fact that Dr. Hirsch found nothing abnormal on physical or mental examination except for a posterior rotation of the right pelvis, a condition which was not, quite properly, attributed to the accident. Dr. Hirsch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doubt that Ms. Joel suffered a traumatic brain injury. Fortunately her clinical course has been quite favourable to date. However, she has reportedly still difficulty with short and long term memory, attention, concentration, multi-tasking, and mental fatiguability.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Joel is an appropriate candidate to be enrolled in the Outpatient Acquired Brain Injury Program at G.F. Strong. I have put forth the necessary referral.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February 11, 2000 Dr. Hirsch assessed Ms. Joel again. The doctor recorded that "Ms. Joel has mechanical neck and low back pain. There is no clinical evidence of neurogenic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Joel was treated in the G.F. Strong program until early March 2000, when, in consultation with Dr. Ruckman of G.F. Strong, she decided to "take a break" from the program to go to Australia for approximately three months. She received no treatment for brain injury when in Australia from late February to June 2000. She renewed her association with G.F. Strong upon her return to British Columbia in mid-June 2000, and continued in the program until August 15, 2000, when she was discharged. Thereafter, treatment by one or more clinicians on a continuing basis was curtailed because Ms. Joel moved to Calgary to enrol in a mathematics course at Mount Royal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anticipation of a trial expected to proceed in mid-2003, Ms. Joel was assessed at the request of Ms. Joel's counsel by Dr. Michael P. Krieger on March 21, 2003, almost four years post-accident, and again on June 9, 2004. Dr. Krieger is a neurologist retired from active practice in the United States who now resides in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Krieger expressed the opinion that Ms. Joel had suffered a traumatic brain injury in the May 22, 1999 accident. His opinion resulted principally from a review of the records, opinions, and test results compiled by others in the course of treating or assessing Ms. Joel combined with his observation of slightly diminished sensory sensation to temperature and pin on the left face and left extremities, and increased reflexes in the left arm when he examined Ms. Joel in March 2003, and June 2004. Dr. Cameron had reported similar observations in 1999 but had also reported vibration sensation in the upper and lower left extremities. That symptom was not observed by Dr. Krieger at the time of his examination. Dr. Krieger also found that some symptoms Dr. Cameron found to have disappeared were again present. Dr. Krieger acknowledged that Ms. Joel reported fluctuating signs after the accident and he agreed that a psychiatrist had found Ms. Joel's strength, sensation, reflexes and muscle tone to be normal as late as October 15, 1999. In final analysis, Dr. Krieger regarded the symptoms he observed and those that had been reported to him to be indicative of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Krieger relied on Ms. Joel's report of irregular menstrual cycles since the accident as an indication of injury to the thalamus or hypothalamus but acknowledged that irregularity was not necessarily pathological in origin. My comments in relation to Dr. Cameron's observations in that regard apply equally to the observations and opinion of Dr. Krieger and, for that reason, I do not find Dr. Krieger's conclusion that menstrual irregularity indicated brain injury in this case to be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Krieger observed some diminished left-sided grip strength. His finding was consistent with the results of occupational therapist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Krieger expressed the opinion that the principal factor which caused him to form his opinion that Ms. Joel had suffered diffuse axonal injury to the right side of her brain and injury to the thalamus or hypothalamus was the fatigue which she continued to report. His opinion was that there did not appear to be alternative explanations such as "thyroid disease, depression, anemia or other medical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I do not find Dr. Krieger's opinion to be independently persuasive regarding the nature and extent of Ms. Joel's brain injury or injury to the thalamus or hypothalamus. His opinion was primarily derived from a review of the work of other professionals. His assessment of Ms. Joel was limited to a single examination almost four years post-accident and a brief follow-up exam in June 2004. He assumed that Ms. Joel was in excellent pre-accident emotional health which, as I will describe in due course, was not the case. While he testified regarding the fact that the thalamus and hypothalamus regulate body temperature, he did not describe why diminished temperature sensation should be restricted to the left side of the face. As I have previously noted there was no evidence that Ms. Joel's core body temperature had been assessed as abnormal. Dr. Krieger offered no explanation of the means by which the thalamus or hypothalamus, deep-seated in the brain as they are, would have sustained injury in the absence of more visible signs of injury such as indications thereof in CT or MRI scans and in the absence to fracture to the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Because of the comparatively late-arising suggestion of injury to the hypothalamus, the importance of menstrual irregularity in that finding, the presence of pre-accident menstrual irregularity, the abbreviated exploration of and inquiry into other reasons for any such irregularity, and the absence of any objective evidence of core body temperature change, I do not accept the opinions of Drs. Cameron and Krieger regarding injury to the thalamus or hypothalamus and find as a fact that Ms. Joel did not sustain such an injury in the May 22nd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Joel was assessed by three neuropsychologists: Dr. Crockett at G.F. Strong in February 2000, Dr. Schmidt on July 18 and 20, 2001, and Dr. Freeman in January 2003. Each of them carried out their examinations with knowledge of the diagnosis of brain injury. Their purpose was to attempt to assess the impact of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principal finding by Dr. Crockett in February 2000, was that of reduced processing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Schmidt was asked by Ms. Joel's counsel to carry out an independent medical examination. He testified to finding that Ms. Joel showed "subtle weaknesses in processing speed". That finding was consistent with prior testing undertaken by Dr. Crockett. Dr. Schmidt found no deficiency in the areas of focused, selective and divided attention or in Ms. Joel's ability to learn and retain verbal information but observed some weakness in "sustained attention, a finding which could not be examined over time due to the fact that this had not been systematically evaluated in earlier assessments". His opinion was that Ms. Joel's organizational abilities were generally intact and the fact that some test scores were weak in that area was most likely a reflection of difficulty with processing speed. He concluded that Ms. Joel's ability to learn and retain verbal information was lower than would be predicted given her intelligence. He proffered his opinion that there was no evidence of a consistent deficit in her ability to learn and retain verbal information but difficulty with processing speed might affect her ability to learn information presented quickly. Dr. Schmidt concluded that there may be some subtle weakness in higher order language functioning and there was no difficulty in visual perceptual functioning. His conclusion was that the pattern of deficits was quite typical of and consistent with the effects of mild traumatic brain injury but he remarked that such effect could also arise from, or be aggravated by, psychological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Schmidt testified that processing speed or mental efficiency was a measure of the ability of an individual to process information, make decisions and respond in a rapid and efficient fashion. He testified to his experience that a deficiency in processing speed was commonly associated with traumatic brain injury, and to his opinion that the kind of accident in which Ms. Joel was involved could result in both emotional/personality and cognitive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relation to emotional function, Dr. Schmidt remarked that personality and emotional factors could have an impact on cognitive testing, neuropsychological disorders, including brain injury, could and usually did have an impact on personality and emotional functioning, and personality and emotional disorders can be present regardless of the individual's neuropsychological status and have an impact in their own right. From the tests he administered, Dr. Schmidt concluded that Ms. Joel had a tendency to minimize or avoid dealing directly with psychological problems, and she appeared to be experiencing more psychological disruption than she was immediately aware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Schmidt wrote of the psychological outfall from accidents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being potentially psychologically traumatic, accidents can also leave an individual with problems or changes in his or her life which are demoralizing and/or stressful. Such changes include direct physical problems, including disfigurement, pain, disability, and reliance upon physical treatments (surgery, medication, etc.) Such changes also include secondary effects of injury or disability, such as loss of or change of vocational status, interpersonal status, self image, financial security, and so on. Many of these changes are very difficult for the individual to adjust to. Often, the combined effects of such changes and problems is such that the individual simply is unable to achieve a successful adaptation to them, leading to development of a psychological disorder, such as a mood disorder (e.g., depression), an anxiety disorder, or a pain disorder. The accident in question has led to significant disruption of Ms. Joel's life. She has had to stop her police work as well as many physical and leisure activities that gave her a great deal of pleasure and sense of purpose and accomplishment. She has had repeated frustrating attempts to overcome her problems and return her life to a more stable basis. I believe that all of this has had an impact on her psychological state, leaving her with increased feelings of anxiety and depression which she finds it difficult to cope with at this point in time. At the same time, I do not view these psychological factors as being of a sufficient magnitude to explain all of the problems that she currently presents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Finally, Dr. Schmidt stated his opinion that changes in emotional/personality status resulting from psychological and from neuropsychological factors are often highly similar and it is often difficult to determine, even with detailed testing, which is present. His conclusion was that Ms. Joel's problems arose from a combination of psychological and neuropsychological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Overall, I found Dr. Schmidt's evidence in this case to be balanced and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Freeman assessed Ms. Joel at the request of her counsel on four occasions in January 2003 over a cumulative period of 24 hours. He testified that the need for the multiple assessments resulted from the fact that Ms. Joel's speech was pressured and very rapid, she did not pick up cues offered to her, she expressed a need to go back over various matters in detail, he wanted to minimize the effects of fatigue on the test results, and he wanted to be thorough. Those observations of Ms. Joel's demeanour do not correspond to the observations of others who have examined her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Freeman testified that susceptibility to fatigue was a striking clinical feature during his examination of Ms. Joel and, in his opinion, a critical factor affecting her performance. He testified that the motor function tests he administered indicated slight, left-side deficiencies. In relation to intelligence as measured by the Wechsler Adult Intelligence Scale, 3rd edition, he found her score on the verbal comprehension index to be superior, on the perceptual organization index to be average, on the working memory index to be high average, and on the processing speed index to be average. He testified to his experience that the processing speed index was that part of testing most affected by head injuries. He offered his opinion that what was most significant in relation to Ms. Joel was the extent to which the score on the processing speed index differed from the scores on the comprehension, perceptual organization and working memory indexes. He regarded the difference as both statistically and clinically significant and suggestive of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Overall, the neuropsychologists who have examined Ms. Joel are consistent in their assessment that there is a discernible, but mild, deficiency in her ability to process information. They share the view that such deficiency may be associated with a traumatic brain injury. With the exception of Dr. Freeman, they acknowledge that psychological factors affect Ms. Joel.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Joel was assessed post-accident by a number of psychologists including Dr. Ruckman at G.F. Strong and Dr. Hobson-Underwood.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Ruckman summarized her work with Ms. Joel at G.F. Strong prior to discharge in a report of July 5, 2000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Paulette is a 30-year-old woman who sustained a head injury in a MVA a year ago. She has made a good recovery but still reports back and neck pain, sensitivity to cold, fatigue, and cognitive and memory changes. Her educational background and previous testing indicate that is an intelligent woman with excellent verbal skills.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current testing her memory for visual material was good. She also retained organized, meaningful auditory material well. However, as she had to recall more extensive, less meaningfully integrated material, she had difficulty encoding and retrieving the material. She did not always use the most efficient memory strategies to organize the material. Paulette reports the subjective feeling that her memory is not as good as it was prior to the accident. Given her educational level, work skills, and other verbal skills, it is certainly possible that her memory skills have declined. Although her attentional skills are with the average range, she does not perform as well when speed is a factor. Again Paulette subjectively experiences a decline in her attentional skills. Given her previous work as a police officer, it is certainly possible that her average performance on these tasks is below her previous skills. Paulette's ability to problem solve, plan learn from her errors, and think flexibly seem intact.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it would be difficult for Paulette to return to active duty on the police force. She is still experiencing considerable pain and fatigue which would interfere with her job. In addition, she has more difficulty organizing information and responding quickly in complex attentional situations. One would expect that active police work requires better than average attentional and speed of processing skills. In the restricted testing situation she generally performed in the average range. In an active police situation one might expect her to have more difficulties. If Paulette improves in the future and a return to active duty is ever considered, she would need to be thoroughly reassessed in the specific skills necessary to be a police officer.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Paulette is exploring alternative careers and considering a return to school. Nothing in the testing counter-indicates this goal. She certainly has the intelligence and verbal skills for college or university courses. Her memory, while not as strong as before, would be adequate. If she does decide to return to school, starting with one or the most two course[s] would be recommended. She will need time to discover how her pain and fatigue and her reduced memory and processing skills will affect her studies. Initially, she will have to allow more time to study and pace herself to accommodate her fatigue. Paulette will be working with the Vocational Counsellor to explore educational possibilities and possible career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Hobson-Underwood, a registered psychologist, first assessed Ms. Joel in May 2001, twenty-four months after the accident and long after November 1999 when Dr. Cameron recommended psychological counselling. Dr. Hobson-Underwood first reported to anyone in relation to her treatment of Ms. Joel some eight months later on January 17, 2002, in a letter to the ICBC Rehabilitation Department. At that time she said the following of Ms. Joel: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Joel continues to struggle with the idea of post-injury permanent limitations, and the associated emotional reactions to these losses.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Joel tended to push herself to exhaustion.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Joel has reduced capacity to deal with environmental stresses because of cognitive and physical limitations post-injury, at a time when there are increased environmental stressors (litigation, financial issues,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She described some post-injury cognitive difficulties, but did not describe the physical limitations of which she spoke. Dr. Hobson-Underwood described the goals of therapy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helping Ms. Joel to continue to adapt, psychologically, to her post injury limitations, and to provide corrective feedback where appropriate in interpersonal interactions. Behavioral indicators that we are on the right track include the initiation of meaningful activities into her life (volunteer work, some hobby) on a regular basis, a decrease in her expectations of herself in terms of daily productivity, increased ability to pace herself, and associated increase in perceived quality of life and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that time, Dr. Hobson-Underwood stated Ms. Joel needed continued therapeutic support, probably weekly, for the next ensuing few months after which frequency could likely be decreased. I find that the emphasis was therapy for brain injury related issues as opposed to psychological issues that were not neurological in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Hobson-Underwood next wrote to ICBC in September 2002 when she stated "I have not seen Ms. Joel much over recent months". No particulars were provided. The only point of significance in the report was Dr. Hobson-Underwood's observation that, "Ms. Joel continues to struggle with her fatigue and deficits, and is increasingly accepting 'what is' in terms of her limitations and changed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Hobson-Underwood wrote again on November 25, 2002 saying she had seen Ms. Joel three times rather than two in the preceding month in order to provide support through Ms. Joel's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next report was that of April 21, 2003 addressed to Ms. Joel's counsel. In that report, Dr. Hobson-Underwood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Joel continues to have great difficulty coming to understand her deficits, although intermittently she says she 'gets it'. This is consistent with my experience with persons with brain injury, in that it is a lengthy (years) and arduous process to find a new identity, life, and sources of satisfaction and self-esteem, after sustaining such debilitating injuries, no matter how well adjusted the person may have been pre-injury.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Hobson-Underwood's final report to counsel was dated July 26, 2004. She stated that the opinions expressed in her April 21, 2003 letter had not changed. The letter contained no detailed description of the number of times Ms. Joel had visited for psychotherapy, but did say that contact continued by telephone while Ms. Joel was in Australia over a period of six months. My overall impression is that Dr. Hobson-Underwood provided limited and intermittent therapy in relation to coping skills associated with a brain injury rather than assessing the need for counselling and treatment in relation to psychological issues unrelated to any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did not tender evidence to contradict the opinions of neuropsychologists or psychologists. The defendants did tender two medical reports in direct evidence: one from Dr. P. Wong, a neurologist and another from Dr. M. Vallance,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Wong examined Ms. Joel at the request of counsel for the defendants on February 17, 2003. At the time he had not been provided with, or at least had not reviewed, Ms. Joel's historical records. He formulated his opinion solely by reference to that which Ms. Joel told him about an accident that occurred approximately three years and 9 months prior to the assessment. He stated his impression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had been in excellent health prior to the MVA of 99/5/22, where she suffered a rather bad case of whiplash injury, but did not appear to have hit her head. She did not exhibit symptoms suggestive of a concussion, but described some symptoms which may have some neurological significance. Subsequently she describes soft tissue symptoms which gradually resolved. There were also some cognitive changes which persist till now. Prior to a neurological diagnosis being made, more information would be necessary to corroborate and to illustrate more clearly her difficulties in order to arrive at a better understanding. Such information would include observations at the scene of the accident by others regarding her behaviour and function, the Emergency record, and other records by the family doctor and specialists. For this writer, there is inadequate details and understanding of the neurological aspects to render an accurate diagnosis. A second report will be made after such a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Wong subsequently reviewed the historical medical reports. Having done so, he stated his conclusions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above review, this writer offers the following opinion on the neurological status following the 99/5/22 MVA:</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significant pre-MVA history of progressive symptoms germane to the understanding of this case.</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MVA caused soft tissue injury. It did not result in any significant neurological impairment or permanent brain injury. In particular it would not have caused injury to the hypothalamus.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Muscle spasms developed a short while later, and became more exaggerated during the long drive home.</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appearance and progression of the neurological and cognitive symptoms were delayed by some time after the MVA, making them unlikely to be caused by the MVA trauma.</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understanding of the neurological history varied widely between different doctors, resulting in different diagnoses. It would be important to ensure that all primary documentation relating to the MVA events have been reviewed for corroboration before diagnosis.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of analgesia side effects has not been considered adequately.</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for the left-sided body symptoms is unclear, but is unlikely to be the MVA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respect, I do not attach much weight to Dr. Wong's opinions. The first was formulated long after the accident without reference to historical records. In my view, in order for the opinion of an expert to assist the Court, it should be based on a consideration of all that is known about a particular case, or the presentation of specific facts from which the opinion is to be derived. The second opinion is inconclusive.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Vallance reviewed the written record, interviewed, and assessed Ms. Joel. I find that of the physicians who have examined her, he has been the one to focus most on the difference between that which Ms. Joel recalled of the periods before and after the accident as opposed to that which she knew as a result of what others had told her. Dr. Vallance concluded that Ms. Joel had a very good, if not complete, recollection of events up to the time of the accident but gaps in memory for a period of less than 24 hours afterwards, a fact which he attributed to a concussion sustained in the accident. He regarded the symptoms described in Dr. Anderson's notes as consistent with a concussion. He stated that he found Dr. Cameron's opinion that Ms. Joel had endured a sustained "significant prolonged amnesia with interrupted memory for the month of June after the accident occurred" to be inconsistent with the records and findings of Dr. Anderson and the history he, Dr. Vallance, had obtained from Ms. Joel. He identified inconsistencies in the findings of Dr. Cameron and Dr. Krieger in that Dr. Cameron reported finding various symptoms at the time of his initial assessment in 1999 that had abated or fully resolved by the time of somewhat later examinations while Dr. Krieger reported the recurrence of those same symptoms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Vallance considered the results of Ms. Joel's examination by psychologists. He remarked that Dr. Crockett, who examined Ms. Joel in January and February 2000, seemed to have found impairments that did not appear to Dr. Vallance to be compatible with the complaints subsequently reported by Ms. Joel.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Vallance referenced the observations of Dr. Ruckman reproduced earlier in these reasons. He expressed his opinion that those test results did not appear to be compatible with the impairments described to him by Ms. Joel as present on a day-to-day basis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Vallance acknowledged Dr. Freeman's opinion, based as it was on acceptance of neurological findings such as those of Dr. Krieger, that Ms. Joel had experienced a traumatic brain injury resulting in a primary impairment in her ability to rapidly process information. Dr. Vallance also referenced Dr. Schmidt's opinion, formulated in July 2001, the substance of which was that Ms. Joel's problems arose from a combination of psychological and neuropsychological factors, the combined impact of which, along with her various physical problems rendered her, in July 2001, unable to pursue gainful employment or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Vallance expressed his opinion that Ms. Joel had sustained a soft tissue injury, the nature, extent and duration of which he properly left for other practitioners to asses, and she had exhibited symptoms such as dizziness, nausea, unsteadiness on her feet, forgetfulness and fatigue as reported to Dr. Anderson which were consistent with a concussion. He continued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is more difficult to understand is the course and development of symptoms over time, particularly when it is suggested that not only did she have a concussion with mild traumatic brain injury or post-concussive symptoms but, in addition to that, focal damage sufficient to produce weakness and sensory changes throughout half of her body. Clearly that is not compatible with a simple concussion. One would have to suppose very extensive damage to her brain, even in the absence of a convincing period of impaired consciousness and negative MRI's and CT scans. MRI's and CT scans can be negative following a concussion but it is less likely that they will be negative following a severe concussion and particularly with focal brain damage in a patient who is heavily symptomatic years later. There also appears to be some inconsistency in the neurological findings in so far as they were present when examined by Dr. Cameron, seemingly not so when examined by Dr. Wong save for some possible sensory change, but again overtly manifest when examined by Dr. Krieger. In any event, I will defer to the neurologists with regard to any focal damage that might have occurred but focal damage to the extent as described by Dr. Krieger, given all of the circumstances, would seem rather unlikely. I have a similar difficulty with the psychological problems in that, if anything, they appear to have become more overt over time, at least early on, but even then, if I understand the neuropsychological testing, her complaints day by day appear to extend beyond what one would expect from the test results.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Having said all of that, there is nothing in what I have read or what she had told me to suggest that she was having any such problems prior to these accidents save possibly that her respiratory problems were greater than she now recalls and she was having a problem with her periods just before the accident, but nothing to suggest that she was having any problems psychologically or in her interpersonal relationships at the time, or that she was performing in any way unsatisfactorily in her work as a police officer. She did express some concerns about the danger of the job and she was thinking of transferring to a small town but these were ordinary life decisions and nothing more than that as far as I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 meantime, I have the greatest difficulty in understanding Ms. Joel's symptoms on the basis of a lasting brain injury but am much more inclined to believe that she had an early mild traumatic brain injury, i.e. concussion, with some post-concussive symptoms that became elaborated over time but on the basis of other factors rather than persistence or worsening of the organic problem itself. Otherwise, it does not seem to hang together well clinically.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 large amount of evidence supports the conclusion that the most significant symptom Ms. Joel currently reports, namely fatigue, results from the exacerbation of pre-existing psychological factors or psychological problems triggered by the accident rather than neurological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Several clinicians who examined Ms. Joel relied on a difference in academic achievement before and after the accident to support the conclusion that she had sustained a neurological injury. She was described by many of the clinicians as one who excelled at high school and so should be expected to excel in later life. Those statements, frequently made without recourse to scholastic records, represent an overstatement of the situation. School records indicate that Ms. Joel performed at grades B, C and C+ in her last year of school in most subjects except Band where she earned an A grade. With respect, her academic performance cannot be described as excellent.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 decline in her musical ability was attributed to the accident. Ms. Joel had been and active band member at school. She was a member of the National Youth Orchestra. While she was praised by many for her work as a young musician, she was unsuccessful in her attempt to gain entry to a music program of her choice at the University of Victoria in 1992. She tried again in 1994 at which time she was offered admission to the bachelor of education program with a minor in music. The offer was less than that for which she had hoped.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1990, Ms. Joel enrolled in a nursing diploma program in Terrace, the community in which she had resided with her family for a period of time. She completed 19 courses and four of six trimesters. She abandoned the program approximately three months before completion, having concluded nursing was not a career she wished to pursue.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Joel then worked as a civilian dispatcher for the RCMP and, from that experience, concluded she wanted to be a police officer. She wrote the RCMP and Vancouver Police Department entrance exams but did not pass. She increased the intensity of her studies and engaged the services of a tutor. She then wrote the exam required by the Delta Police Department and repeated the Vancouver Police Department exam. She passed both and enrolled in the Vancouver Department in November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Joel graduated from the Justice Institute where her performance was at or somewhat below the class average. She was admitted to the Vancouver Police Department as a constable. She rose through the probationary and early ranks to become a Constable, First Class. Her exam result on achieving that rank was below average and, in fact, the lowest mark in her class on that occasion. One of the units of her training as a police officer consisted of marksmanship. She did not do well compared to others in the class. She embarked upon extra individual training and succeeded in the next 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Joel was portrayed by a friend, Detective Constable Susan Kellof - a member of the Vancouver Department who trained with Ms. Joel but had not worked with her on duty and who was consistently at the top of her class - as an excellent police officer who was easy to work with. Some officers with whom she had worked regarded Ms. Joel as a competent or very competent, hard-working, dedicated and enthusiastic officer. Those officers found her report-writing ability to be very good. This favourable view was not shared by other officers to whom Ms. Joel reported and who testified at the trial. Complaints included the observation that Ms. Joel constantly sought and required approbation, had difficulty fitting in with the squads to which she was assigned, and omitted material information from reports she compiled. In sum, reviews of her performance as a police officer were mixed.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April 1999, by which time she had the rank of Constable First Class, Ms. Joel decided to apply for employment with another force, the Nelson Police Department. Constable Hudson, a Vancouver police officer who testified on behalf of the defendant, said that he worked with Ms. Joel during her probationary stage earlier in 1996. He testified that he and Ms. Joel had discussed her application for work with the Victoria Police Department. He testified to his experience that it was most unusual for a member to resign from the Vancouver force in order to pursue employment elsewhere during the probationary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desire to change employers continued to 1999. Ms. Joel explained her decision by reference to her desire to be in a rural environment where she could enjoy the outdoors. Whether she would have been accepted for employment in Nelson is unknown. Constable Bank of the Nelson Police Department had walked the beat with Ms. Joel as part of the Nelson application process. He testified that after doing so, he advised superiors of his view that she would not be a good choice for their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Clinicians relied on Ms. Joel's self-report of diminished capacity to make decisions after the accident as a measure of the extent to which she was affected by a brain injury. There is evidence that her decision-making ability was not significantly impaired if impaired at all. Shortly before the accident, Ms. Joel located a condominium which she wished to purchase to replace the one she owned. The sale of the old unit and the purchase of the new were completed in the spring of 1999, around the time of the accident. Notwithstanding the claim of acquired brain injury, Ms. Joel was able to complete both purchase and sale, undertake the organization and execution of renovations to the newly acquired property, and complete the move from old to new. Although she was assisted by friends in the course of the move, the amount of assistance was not any different from that which friends often provide to one another in the course of such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Joel attempted to return to police work in the summer of 1999 on a part-time basis. The return was ultimately unsuccessful. She has not worked as a police officer since. Upon discharge from the acquired brain injury program at G.F. Strong in August 2000, when it appeared that she would not return to policing duties in Vancouver after the accident, Ms. Joel moved to Calgary, where she pursued a Grade 11 math class at Mount Royal College involving algebra and trigonometry. She testified to difficulties and challenges she faced in the course. Those notwithstanding, she achieved a mark of 98 per cent in the course which represented an A grade described in college material as "excellent - superior performance, showing comprehensive understanding of the subject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Upon completion of the math course, Ms. Joel considered her next move. She thought she should enrol in additional courses. Dr. Cameron advised against that course of action saying she was not ready to do so. When asked by the court why he would discourage Ms. Joel from doing as much as she wished, he offered his opinion that other patients had regressed when they took on more than they could endure. I do not find the concern about possible failure to be a reason to discourage a willing and able individual in the course of recovery from an acquired brain injury. That is particularly so when the individual has been discharged from the brain injury program with the kind of assessment made by clinicians at G.F. Strong, the generally accepted period for recovery is approximately two years, and no therapist watching Ms. Joel's progress had observed anything to suggest that her recovery effort should be restricted because of impaired ability. Discouraging effort on the part of a previously active individual who has shown the tenacity to overcome under-achievement can only reinforce the individual's view that he or she faces severe limitations which, on the basis of the reports of many clinicians in present circumstances, appeared not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Instead of pursuing additional courses and training directed at alternative careers, Ms. Joel sold her condominium in the lower mainland and moved to Victoria. The move made sense. Ms. Joel was an only child, her father was deceased, and she wanted to be closer to her mother who was fighting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After a period of time in Victoria, ICBC provided Ms. Joel with the assistance of a rehabilitation consultant and occupational therapist, Mr. James Bardy. In the spring of 2002, Ms. Joel was encouraged to undertake volunteer work at the Royal British Columbia Museum. After one shift of two hours in the gift shop and another brief attempt at working as a customer representative utilizing the email system, Ms. Joel severed her relationship with the Museum as she and the organization found her involvement with it to be unsatisfactory.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volunteer co-ordinator testified that Ms. Joel reported difficulty focusing because of pain and fatigue and found standing difficult. I find that self-report to be inconsistent with the reports and observations of others in the same and preceding time periods. I find that an inability to perform was not the cause of Ms. Joel's failure to succeed in her role at the Museum.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Later in the spring of 2002, and based on the recommendation of counsellors that she might pursue a career in journalism, Ms. Joel enrolled in a correspondence English literature course. She interrupted the course in July 2002 to go to Calgary for a three-week vacation. Her explanation for the interruption was that she found the course too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evidence of Mr. Bardy indicates that frustration resulting from the difficulty of the course was not the reason she abandoned it. Through the month of May, Ms. Joel was in start-up mode. Mr. Bardy arranged for the acquisition of a computer for her use. He assisted in finding a tutor. A replacement was found when Ms. Joel found it difficult to work with the first. Mr. Bardy testified that as at July 30, Ms. Joel reported things were going well with the course. She advised she was going to go on holiday and take her coursework with her. She intended to be without the assistance afforded by a tutor and computer throughout the holiday. Mr. Bardy understood she would return from vacation and continue with the course. In fact, Ms. Joel returned and quit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may be that the course, equivalent to a first year university course, was difficult for Ms. Joel who had last studied English in Grade 12, some 14 years earlier when she achieved a C+ grade. She had also encountered difficulty with some aspects of report writing as reported by some of her police colleagues. She did not apply herself to the course. Proven inability to perform occasioned by a brain injury did not provide the reason for withdrawal. The course was quite likely very challenging having regard for her grounding in the subject. The prior caution from Dr. Cameron about the possibility of failure might have been a factor. So, too, might have been her tendency to act on impulse as she had done in relation to the nursing program and the pursuit of employment alternatives in very early stages of her policing career. From and after July 2002, Ms. Joel has done little if anything with a view to finding gainful employment. With the advice of Mr. Bardy, the emphasis has been on exercise and recreational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An example of Ms. Joel's tendency to act on impulse is provided by her decision to withdraw from the acquired brain injury program at G.F. Strong in March 2000, in order that she could go to Australia to reunite with friends she had made in her role as an organizer of "Bluey Days", an event successfully developed in Australia by a police officer in that country to raise funds for children afflicted with cancer. The event was imported to Vancouver. Ms. Joel served as co-chairman in the 1998 campaign, a role which she abandoned in 1999 before the accident for reasons that were not fully explained in the evidence, but which appear to have been related to the fact that she found the role very demanding, likely overwhelmingly so, when combined with her police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course of treatment at G.F. Strong in January and February 2000, Ms. Joel expressed anxiety and frustration with the state of affairs. On January 29, 2000, clinical notes which, as I previously noted, were admitted as evidence of the truth of their contents, record that Ms. Joel was "fed up with the constant change of professionals". She was concerned about the lack of explanation surrounding her financial affairs including the continuing receipt of pay cheques and uncertainty about long term disability. The notes record the expression of further frustration on February 7, 2000, stating that she found it hard not knowing what the future held. On February 16, 2000, Ms. Joel stated that she was overwhelmed by all her appointments. On that date she discussed "wanting to run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is certainly easy to understand, better still at the date of trial, Ms. Joel's frustration with appointments and professionals. The catalogue of professionals is extensive: two family physicians; one treating neurologist; two neurologists to whom she was referred for independent medical examinations; one psychiatrist to whom she was referred for an IME; three neuropsychologists; two psychologists; at least two physiotherapists; one or more massage therapists; two occupational therapists; several rehabilitation and vocational therapists; and two lawyers. I have no doubt this list is incomplete. I am not persuaded that the numerous consultations have assisted Ms. Joel. In fact, they may have had an opposite effect. The numerous consultations have produced little in the way of positive results and have caused Ms. Joel to be constantly reminded that she has a brain injury of much greater magnitude than is the case in fact. The words of Gibbs J. in Mythan v. Scott (March 1, 1989), B852140 Vancouver (B.C.S.C.) are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we are dealing largely with intangibles: with cognitive deficiencies; with emotions; with sensitivities; with anxiety; with memory impairment, and the like. And when dealing with these intangibles, and making provision for them, care must be taken to refrain from surrounding the plaintiff with such a cocoon of care and assistance and advice that she has converted from a person who can cope, albeit somewhat inadequately, with assistance, into a person who is a complete and entire dependent. That is to say, her initiative and her willingness to perform useful and self-help functions must not be stifled or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When in Australia in the spring of 2000, Ms. Joel managed personally at a very acceptable level. At various times she was able to snorkel, ride a bike, travel some distance by car on her own, dine out and attend cabarets in the evening, and pursue personal relationships. The evidence of those who saw her in Australia was that she did not appear overly fatigued. She did rest from time to time after outings in which she was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During the visit in 2000, Ms. Joel received no treatment to replace that which she had left behind at G.F. Strong. Whether the enjoyment she says she experienced in Australia short-term would be long-lived given her history with various pursuits and places is questionable.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Joel returned to Australia for three months in the spring of 2004, again without misadventure. Her activities on that occasion were little different from those on the first trip. She has fared quite well when away from the litigation and the plethora of consultants and therapists.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Joel's pre-accident medical history was thought by most who examined her to be unremarkable and therefore supportive of the conclusion that she had suffered a brain injury. A part of her history is very relevant and material in the present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Joel's father committed suicide in tragic circumstances when the family was living in Terrace and she was still of young age. I am satisfied by the evidence that Ms. Joel did not receive sufficient, if any, counselling around the time of the incident. Instead, she and her mother soldiered on with their lives in a most commendable fashion. Ms. Joel lost her mother to cancer in the late summer of 2001. She had been faithful to her mother and her care over the lengthy period of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the summer of 1998, Ms. Joel was required to attend as an officer on duty at the scene of a male suicide in Vancouver. The immediate result was post-traumatic stress disorder. She was required to take time off work. She received timely and appropriate treatment and counselling along with an admonition that a recurrence in other circumstances was not beyond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 final observation that I consider significant in the context of Ms. Joel's post-accident difficulties is that provided by Dr. Hobson-Underwood, a psychologist with whom Ms. Joel consulted in Victoria. As I noted earlier in these reasons, Dr. Hobson-Underwood expressed the opinion that Ms. Joel experienced understandable anxiety as a consequence of the litigation and the uncertainty it entailed.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evidence taken as a whole does not support a finding that Ms. Joel's problem of debilitating fatigue results from a brain injury. I find she sustained a severe whiplash. The evidence also supports the conclusion and I find that Ms. Joel sustained a very mild traumatic brain injury that has not fully resolved. The injury is diffused as opposed to site specific and appears to have affected the axons which transmit information from cell to cell. Processing speed has been affected as a result. The evidence also supports the conclusion and I find that the accident triggered psychological complications that emerged from a pre-existing susceptibility to such complications as a result of personality traits and medical history, or from the stress and anxiety associated with the litigation, the course of treatment, and the constant advice from healers that she was afflicted by a very debilitating brain injury. I find the fatigue presently reported by Ms. Joel is overwhelmingly psychological rather than neurological in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assessment of damages in a case of this kind is particularly difficult. There was plenty of support through the course of treatment and consultation for the proposition that psychological factors were adversely affecting Ms. Joel and should be addressed. That notwithstanding, the only psychological counselling she received was directed at providing coping skills for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Joel advanced her case on the basis of moderate brain injury and whiplash to the exclusion of psychological injury. The defendants defended on the basis that there was no brain injury but a constellation of pre-existing psychological problems that were not caused, materially contributed to, or exacerbated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Ms. Joel has the burden of proving the facts pointing to injury on a balance of probabilities. She has advanced her claim in relation to the past and future impairment of her ability to earn income principally in the context of a brain injury. She did not lead evidence designed to show that, in the event her problems were not found to be primarily physical in nature but rather of a psychological nature, there was a reasonable possibility that the difficulties would continue rather than abating in the short term, medium term, or long-term. The burden in that regard rests with the plaintiff: see Maslen v. Rubenstein </w:t>
      </w:r>
      <w:hyperlink r:id="rId92"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 At paras. 9 through 11 the court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them to end, their existence or continuation must, in my view, be said to have a subjective, or internal, cause. To show that the cause lies in an unlawful act of the defendant, rather than the plaintiff's own choice, the plaintiff must negative that alternative. The resolution of this issue will not involve considerations of mitigation, or lack of mitigation. To hold otherwise, that is to say to place on the defendant the onus of proving that a plaintiff who suffers from a psychological problem had it within his or her own ability to overcome it, would be to require that the defendant, rather than the plaintiff, bear the onus of proof on the primary issue of causation, and would impose on defendants a heavy and unjustifiable burden. If a court could not say whether the plaintiff really desired to be free of the psychological problem, the plaintiff would not, in my view, have established his or her case on the critical issue of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question of mitigation, or failure to mitigate, arises only after causation has thus been established.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court finds that psychological injury has been suffered as a result of unlawful conduct of the defendant which the plaintiff has not the ability to overcome by his or her own inherent resources, the court must then, if mitigation issues are raised, decide whether the defendant has established that by following advise which the plaintiff received or ought to have obtained, the plaintiff could have overcome the problem, or could in future overcome it. The advice might, for instance, be to eliminate treatment, make 'lifestyle changes' or adopt some psychotherapy, physiotherapy or exercise regimen where appropriate remedial measures would resolve the problem, damages can, of course, be awarded only in respect of the period up to the date when, in the estimation of the fact-finder, the problem ought to have been resolved, or ought to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cannot conclude that the defendant should have led evidence of a failure to mitigate given the defence view that pre-accident factors caused the symptoms of which Ms. Joel complains. Because I have concluded that the accident did exacerbate pre-existing susceptibility to psychological difficulty or cause such difficulties to appear, it would be unreasonable to deny Ms. Joel damages of a reasonable amount for such injury. I must attempt to make a reasonable assessment of the likely past and future effect on earning capacity of the injuries as I have found them: whiplash, a very mild traumatic brain injury that has had a discernible effect on processing speed, and psychological problems that have caused fatigue.</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Past wage loss must be proved on the balance of probabilities. Mr. Bruce Carson, an economist with extensive background in the quantification of the effect of various factors on income-earning capacity, estimates that Ms. Joel's loss of income in the period from May 22, 1999 through 2004 ranges from $228,200 to $259,700. The range results from uncertainty about the amount of overtime Ms. Joel would have earned in the period. The estimates make no provision for income that would have been earned had Ms. Joel gradually returned to the workforce beginning in August 2002 and assume continued employment with the Vancouver Police Department had the accident not occurred. The estimates reflect the application of the adjustment contemplated by Hudniuk v. Warkentin </w:t>
      </w:r>
      <w:hyperlink r:id="rId93" w:history="1">
        <w:r>
          <w:rPr>
            <w:rFonts w:ascii="arial" w:eastAsia="arial" w:hAnsi="arial" w:cs="arial"/>
            <w:i/>
            <w:color w:val="0077CC"/>
            <w:sz w:val="20"/>
            <w:u w:val="single"/>
            <w:shd w:val="clear" w:color="auto" w:fill="FFFFFF"/>
            <w:lang w:val="en-US" w:eastAsia="en-US" w:bidi="ar-SA"/>
          </w:rPr>
          <w:t>(2003), 12 B.C.L.R. (4th) 370</w:t>
        </w:r>
      </w:hyperlink>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2003 BCSC 131</w:t>
        </w:r>
      </w:hyperlink>
      <w:r>
        <w:rPr>
          <w:rFonts w:ascii="arial" w:eastAsia="arial" w:hAnsi="arial" w:cs="arial"/>
          <w:color w:val="000000"/>
          <w:sz w:val="20"/>
          <w:lang w:val="en-US" w:eastAsia="en-US" w:bidi="ar-SA"/>
        </w:rPr>
        <w:t>, in relation to income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defendants claim that Ms. Joel was justified in refraining from seeking employment until the death of her mother in 2001. Thereafter, they say, the loss of earned income was not the result of the accident but unrelated factors. The defendants claim that the appropriate measure of damages for past wage loss is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have found that the brain injury sustained by Ms. Joel was very mild in nature. At the same time, I am satisfied it affected Ms. Joel's ability to process information to the extent that, on the balance of probabilities, she was and will be unable to resume employment as a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am not persuaded on any view of the evidence that Ms. Joel is unable to pursue gainful employment in some other capacity. In that regard, I am mindful of the opinions of occupational therapists, vocational therapists, neurologists and psychologists who tendered evidence on behalf of Ms. Joel to the effect that she was competitively unemployable. The most recent opinions are more than a year old. Only Dr. Kyi updated his opinion to a date closer to trial. The update consisted of a telephone conversation with Ms. Joel, a self-report, and no interview. I afford the update very little weight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am not persuaded by the opinions on employability generally because they were premised on the existence of a brain injury of a magnitude that I have found is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have found that the accident caused and materially contributed to psychological difficulties that an individual of different personality might not have experienced. Alternatively, the accident exacerbated a pre-existing susceptibility to psychological dysfunction thereby adversely affecting Ms. Joel's functional capacity post-accident for a period of time. That said, she did not pursue the English correspondence course with the tenacity she had demonstrated when faced with challenges in other aspects of her life as when resorting to tutoring to improve her performance on police admission exams, or the improvement of her marksmanship in the course of her police work, or working to achieve an outstanding mark in the Math 11 course she pursued in Calgary. She gave up and abandoned the English course. The brain injury that slightly impaired processing speed did not cause her to act as she did. A combination of personality, anxiety and distress associated with the inability to return to police work, and the absence of counselling to address a constellation of psychological problems contributed to her ultimate decision to abandon course work of any kind and resort instead to exercise and maintenance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observed Ms. Joel as she gave evidence over a period of five days. At the outset her answers to questions were imprecise and rambling. When I asked her to listen to questions asked of her and to provide direct answers she responded by doing so effectively over the remainder of her examination and cross-examination. In the course of cross-examination on more than one occasion, she was able to identify and recall discrepancies between present suggestions made to her by counsel and those made in the course of preceding questions. Overall, Ms. Joel did not appear to be overwhelmed by the process or the questions asked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Joel acted reasonably in an attempt to rehabilitate herself up to August 2002. The abandonment of occupational rehabilitation efforts at that time was unreasonable. By that point, however, the fact that she was not working her way back into the workforce was the result of the course of treatment focused on a brain injury to the exclusion of other problems. As a matter of law, it cannot be said that the defendant should be responsible for all of the loss resulting from Ms. Joel's refusal to return to work of some kind after August 2002. Regardless of the work she might have pursued, she would not likely have earned the amount of income she would have earned as a police officer absent the accident and the return would have been gradual, a process recommended by G.F. Strong at the time of discharge from the acquired brain injury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assessment of damages under this heading, as with any other, is just that: an assessment as opposed to a mathematical calculation. In all of the circumstances, I conclude that a reasonable assessment of the loss occasioned by the impairment of earning capacity up to the date of trial is $200,000, an amount that reflects the adjustment contemplated by the directions contained in Hudniuk, supra, the fact that her return to the workforce would have been gradual, and the fact that return to work as a police officer was improbable.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questions to be addressed in relation to the impairment of future earning capacity were described in Brown v. Golaily </w:t>
      </w:r>
      <w:hyperlink r:id="rId9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and approved by the Court of Appeal in Kwei v. Bosclair </w:t>
      </w:r>
      <w:hyperlink r:id="rId95"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at p. 399 as follows: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been rendered less capable overall from earning income from all types of employment?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marketable or attractive as an employee to potential employers?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lost the ability to take advantage of all job opportunities which might otherwise have been open to her, had she not been injured?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have previously stated my findings that while she is not totally disabled, Ms. Joel's injury precludes a return to police work and psychological factors are the primary impediment to her return to work of some kind. In the absence of evidence from the plaintiff suggesting that the psychological difficulties are permanent and cannot be overcome, it is reasonable to assess the impairment of future earning capacity on the basis that with appropriate and concentrated psychological counselling, which the evidence persuades me she has not received to date, the problems can be resolved whereupon Ms. Joel can pursue a worthwhile and productive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other lines of work, Ms. Joel may never enjoy the earning potential of a police officer. At the same time, I am burdened by the lack of evidence about earnings that might be anticipated from a variety of other occupations that would draw on Ms. Joel's skills accumulated in the course of an almost-completed nursing program, her musical interests and ability, her interest in and aptitude for recreation and fitness, and her police work and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assessment of the impairment of future earning capacity must reflect the contingencies that Ms. Joel may not have pursued her career of law enforcement to retirement, pre-existing personality and psychological characteristics such as those that contributed to post traumatic stress disorder resulting from her attendance at the scene of a suicide, may have affected her ability to function as a police officer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Carson estimated the present value of Ms. Joel's career earnings as a police office retiring at age 60 to be amount of $1,352,184 with no allowance for overtime, $1,514,400 with an 12% allowance for overtime, and $1,730,800 with an allowance of 28% for overtime. He made his calculations by reference to maximum annual base income of $74,544. He made no provision for the possibility of promotion but estimated that the present value of the career earnings that would result from promotion at a point in the future would approximate $39,300. Mr. Carson estimated the present value of annual wage loss in the amount of $1,000 from 2004 to retirement at age 60 to be the sum of $18,569.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It is reasonable to assume the reintroduction to work that should now occur will also be gradual. Thereafter, it is not unreasonable to assume that Ms. Joel will find employment that will approach but not equal her earnings potential as a police officer. The spread may approach 20%. Were that to be the case, the present value of the loss, without any allowance for contingencies, would approximate $280,000. After allowing for the contingencies to which I have earlier referred and the likelihood of a gradual return to the work force, I consider that the sum of $250,000 represents a reasonable measure of the value of the impairment of Ms. Joel's future earning capacity from a combination of the brain injury and the possible residual effect of her psychological problems.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Joel claims damages of $747,000 as the cost of future care. Home support services account for approximately $547,000 of the total. The need is claimed because of the fatigue Ms. Joel experiences as a result of a brain injury. I have previously stated my finding that the very mild nature of the brain injury sustained by Ms. Joel does not account for the fatigue she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2000, therapists at G.F. Strong observed Ms. Joel as she performed housekeeping tasks including the preparation of meals with the assistance of recipes. The therapists concluded she was then able to follow the recipe, improvise and engage in conversation as she did so. In 2003, another therapist retained by counsel concluded her ability to shop and prepare food was limited. The competing observations cannot be reconciled. In my assessment of the situation, the assessment at G.F. Strong is more reliable and representative of reality. There is nothing to explain why any diminution in performance in the period from 2000 to 2003 should be attributed to a head injury as opposed to some unrelated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At the same time, some allowance for home support is reasonable because such support has been provided in the past and it would be unreasonable to immediately curtail, rather than gradually diminish, reliance upon such support. I assess the sum of $10,000 as a reasonable allowance for home support which I expect to diminish and ultimately cease over a period of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Joel has not received the kind of psychological counselling she requires, undoubtedly for the reason that practitioners relied on opinions that her reported difficulties were the result of a brain injury. Such counselling is required. I award the sum of $20,000 for that purpose.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tendered evidence of expenses claimed to have been incurred as a result of the accident from its occurrence to the date of trial. Ms. Joel testified that she would not have incurred the expenses had she not been involved in the motor vehicle accidents. The total claimed is $47,166.72 comprised of amounts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1150"/>
        <w:gridCol w:w="1359"/>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clothing</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3,001.34</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882"/>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Rehabilitation costs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12.76</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405"/>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Massage Therapy</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19,245.61</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4"/>
        <w:gridCol w:w="2718"/>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Home care</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7,328.74</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1673"/>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Chiropractic treatments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237.95</w:t>
            </w:r>
          </w:p>
        </w:tc>
        <w:tc>
          <w:tcPr>
            <w:tcW w:w="419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and taxis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402.90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359"/>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Occupational therapy management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2,868.75</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Miscellaneous: MRI and travel</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5,452.89</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Amounts recoverable as special damages are those that may reasonably be regarded as having been necessarily occasioned by the accident. Amounts incurred by choice, rather than necessity, reasonably viewed, are not recoverable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Expenses of $9,148.93 were incurred for massage therapy up to November 2002. The other expenses claimed were incurred after that date. The evidence is that massage therapy is of little therapeutic value in the context of the injuries sustained in this case. That is particularly the case given my finding that Ms. Joel could and should have been taking steps to enter the workforce by the fall of 2002. The course of care and consultation provided Ms. Joel may have made some amount of massage therapy appropriate but the total of $19,245.61 is unreasonable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While Ms. Joel complained of cold, I am not persuaded that symptom resulted from the accident for reasons I have previously stated. Moreover, Ms. Joel would have had clothing needs of some sort had the accidents not occurred. No amount is recoverable for the cost of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Physiotherapy and chiropractic costs were minor and might reasonably be regarded as appropriate given the management of Ms. Joel's health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Home care costs were incurred on an ongoing basis as a result of recommendations made by a rehabilitation and occupational therapist in the course of case management. But for the involvement of the therapist in the original recommendation, I would not have regarded such costs to have been reasonably incurred. Included in the total of costs were amounts paid to Ms. MacDonald when Ms. Joel was at school in Calgary, friends with whom she stayed when in Australia in 2004, and friends with whom she stayed in Richmond, B.C. and in Chetwynd on a visit there in July 2004. None of those costs can reasonably be regarded as having been incurred because of injury sustained in either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None of the other costs can be said to have been reasonably necessary given the nature, extent and severity of Ms. Joel's injuries. In the result, I assess special damages in the amount of $10,500.</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Counsel for Ms. Joel submits that the range of non-pecuniary damages for a moderate traumatic brain injury is $100,000 to $150,000. Counsel for the defendants submits that the appropriate award for the whiplash injury acknowledged to have been sustained by Ms. Joel is $75,000. The plaintiff's characterization of the injury as a moderate traumatic brain injury overstates the extent of that injury as I have found it to be and diminishes the significance of the whiplash injury. The defendant's characterization of the injury as one of whiplash only does not correspond to the evidence and my finding that more was involved. Neither side suggested an appropriate range for a mild or very mild traumatic brain injury accompanied by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am satisfied that the serious whiplash injury fully resolved over a period of six to nine months. Some detriment associated with the brain injury persists and will persist in the future and interfere with Ms. Joel's ability to enjoy all aspects of life as she knew it. She will not be able to pursue her career as a police officer. She will not experience the enjoyment and satisfaction she would likely have derived from such a career. It is reasonable to expect that with the finalization of the litigation, the removal of the anxiety associated with the extensive course of consultation and assessment experienced over a period of four years from the date of the first accident, and the opportunity to pursue counselling directed at dealing with the psychological issues rather than being restricted to providing and reinforcing coping techniques in respect of a brain injury, the fatigue will abate to a manageable level, if not entirely. I consider the amount of $110,000 to be an appropriate measure of non-pecuniary damages for pain and suffering and the loss of amenities and enjoyment of life caused or materially contributed to by the accidents in which Ms. Joel was involved. I allocate $10,000 of that award to the accident of December 17,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summary, I have assessed damages of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614"/>
        <w:gridCol w:w="1673"/>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3"/>
        <w:gridCol w:w="1359"/>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Impairment of future</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earning capacity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250,000</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3"/>
        <w:gridCol w:w="1150"/>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614"/>
        <w:gridCol w:w="1359"/>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10,500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614"/>
        <w:gridCol w:w="156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and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parties may speak to costs and any other matters that may remain to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0"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John Campbell Law Corp. v. Strata Plan 1350, [2001] B.C.J. No. 2037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 2117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2037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1342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C.C.L.T. (3d) 226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46 R.P.R. (3d) 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108 A.C.W.S. (3d) 930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Campbell Law Corporation, plaintiff, and The Owners, Strata Plan 1350,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1"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4" w:name="Keywords_3"/>
      <w:bookmarkEnd w:id="114"/>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Whether the defendant took reasonable care — Strict liability — Application of rule in Rylands v. Fletcher — Dangerous things or activities — What constitutes unnatural use — Pollution of water with sewage.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5" w:name="Case Summary_3"/>
            <w:bookmarkEnd w:id="1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John Campbell Law Corp. for summary judgment pursuant to Rule 18A of the British Columbia Supreme Court Rules. Campbell owned a strata unit in the building owned by the defendant, Strata Plan 1350. Campbell suffered damages to the unit as a result of sewage effluent backing up from a blocked sewer pipe. The roots of a tree from a neighbouring property had invaded Strata's sewer pipe. Campbell argued that Strata was strictly liable as a result of a statutory duty to maintain and repair the common property including the sewer pipe. In the alternative, Campbell claimed against Strata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Campbell also relied upon the doctrine set out in Rylands v. Fletcher. Strata denied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6" w:name="Holdings of Court_3"/>
            <w:bookmarkEnd w:id="11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the legislation imposed a duty on Strata to repair and maintain its common property, including a sewer pipe, the obligation must be interpreted with a test of reasonableness. Strata could not be held responsible because it acted reasonably in the maintenance of the common facilities. Prior to this incident, Strata had no problems with the sewer lines. Therefore, it was not reasonable to assume that it should have had a regular maintenance schedule to inspect the sewer pipes. Strata could not have anticipated that roots from a neighbouring tree would have entered the sewer line. The obligation to maintain and repair imposed on Strata by legislation was not intended to impose a strict or absolute liability. Strata was not negligent in its inspection regime or in its response to the problem once discovered. Applying the rule in Rylands v. Fletcher, the Court considered whether in establishing strict liability, there had been non- natural use of Strata's land and escape. Public sewage and drainage systems were an indispensable part of the infrastructures necessary to support urban life. The use of pipes for domestic water and sewage removal did not constitute a non-natural use.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7" w:name="Legislation Cited_4"/>
      <w:bookmarkEnd w:id="1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2"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Condominium Act, s. 34(1)(d), 116.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8" w:name="Counsel_4"/>
      <w:bookmarkEnd w:id="1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3"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W.S. Johnson, for the plaintiff. K.T. Bhandar,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9" w:name="Judgment_4"/>
      <w:bookmarkEnd w:id="119"/>
      <w:r>
        <w:pict>
          <v:line id="_x0000_s1054" style="position:absolute;z-index:2518169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0" w:name="MELNICK J."/>
            <w:bookmarkEnd w:id="120"/>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for judgment pursuant to Rule 18A for damages to the plaintiff's strata unit resulting from sewage effluent backing up into the unit as a result of a blocked sewer pipe. It is the position of the plaintiff that the defendants are strictly liable for this damage, in particular due to an alleged statutory duty to maintain the sewer system mandated by what was then s. 116 of the Condominium Act, </w:t>
      </w:r>
      <w:hyperlink r:id="rId103" w:history="1">
        <w:r>
          <w:rPr>
            <w:rFonts w:ascii="arial" w:eastAsia="arial" w:hAnsi="arial" w:cs="arial"/>
            <w:i/>
            <w:color w:val="0077CC"/>
            <w:sz w:val="20"/>
            <w:u w:val="single"/>
            <w:shd w:val="clear" w:color="auto" w:fill="FFFFFF"/>
            <w:lang w:val="en-US" w:eastAsia="en-US" w:bidi="ar-SA"/>
          </w:rPr>
          <w:t>R.S.B.C. 1996, c. 64</w:t>
        </w:r>
      </w:hyperlink>
      <w:r>
        <w:rPr>
          <w:rFonts w:ascii="arial" w:eastAsia="arial" w:hAnsi="arial" w:cs="arial"/>
          <w:color w:val="000000"/>
          <w:sz w:val="20"/>
          <w:lang w:val="en-US" w:eastAsia="en-US" w:bidi="ar-SA"/>
        </w:rPr>
        <w:t xml:space="preserve">. In the alternative, the plaintiff claims against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also relies on the doctrine in Rylands v. Fletcher (1866), L.R. 1 Ex. 265. The defendants deny liability. The application is to determine liability only.</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the owner of a strata unit, one of a number of such units in Strata Plan 1350. The defendants own an eight story reinforced concrete and steel building with two underground parking levels at 819 - 821 Burdett Avenue in Victoria. The first three floors are occupied by commercial premises. The plaintiff's unit, which is the only one located on the first floor, is occupied by John Campbell, a lawyer, out of which he operates his law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September 28, 2000, the sewer pipe, the common property of the defendants, became blocked by a tree root or tree roots at a point just before it entered the City of Victoria sewer main. The tree roots were apparently from a tree located on neighbouring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Prior to September 28, 2000, the defendants had not experienced any difficulty with their sewer line being blocked nor had they taken any specific measures to check to see that the sewer line was free from any obstruction. There had been no indication that there was any such obstruction. The defendants did not then have a policy of regularly inspecting their sewer lines.</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principal argument is that the defendants are strictly liable as a result of a statutory duty to maintain and repair their common property, including the sewer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effective time, Section 116 of the Condominium Act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116 A strata corporation must do all of the following: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control, manage and administer the common property, common facilities or other assets of the corporation for the benefit of all owners;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 in a state of good and serviceable repair and properly maintain the fixtures and fittings, including elevators, swimming pool and recreational facilities, if any, and other apparatus and equipment used in connection with the common property, common facilities or other assets of the corporation;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 and repair, including renewal where reasonably necessary, pipes, wires, cables, chutes and ducts existing in the parcel and capable of being used in connection with the enjoyment of more than one strata lot or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Strata Property Act,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xml:space="preserve"> (which has currently replaced the Condominium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"common asset" means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property held by or on behalf of the strata corporation,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"common property" means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pipes, wires, cables, chutes, ducts and other facilities for the passage or provision of water, sewage, drainage, gas, oil, electricity, telephone, radio, television, garbage, heating and cooling systems, or other similar devices,...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the strata corporation must repair and maintain common property and common assets.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may, by bylaw, make an owner responsible for the repair and maintenance of</w:t>
      </w:r>
    </w:p>
    <w:p>
      <w:pPr>
        <w:numPr>
          <w:numId w:val="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limited common property that the owner has a right to use, or</w:t>
      </w:r>
    </w:p>
    <w:p>
      <w:pPr>
        <w:numPr>
          <w:numId w:val="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property other than limited common property only if identified in the regulations and subject to prescribed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"Maintain" is defined in Black's Law Dictionary, in part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"...acts of repairs and other acts to prevent decline, lapse or cessation from existing state or condition"; "hold or keep in an existing state or condition"; "keep from falling, declining or ceasing"; "keep in good order"; "keep in proper condition"; "keep in repair"; "preserve from lapse, decline, failure, or cessation".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Section 34(1)(d) of the Condominium Act provides: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strata corporation must do all of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 in a state of good and serviceable repair and properly maintain common property, common facilities and assets of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central question here is whether a standard of reasonableness should be read into the duties imposed on a strata corporation by the legislation referred to above or whether it imposes strict or absolute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evidence in this application is to the effect that strata councils or condominium associations do not usually practice flushing sewer pipes unless a problem has first presented itself. The defendants maintain that sewer backups are rare occurrences that can only be responded to in an emergency fashion. In this case, the invasion of the defendants' sewer pipe by roots of a tree from neighbouring property could not have been reasonably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Wright v. Strata Plan No. 205 </w:t>
      </w:r>
      <w:hyperlink r:id="rId104" w:history="1">
        <w:r>
          <w:rPr>
            <w:rFonts w:ascii="arial" w:eastAsia="arial" w:hAnsi="arial" w:cs="arial"/>
            <w:i/>
            <w:color w:val="0077CC"/>
            <w:sz w:val="20"/>
            <w:u w:val="single"/>
            <w:shd w:val="clear" w:color="auto" w:fill="FFFFFF"/>
            <w:lang w:val="en-US" w:eastAsia="en-US" w:bidi="ar-SA"/>
          </w:rPr>
          <w:t>(1996), 20 B.C.L.R. (3d) 343</w:t>
        </w:r>
      </w:hyperlink>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[1996] B.C.J. No. 381</w:t>
        </w:r>
      </w:hyperlink>
      <w:r>
        <w:rPr>
          <w:rFonts w:ascii="arial" w:eastAsia="arial" w:hAnsi="arial" w:cs="arial"/>
          <w:color w:val="000000"/>
          <w:sz w:val="20"/>
          <w:lang w:val="en-US" w:eastAsia="en-US" w:bidi="ar-SA"/>
        </w:rPr>
        <w:t xml:space="preserve">, (B.C.S.C.), aff'd </w:t>
      </w:r>
      <w:hyperlink r:id="rId105" w:history="1">
        <w:r>
          <w:rPr>
            <w:rFonts w:ascii="arial" w:eastAsia="arial" w:hAnsi="arial" w:cs="arial"/>
            <w:i/>
            <w:color w:val="0077CC"/>
            <w:sz w:val="20"/>
            <w:u w:val="single"/>
            <w:shd w:val="clear" w:color="auto" w:fill="FFFFFF"/>
            <w:lang w:val="en-US" w:eastAsia="en-US" w:bidi="ar-SA"/>
          </w:rPr>
          <w:t>(1998), 43 B.C.L.R. (3d) 1</w:t>
        </w:r>
      </w:hyperlink>
      <w:r>
        <w:rPr>
          <w:rFonts w:ascii="arial" w:eastAsia="arial" w:hAnsi="arial" w:cs="arial"/>
          <w:color w:val="000000"/>
          <w:sz w:val="20"/>
          <w:lang w:val="en-US" w:eastAsia="en-US" w:bidi="ar-SA"/>
        </w:rPr>
        <w:t xml:space="preserve"> (B.C.C.A.), Mr. Justice Drake of this court interpreted the obligation of the strata corporation to repair and maintain as one that must be interpreted with a test of reasonableness. At paras. 29 and 30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As appears from the record of its proceedings the Council was at all times alive to its repair and maintenance responsibilities; and throughout the period of the plaintiff's ownership of her strata lot took steps to remedy the defects which she drew to its attention. The Council even went so far as to interview and take advice from the plaintiff's friend Mr. Rose as to what should be done. In the end, the work of Van-Isle Waterproofing &amp; Restoration Services Ltd. evidently having been found wanting, the Council sought estimates and had more extensive work done by Caporale Construction Ltd. As I have indicated, much expense was incurred.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defendants are not insurers. Their business, through the Strata Council, is to do all that can reasonably be done in the way of carrying out their statutory duty: and therein lies the test to be applied to their actions. Should it turn out that those they hire to carry out work fail to do so effectively, the defendants cannot be held responsible for such as long as they acted reasonably in the circumstances: and in this instance I have to say that the defendants did just that. They cannot be found to have been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this case, the evidence is clear that the defendants acted reasonably in their maintenance of their common facilities. Admittedly, they did not have a maintenance schedule to regularly inspect the sewer pipes. However, I cannot say that was in any way unreasonable given that they had not, until September 28, 2000, had any problem with their sewer lines. It could not reasonably have been anticipated that roots from a neighbour's tree would have found and entered the sewer line near the point where that line entered the City's sewer 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the authority of City of Port Alberni v. Moyer, </w:t>
      </w:r>
      <w:hyperlink r:id="rId106" w:history="1">
        <w:r>
          <w:rPr>
            <w:rFonts w:ascii="arial" w:eastAsia="arial" w:hAnsi="arial" w:cs="arial"/>
            <w:i/>
            <w:color w:val="0077CC"/>
            <w:sz w:val="20"/>
            <w:u w:val="single"/>
            <w:shd w:val="clear" w:color="auto" w:fill="FFFFFF"/>
            <w:lang w:val="en-US" w:eastAsia="en-US" w:bidi="ar-SA"/>
          </w:rPr>
          <w:t>(1999), 65 B.C.L.R. (3d) 352</w:t>
        </w:r>
      </w:hyperlink>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[1999] B.C.J. No. 423</w:t>
        </w:r>
      </w:hyperlink>
      <w:r>
        <w:rPr>
          <w:rFonts w:ascii="arial" w:eastAsia="arial" w:hAnsi="arial" w:cs="arial"/>
          <w:color w:val="000000"/>
          <w:sz w:val="20"/>
          <w:lang w:val="en-US" w:eastAsia="en-US" w:bidi="ar-SA"/>
        </w:rPr>
        <w:t>, Mr. Justice Burnyeat, in dismissing an appeal from the Provincial Court, took the view, in circumstances where the City of Port Alberni had adopted a policy and an operational regime of inspecting 10% of its sewer lines a year, that Ms. Moyer should not bear the consequences of the administrative decision not to have sooner inspected her line just because she was the only person being serviced by it. He found that the cost of the damage in Ms. Moyer's home due to sewer backup from blocked line should be borne equally by all of the citizens of the City of Port Alberni, not just Ms. Moyer.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this case, there was no evidence to suggest that other strata corporations commonly make regular inspections of their sewer pipes, whether or not a problem has occurred, nor was there any evidence that the defendants had a policy or plan to inspect their sewer pipes which they failed to carry out. There is, of course, no evidence as to when the roots entered the sewer pipes so it cannot be said at what point prior to September 28, 2000 an inspection would have detected the presence of the roots and thus avoided the problem. In that sense, therefore, it cannot be said that any action, or lack of action, taken by the defendants in this case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If a test of the reasonableness of their action (or inaction) should be applied to interpreting their statutory duty to maintain and repair, I conclude that the defendants have demonstrated that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However, there is another aspect to the argument of the plaintiff. Namely, that while it may have been reasonable for the defendants not to have inspected their sewer line in all of the circumstances; nevertheless, given their statutory obligation to maintain and repair, the cost of their not having adopted a policy to inspect the sewer line should be borne equally by everyone in the strata development, not just by the plaintiff. That is, it is a calculated risk not to go to the expense of inspecting to try to catch a problem as remote and unusual as the incursion of a neighbour's tree roots into a sewer line before it possibly causes damage. The cost to a strata corporation of inspecting on a sufficiently frequent basis to try to pre-empt any possible problem, no matter how remote, would be prohibitive. However, the cost of taking that decision must necessarily include absorbing the cost of any damage that occurs to anyone as a consequence, no matter how remote or unanticipated the source of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do not believe that the obligation to maintain and repair imposed upon strata councils by the above legislation was intended to impose so strict a duty or responsibility. I conclude that if a strata corporation such as the defendant has taken all reasonable steps to inspect and maintain its common facilities, consistent with the practice of other such associations generally, they should not be held liable for damages arising as a result of any strict statutory liability nor should they be put in the position of acting as an insurer by default. The defendants have thus discharged the burden they had to inspect and maintain.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Following on what I have stated above, I also find that the defendants were not negligent, either in their inspection regime or in their response to the problem of the flooding of the plaintiff's strata unit with effluent, once it was discovered. They acted promptly to call a plumber and deal with the situation in a timely way. I accept that it was necessary to remove the contents of the plaintiff's unit and that the 22 days taken for repair of the defendants' building, including the unit of the plaintiff, was not untoward.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Rylands v. Fletcher</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Rule in Rylands v. Fletcher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case of Rylands v. Fletcher the defendant's underground water reservoir caused an old mine shaft owned by the plaintiff to collapse. Although the court found that Mr. Rylands and Mr. Horrocks (the defendants) were not negligent, they were still strictly liable for damages. Mr. Justice Blackburn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think that the true rule of law is, that the person who for his own purposes brings on his lands and collects and keeps there anything likely to do mischief if it escapes, must keep it in at his peril, and, if he does not do so, he is prima facie answerable for all the damage which is the natural consequence of his escape. He can excuse himself by showing that the escape was owing to the plaintiff's default; or perhaps that the escape was the consequence of vis major, or the act of God; but as nothing of this sort exists here, it is unnecessary to inquire what excuse would be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This case established strict liability only in the limited circumstances stated above. It has been followed in Canada, and the test that Canadian courts use to establish strict liability in these situations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must prove that: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made a non-natural use of his land;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brought onto his land something which was likely to do mischief if it escaped;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substance in question escaped; and</w:t>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was caused to the plaintiff's property (or person) as a result of the escape.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Within the courts, the test has actually been further simplified and, in order to establish strict liability, the courts must consider: a) whether there has been non-natural use of the defendant's land, and b) if there escape.</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Rule in Rylands v. Fletcher Followed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There has been some concern expressed within common law jurisdictions that the Rylands v. Fletcher principle is no longer applicable in tort law. Great Britain has subsumed it within nuisance (Cambridge Water Co. Ltd. v. Eastern Counties Leather plc, [1994] 2 A.C. 264) and in Australia, the High Court abolished the rule of Rylands v. Fletcher by "absorbing" it into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(Burnie Port Authority v. General Jones Pty. Ltd., [1994] 120 A.L.R. 42). Therefore, it is necessary to briefly consider whether Rylands v. Fletcher is still considered to be 'good law'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Allen M. Linden in Canadian Tort Law 6th ed. (Vancouver, Butterworths, 1997) at page 501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Rylands v. Fletcher has had its ups and downs. Its role has been enlarged and reduced on several occasions. Our courts cannot decide whether they like or dislike Rylands v. Fletcher. Their attitude is schizoid - shifting from hostility to hospitality and then back again. Professor Fridman has described the rise and fall of Rylands v. Fletcher, but it has not fallen at all. It may not have risen as some hoped it would. It may have been wounded in the United Kingdom and largely ignored in the United States. It has certainly been misunderstood everywhere. Nevertheless, it is not dead, but alive and well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opinion was also expressed in materials prepared for a Continuing Legal Education seminar on April 11, 2001. Christopher Harvey, QC, of Fasken Martineau Dumoulin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rule in Rylands v. Fletcher is seldom the sole basis of a claim in Canadian litigation, it nevertheless appears frequently in pleadings alongside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Moreover, there continues to be statutory references to the rule in Rylands v. Fletcher. The rule is widely accepted as being part of Canadian law. As such, only the legislature can legitimately abolish it. This does not mean that the Supreme Court of Canada will breathe life into it, but the Court should at least allow it to continue to exist as a branch of nuisance law. The rule will likely continue to be pleaded by Canadian lawyers, with little harm and some possible benefits in a few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Rylands v. Fletcher is still judicially considered in Canada. Therefore, it is necessary to consider the plaintiff's Rylands v. Fletcher claim.</w:t>
      </w:r>
      <w:r>
        <w:rPr>
          <w:rFonts w:ascii="arial" w:eastAsia="arial" w:hAnsi="arial" w:cs="arial"/>
          <w:sz w:val="20"/>
          <w:lang w:val="en-US" w:eastAsia="en-US" w:bidi="ar-SA"/>
        </w:rPr>
        <w:cr/>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There Been a Non-Natural Use of Land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has brought an action to the Supreme Court of British Columbia because his office, which is part of Strata Plan 1350, was flooded with water and sewage. It has been accepted as fact that this flooding occurred because a pipeline on the building's property was blocked by the roots of a neighbouring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issue that arises here is whether use of domestic water and sewage pipelines constitutes a 'non-natural use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courts in Canada interpret 'non-natural use of land' according to the explanation provided in Rickards v. Lothian, [1913] A.C. 263 (C.A.). At p. 280 Lord Moulton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every use to which land is put that brings into play that principle. It must not merely be the ordinary use of land or such a use as is proper for the general benefit of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Therefore, in Remedies in Tort (Canada: Carswell, 1987) at 21-20, the authors have concluded that non-natural must mean: special, exceptional, unusual or out of the ordinary. They further state that the courts not only look to the object or activity in isolation, but to the place and manner in which it was maintained and its relation to its surroundings. Time, place, circumstance and purpose are also material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is also important, when considering the term 'non-natural use', to refer to the analysis that the courts employed in Stachniak v. Thorhild (County No.7), </w:t>
      </w:r>
      <w:hyperlink r:id="rId107" w:history="1">
        <w:r>
          <w:rPr>
            <w:rFonts w:ascii="arial" w:eastAsia="arial" w:hAnsi="arial" w:cs="arial"/>
            <w:i/>
            <w:color w:val="0077CC"/>
            <w:sz w:val="20"/>
            <w:u w:val="single"/>
            <w:shd w:val="clear" w:color="auto" w:fill="FFFFFF"/>
            <w:lang w:val="en-US" w:eastAsia="en-US" w:bidi="ar-SA"/>
          </w:rPr>
          <w:t>[2001] A.J. No. 423</w:t>
        </w:r>
      </w:hyperlink>
      <w:r>
        <w:rPr>
          <w:rFonts w:ascii="arial" w:eastAsia="arial" w:hAnsi="arial" w:cs="arial"/>
          <w:color w:val="000000"/>
          <w:sz w:val="20"/>
          <w:lang w:val="en-US" w:eastAsia="en-US" w:bidi="ar-SA"/>
        </w:rPr>
        <w:t>. In this case, Mr. Justice Skitso referred to John G. Fleming's interpretation of strict liability. He states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courts, as noted by Fleming, The Law of Torts, 6th ed., at p. 308, have, on the basis of this qualification, interpreted the notion of non-natural user as a flexible concept that is capable of adjustment to the changing patterns of social existence.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 11 In the evolution of the patterns of social existence since the formulation of the rule in Rylands v. Fletcher, one of the most salient developments has been the ever-increasing degree of involvement by all levels of government in land planning. The point is nicely put by Williams in his article "Non-natural Use of Land" (1973), 32 Cambridge L.J. 310, at p. 319, when he argues that the existence of planning authorities which ensure that virtually all development of land occurs pursuant to planning decisions "puts the question of land use into a completely different context to that in which Messrs. Rylands and Horrocks built their little reservoir".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 12 Public sewerage and drainage systems are an indispensable part of the infrastructures necessary to support urban life, and it is clear in my mind that the storm sewer in question here was constructed pursuant to planning decisions of the very sort alluded to in Williams' comments. As such, it would be difficult to conceive of a user of land falling more squarely within those that may be said to be ordinary and proper for the general benefit of the community; see the obiter remarks of Lord Denning to the same effect in Pride of Derby and Derbyshire Angling Association Ltd. v. British Celanese Lat., [1953] Ch. 149, at p. 189.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 13 In summary, if, as argued by Prosser at p. 147 of his essay "The Principle of Rylands v. Fletcher," in Selected Topics on the Law of Torts, the touchstone for the application of the rule in Rylands v. Fletcher is to be damage occurring from a user inappropriate to the place where it is maintained (Prosser cites the example of the pig in the parlour), I would hold that the rule cannot be invoked where a municipality or regional authority, acting under the warrant of statute and pursuant to a planning decision taken in good faith, constructs and operates a sewer and storm drain system in a given locality.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 14 To characterize a given use of land as appropriate to that locality does not, however, provide an answer to the question whether damage occasioned by that activity constitutes a nuisance.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[See Tock, supra, at pp. 1189-1190]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clear, according to that analysis, that the Rylands v. Fletcher principle is not a fixed concept. Rather, it is an evolving rule that reflects the constant changes that occur in modern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light of this general definition and interpretation of 'non-natural use', it is probable that the use of pipes for domestic water and sewage removal does not constitute a non-natural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are cases within several jurisdictions, spanning over a century, that deal with strict liability in situations involving water and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1871, Carstairs and Another v. Taylor (1871), L.R. 6 Ex. 217, held that the owner defendant was not liable for water flooding into the plaintiff's ground floor of a warehouse. This was a situation where the defendant had made gutters to collect water on the roof of the building and a rat ate a hole in one of the gutters. The water entered the warehouse and soaked the plaintiff's goods. The court considered a claim under the Rylands v. Fletcher principle, but held that the conducting of the water in these particular circumstances was for the benefit of the plaintiffs as well. The Court further held that the plaintiffs had consented to the collection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Ross v. Fedden and Another (1972), L.R. 7 Q.B. 661, the plaintiffs occupied the ground floor of a building for business purposes, and the defendants were on the second floor. Water escaped from the defendant's water closet to the plaintiff's property and caused damage to his property. The pipe had been clogged with paper. The court held that, although the defendants were using the water closet for their own purposes, this was not a circumstance of unusual use within a building. They were not liable to the plaintiff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Ballard v. Tomlinson (1885), 29 Ch.D. 115 (C.A.) (hereinafter Ballard), the defendant's well, which was contaminated with sewage, leaked and polluted the plaintiff's well. The Court held that the defendant was liable because "if a man who chooses to put filth on his own land he must take care not to let it escape on to his neighbour's land." This case can be distinguished from the case at bar, because the defendant in Ballard was actually allowing sewage to leak into the common areas of both wells. The defendant took no measures to safely transport the sewage away from the water sources. The court found that this method of discharging sewage was not a natural use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Blake v. Woolf, [1898] 2 Q.B. 426, the cistern of a fourth floor occupant leaked into the premises of the tenant on the ground floor. The court found that the defendant was not liable for damages suffered by the plaintiff because the plaintiff had assented to the water being on the premises, and the defendant had also made an effort to hire a plumber to fix the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Canada, the Rylands v. Fletcher doctrine has primarily been applied to situations where there has been flooding of municipality property (storm drains, sewage lines, water mains). In Lyon v. Shelbourne </w:t>
      </w:r>
      <w:hyperlink r:id="rId108" w:history="1">
        <w:r>
          <w:rPr>
            <w:rFonts w:ascii="arial" w:eastAsia="arial" w:hAnsi="arial" w:cs="arial"/>
            <w:i/>
            <w:color w:val="0077CC"/>
            <w:sz w:val="20"/>
            <w:u w:val="single"/>
            <w:shd w:val="clear" w:color="auto" w:fill="FFFFFF"/>
            <w:lang w:val="en-US" w:eastAsia="en-US" w:bidi="ar-SA"/>
          </w:rPr>
          <w:t>(1981), 130 D.L.R. (3d) 307</w:t>
        </w:r>
      </w:hyperlink>
      <w:r>
        <w:rPr>
          <w:rFonts w:ascii="arial" w:eastAsia="arial" w:hAnsi="arial" w:cs="arial"/>
          <w:color w:val="000000"/>
          <w:sz w:val="20"/>
          <w:lang w:val="en-US" w:eastAsia="en-US" w:bidi="ar-SA"/>
        </w:rPr>
        <w:t xml:space="preserve"> (Ont. Co. Ct.), the plaintiff was suing the municipality because sewage was escaping from a municipal sewer and flooding the householder's basement. The court followed Smeaton v. Ilford Corp., [1954] 1 All E.R. 923 at 933, which states that the collection of sewage is a non-natural user. However, this case is distinguishable from the general trend that has appeared in Canadian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Tock v. St.John's Metro Area Bd., </w:t>
      </w:r>
      <w:hyperlink r:id="rId109"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(1989), 64 D.L.R. (4th) 620</w:t>
        </w:r>
      </w:hyperlink>
      <w:r>
        <w:rPr>
          <w:rFonts w:ascii="arial" w:eastAsia="arial" w:hAnsi="arial" w:cs="arial"/>
          <w:color w:val="000000"/>
          <w:sz w:val="20"/>
          <w:lang w:val="en-US" w:eastAsia="en-US" w:bidi="ar-SA"/>
        </w:rPr>
        <w:t xml:space="preserve"> (hereinafter Tock) considered to be the primary case in Canada with reference to water accumulating in a public sewage system. Mr. Justice La Forest (with Chief Justice Dickson concurring) held that a public sewage system was not a non-natural use of the land. McKellar v. Saint John (City) </w:t>
      </w:r>
      <w:hyperlink r:id="rId110" w:history="1">
        <w:r>
          <w:rPr>
            <w:rFonts w:ascii="arial" w:eastAsia="arial" w:hAnsi="arial" w:cs="arial"/>
            <w:i/>
            <w:color w:val="0077CC"/>
            <w:sz w:val="20"/>
            <w:u w:val="single"/>
            <w:shd w:val="clear" w:color="auto" w:fill="FFFFFF"/>
            <w:lang w:val="en-US" w:eastAsia="en-US" w:bidi="ar-SA"/>
          </w:rPr>
          <w:t>(1997), 189 N.B.R. (2d) 49</w:t>
        </w:r>
      </w:hyperlink>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(1997), 27 M.V.R. (3d) 191</w:t>
        </w:r>
      </w:hyperlink>
      <w:r>
        <w:rPr>
          <w:rFonts w:ascii="arial" w:eastAsia="arial" w:hAnsi="arial" w:cs="arial"/>
          <w:color w:val="000000"/>
          <w:sz w:val="20"/>
          <w:lang w:val="en-US" w:eastAsia="en-US" w:bidi="ar-SA"/>
        </w:rPr>
        <w:t xml:space="preserve"> followed the reasoning found in Tock. In this case, Mr. Justice McLellan discussed the principle of Rylands v. Fletcher with reference to water usage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in Rylands v. Fletcher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[para7] It can be argued that the City may be strictly liable for the damage caused by the escape of the water from the City main. The leading case of strict liability for the escape of water is Rylands v. Fletcher (1868), L.R. 3 H.L. 330, aff'g (1866), 3 L.R.H.L. 330.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[para8] Such an argument based on the rule in Rylands v. Fletcher was made before the Supreme Court of Canada in a case involving overflow of water from a municipal sewage system in Tock v. St. John's Metropolitan Area Board, </w:t>
      </w:r>
      <w:hyperlink r:id="rId109"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[para9] In Tock the Supreme Court rejected that argument. Mr. Justice La Forest, who was agreed with on this point by all except one of the other judges, wrote at pages 1188-90: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Gushue J.A., writing for a unanimous court, held that the rule in Rylands v. Fletcher had no application. In his view, the provisioning of an indispensable service such as a water and sewer system could not be held to constitute a non-natural user of land within the meaning of the rule.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the Court of Appeal held that the trial judge erred in holding that the construction of a sewer system would trigger the application of the rule in Rylands v. Fletcher on the ground that the sewer constituted a non-natural user of land. I share the conclusion of the Court of Appeal.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definitive statement of the meaning to be ascribed to Lord Cain's qualification in Rylands v. Fletcher, at pp. 338-39, that strict liability would only attach in respect of "non-natural user" of land is generally agreed to be that of Moulton L.J. in Rickards v. Lothian, [1913] A.C. No. 263, at p. 280. Moulton L.J. thus expressed himself:</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is not every use to which land is put that brings into play that principle. It must be some special use bringing with it increased danger to others, and must not merely be the ordinary use of the land or such a use as is proper for the general benefit of the community.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Public sewerage and drainage systems are an indispensable part of the infrastructures necessary to support urban life. As such, it would be difficult to conceive of a user of land falling more squarely within those that may be said to be ordinary and proper for the general benefit of the community; see the obiter remarks of Lord Denning to the same effect in Pride of Derby and Derbyshire Angling Association Ld. v. British Celanese Ld., [1953] Ch 149, at p. 189.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[para10] Although Tock was a sewer flooding case, Rickards v. Lothian dealt with the escape of water from a domestic system. Lord Moulton also said in Rickards at pages 281-282: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provision of a proper supply of water to the various parts of a house is not only reasonable, but has become, in accordance with modern sanitary views, an almost necessary feature of town life. It is recognized as being so desirable in the interests of the community that in some form or other it is usually made obligatory in civilized countries. Such a supply cannot be installed without causing some concurrent danger of leakage or overflow. It would be unreasonable for the law to regard those who install or maintain such a system of supply as doing so at their own peril, with an absolute liability for any damage resulting from its presence even when there has been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[para11] In my view the speech of Lord Moulton in Rickards applies to a leak from a municipal water main as well as to a leak or an overflow from a water system within a house. Also I think the words of Mr. Justice La Forest in Tock apply to a leak from a water main as much as to a flood from a sewerage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[para12] By following previous decisions or precedents of higher courts and other legal authorities, courts decide similar cases the same. In that way the law remains equal, predictable and common.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[para13] Following Tock and Rickards, in my opinion the City is not liable under the rule in Rylands v. Fletcher for damage caused to Mr. McKellar by the escape of water from a water 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This argument, written by Mr. Justice McLellan, properly summarizes Canadian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Toms v. Duma, </w:t>
      </w:r>
      <w:hyperlink r:id="rId111" w:history="1">
        <w:r>
          <w:rPr>
            <w:rFonts w:ascii="arial" w:eastAsia="arial" w:hAnsi="arial" w:cs="arial"/>
            <w:i/>
            <w:color w:val="0077CC"/>
            <w:sz w:val="20"/>
            <w:u w:val="single"/>
            <w:shd w:val="clear" w:color="auto" w:fill="FFFFFF"/>
            <w:lang w:val="en-US" w:eastAsia="en-US" w:bidi="ar-SA"/>
          </w:rPr>
          <w:t>[1970] O.J. No. 150</w:t>
        </w:r>
      </w:hyperlink>
      <w:r>
        <w:rPr>
          <w:rFonts w:ascii="arial" w:eastAsia="arial" w:hAnsi="arial" w:cs="arial"/>
          <w:color w:val="000000"/>
          <w:sz w:val="20"/>
          <w:lang w:val="en-US" w:eastAsia="en-US" w:bidi="ar-SA"/>
        </w:rPr>
        <w:t xml:space="preserve"> (Ont. S.C.), Mr. Justice Moorhouse followed Blackburn &amp; George on Torts. He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the plaintiff can establish liability under the rule [Rylands v. Fletcher] on the part of the defendant he must show that the defendant put his land to a non-natural use." Blackburn &amp; George on Torts, 2nd ed., page 159.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at page 160 -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"Growing ordinary non-poisonous trees, erecting houses, bringing gas, electricity or water on land for the purpose of an ordinary domestic supply: these are examples of natural use of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[para17] The plaintiffs have not here shown non-natural user of land and they are not entitled to succeed on the basis of the rule in Rylands v. Fletcher. That leaves for consideration only the question of nuisance. [own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Wayen Diners Ltd. v. Hong Yick Tong Ltd. </w:t>
      </w:r>
      <w:hyperlink r:id="rId112" w:history="1">
        <w:r>
          <w:rPr>
            <w:rFonts w:ascii="arial" w:eastAsia="arial" w:hAnsi="arial" w:cs="arial"/>
            <w:i/>
            <w:color w:val="0077CC"/>
            <w:sz w:val="20"/>
            <w:u w:val="single"/>
            <w:shd w:val="clear" w:color="auto" w:fill="FFFFFF"/>
            <w:lang w:val="en-US" w:eastAsia="en-US" w:bidi="ar-SA"/>
          </w:rPr>
          <w:t>(1987), 35 D.L.R. (4th) 722</w:t>
        </w:r>
      </w:hyperlink>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[1987] B.C.J. No. 223</w:t>
        </w:r>
      </w:hyperlink>
      <w:r>
        <w:rPr>
          <w:rFonts w:ascii="arial" w:eastAsia="arial" w:hAnsi="arial" w:cs="arial"/>
          <w:color w:val="000000"/>
          <w:sz w:val="20"/>
          <w:lang w:val="en-US" w:eastAsia="en-US" w:bidi="ar-SA"/>
        </w:rPr>
        <w:t>, Judge Oppal L.J.S.C. (as he then was) stated (in obiter, however, since the case was decided according to a nuisance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suggestion that in the case at bar the defendants' use of their land was unnatural. Moreover the defendants had no knowledge that the water pipe had burst because the pipe was covered by a concrete floor and there was no reasonable means of knowledge of the burst pipe. In my view it would impose an onerous duty or burden upon an occupier of land if he has to ensure that nothing done or admitted by him of which he has no knowledge and could not reasonably expected to have any knowledge of causes injury to or interferes with the enjoyment of the property of another. [own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This case has been followed in British Columbia (see Theberge v. Zittlau, </w:t>
      </w:r>
      <w:hyperlink r:id="rId113" w:history="1">
        <w:r>
          <w:rPr>
            <w:rFonts w:ascii="arial" w:eastAsia="arial" w:hAnsi="arial" w:cs="arial"/>
            <w:i/>
            <w:color w:val="0077CC"/>
            <w:sz w:val="20"/>
            <w:u w:val="single"/>
            <w:shd w:val="clear" w:color="auto" w:fill="FFFFFF"/>
            <w:lang w:val="en-US" w:eastAsia="en-US" w:bidi="ar-SA"/>
          </w:rPr>
          <w:t>[2000] B.C.J. No. 2198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the statement of defence and the defendant's chambers brief, the defendants referred to two Canadian cases: Kinaschuk v. Day, </w:t>
      </w:r>
      <w:hyperlink r:id="rId114" w:history="1">
        <w:r>
          <w:rPr>
            <w:rFonts w:ascii="arial" w:eastAsia="arial" w:hAnsi="arial" w:cs="arial"/>
            <w:i/>
            <w:color w:val="0077CC"/>
            <w:sz w:val="20"/>
            <w:u w:val="single"/>
            <w:shd w:val="clear" w:color="auto" w:fill="FFFFFF"/>
            <w:lang w:val="en-US" w:eastAsia="en-US" w:bidi="ar-SA"/>
          </w:rPr>
          <w:t>[1986] B.C.J. No 959</w:t>
        </w:r>
      </w:hyperlink>
      <w:r>
        <w:rPr>
          <w:rFonts w:ascii="arial" w:eastAsia="arial" w:hAnsi="arial" w:cs="arial"/>
          <w:color w:val="000000"/>
          <w:sz w:val="20"/>
          <w:lang w:val="en-US" w:eastAsia="en-US" w:bidi="ar-SA"/>
        </w:rPr>
        <w:t xml:space="preserve"> (B.C.S.C.) (hereinafter Kinaschuk) and Bloom v. Creed, </w:t>
      </w:r>
      <w:hyperlink r:id="rId115" w:history="1">
        <w:r>
          <w:rPr>
            <w:rFonts w:ascii="arial" w:eastAsia="arial" w:hAnsi="arial" w:cs="arial"/>
            <w:i/>
            <w:color w:val="0077CC"/>
            <w:sz w:val="20"/>
            <w:u w:val="single"/>
            <w:shd w:val="clear" w:color="auto" w:fill="FFFFFF"/>
            <w:lang w:val="en-US" w:eastAsia="en-US" w:bidi="ar-SA"/>
          </w:rPr>
          <w:t>[1937] O.R. 626</w:t>
        </w:r>
      </w:hyperlink>
      <w:r>
        <w:rPr>
          <w:rFonts w:ascii="arial" w:eastAsia="arial" w:hAnsi="arial" w:cs="arial"/>
          <w:color w:val="000000"/>
          <w:sz w:val="20"/>
          <w:lang w:val="en-US" w:eastAsia="en-US" w:bidi="ar-SA"/>
        </w:rPr>
        <w:t xml:space="preserve"> (Ont. C.A.) (hereinafter Bloom). Both of these cases can clearly be distinguished on their facts. Kinaschuk, dealt with the defendant having left a hose running in their yard and Bloom, was a case where there was an explosion of gas. However, both cases did affirm that, generally, the ordinary use of water in private residences is natural and not inherently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From the above analysis, I conclude that the defendants' use of a sewer pipe within their building and passing through their land and an adjoining easement to the sewer main was not a non-natural use of their land. For that reason, I conclude that the plaintiff's claim under the rule in Rylands v. Fletcher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view of this conclusion, it is not necessary for me to consider the other elements of proof required to successfully make out a claim of this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Although the defendants presented an argument to a theoretical claim in nuisance, I need not address this topic as no claim in nuisance was advanced.</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For the reasons stated, the claim of the plaintiff is dismissed. The defendants are entitled to their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5"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Kirk v. Executive Flight Centre Fuel Services, [2017] B.C.J. No. 836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6-9, October 6 and 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2016; written submissions, March 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S135927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836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726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George Kirk, as Representative Plaintiff, Plaintiff, and Executive Flight Centre Fuel Services and Her Majesty the Queen in Right of the Province of British Columbia as represented by the Minister of Transportation and Infrastructure and the Minister of Forests, Lands and Natural Resource Operations, Danny LaSante and Transwest Helicopters Ltd., Defendants, and Danny LaSante, Executive Flight Centre Fuel Services Ltd., Her Majesty the Queen in Right of the Province of British Columbia as represented by the Minister of Transportation and Infrastructure and the Minister of Forests, Lands and Natural Resource Operations and Transwest Helicopters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6"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1" w:name="Keywords_4"/>
      <w:bookmarkEnd w:id="121"/>
      <w:r>
        <w:rPr>
          <w:rFonts w:ascii="arial" w:eastAsia="arial" w:hAnsi="arial" w:cs="arial"/>
          <w:b/>
          <w:color w:val="000000"/>
          <w:sz w:val="20"/>
          <w:lang w:val="en-US" w:eastAsia="en-US" w:bidi="ar-SA"/>
        </w:rPr>
        <w:t xml:space="preserve">Civil litigation — Civil procedure — Parties — Class or representative actions — Certification — Application by the plaintiffs to certify the action as a class proceeding allowed — The action arose from a spill of jet fuel into Lemon Creek in British Columbia — The plaintiffs claimed against the defendants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nuisance, and the rule in Rylands v Fletcher — It was not plain and obvious that the plaintiffs' action was bound to fail — There was an identifiable class and the common issues had the potential to reasonably advance the litigation — A class proceeding was the preferable proceeding — Kirk qualified as the representative plaintiff and the litigation plan was reasonable.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Parties — Representative or class actions — Application by the plaintiffs to certify the action as a class proceeding allowed — The action arose from a spill of jet fuel into Lemon Creek in British Columbia — The plaintiffs claimed against the defendants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nuisance, and the rule in Rylands v Fletcher — It was not plain and obvious that the plaintiffs' action was bound to fail — There was an identifiable class and the common issues had the potential to reasonably advance the litigation — A class proceeding was the preferable proceeding — Kirk qualified as the representative plaintiff and the litigation plan was reasonable.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2" w:name="Case Summary_4"/>
            <w:bookmarkEnd w:id="1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certify the action as a class proceeding. The action arose from a spill of jet fuel into Lemon Creek, located in the Slocan Valley of British Columbia. The defendant Transwest Helicopters was engaged to provide helicopter services for the extinguishment of a forest fire. The defendant Executive Flight Centre Fuel Services was hired to provide fuel services for the helicopters. The spill occurred when a fuel tanker truck fell down an embankment and overturned, spilling approximately 35,000 litres of helicopter fuel into Lemon Creek. The spilled fuel spread throughout connecting waterways and led to an evacuation order and a "do not use water" order being issued. The plaintiffs claimed against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and the rule in Rylands v Fletcher. The plaintiffs alleged that the fuel evaporated into an airborne vapor which contained benzene, a human carcinogen. They also alleged that the sludge that remained in the waterways contained various heavy metal additives and stabilizers that were some of the most toxic substances known. The plaintiffs proposed that the class be defined as all persons who owned, leased, rented, or occupied real property within the evacuation zone on July 26, 2013, except for the defendants and third parties. The defendants took the position that there were a variety of deficiencies which made it plain and obvious that the claim could not succeed. The defendants further submitted that the class definition was inadequate and the individual issues of each class member predominated over the common issues. The defendants also took the position that Kirk was not an appropriate representative plaintiff.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3" w:name="Holdings of Court_4"/>
            <w:bookmarkEnd w:id="12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plain and obvious that the plaintiffs' action was bound to fail on the basis of the law of economic loss. The plaintiffs' pleadings with respect to the action in nuisance adequately set out assertions which met the non-trivial and unreasonable interference threshold. With respect to the action under Rylands v Fletcher, the pleadings established a cause of action against all of the defendants. The Court was satisfied that there was an identifiable class, and the common issues had the potential to reasonably advance the litigation. A class proceeding was the preferable proceeding. Kirk qualified as the representative plaintiff, and the litigation plan filed was reasonable.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4" w:name="Legislation Cited_5"/>
      <w:bookmarkEnd w:id="1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7"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123" w:history="1">
        <w:r>
          <w:rPr>
            <w:rFonts w:ascii="arial" w:eastAsia="arial" w:hAnsi="arial" w:cs="arial"/>
            <w:i/>
            <w:color w:val="0077CC"/>
            <w:sz w:val="20"/>
            <w:u w:val="single"/>
            <w:shd w:val="clear" w:color="auto" w:fill="FFFFFF"/>
            <w:lang w:val="en-US" w:eastAsia="en-US" w:bidi="ar-SA"/>
          </w:rPr>
          <w:t>R.S.B.C. 1996, c. 50, s. 1</w:t>
        </w:r>
      </w:hyperlink>
      <w:r>
        <w:rPr>
          <w:rFonts w:ascii="arial" w:eastAsia="arial" w:hAnsi="arial" w:cs="arial"/>
          <w:color w:val="000000"/>
          <w:sz w:val="20"/>
          <w:lang w:val="en-US" w:eastAsia="en-US" w:bidi="ar-SA"/>
        </w:rPr>
        <w:t>, s. 4(1), s. 4(2), s. 7(a)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Commercial Transport Act, </w:t>
      </w:r>
      <w:r>
        <w:rPr>
          <w:rFonts w:ascii="arial" w:eastAsia="arial" w:hAnsi="arial" w:cs="arial"/>
          <w:i/>
          <w:color w:val="000000"/>
          <w:sz w:val="20"/>
          <w:lang w:val="en-US" w:eastAsia="en-US" w:bidi="ar-SA"/>
        </w:rPr>
        <w:t>R.S.B.C. 1996, c. 58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Emergency Program Act, </w:t>
      </w:r>
      <w:hyperlink r:id="rId124" w:history="1">
        <w:r>
          <w:rPr>
            <w:rFonts w:ascii="arial" w:eastAsia="arial" w:hAnsi="arial" w:cs="arial"/>
            <w:i/>
            <w:color w:val="0077CC"/>
            <w:sz w:val="20"/>
            <w:u w:val="single"/>
            <w:shd w:val="clear" w:color="auto" w:fill="FFFFFF"/>
            <w:lang w:val="en-US" w:eastAsia="en-US" w:bidi="ar-SA"/>
          </w:rPr>
          <w:t>R.S.B.C. 1996, c. 111, s. 12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Environmental Management Act, </w:t>
      </w:r>
      <w:r>
        <w:rPr>
          <w:rFonts w:ascii="arial" w:eastAsia="arial" w:hAnsi="arial" w:cs="arial"/>
          <w:i/>
          <w:color w:val="000000"/>
          <w:sz w:val="20"/>
          <w:lang w:val="en-US" w:eastAsia="en-US" w:bidi="ar-SA"/>
        </w:rPr>
        <w:t>S.B.C. 2003, c. 53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Fisheries Act, </w:t>
      </w:r>
      <w:hyperlink r:id="rId125" w:history="1">
        <w:r>
          <w:rPr>
            <w:rFonts w:ascii="arial" w:eastAsia="arial" w:hAnsi="arial" w:cs="arial"/>
            <w:i/>
            <w:color w:val="0077CC"/>
            <w:sz w:val="20"/>
            <w:u w:val="single"/>
            <w:shd w:val="clear" w:color="auto" w:fill="FFFFFF"/>
            <w:lang w:val="en-US" w:eastAsia="en-US" w:bidi="ar-SA"/>
          </w:rPr>
          <w:t>R.S.C. 1985, c. F-14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Transport of Dangerous Goods Act, </w:t>
      </w:r>
      <w:r>
        <w:rPr>
          <w:rFonts w:ascii="arial" w:eastAsia="arial" w:hAnsi="arial" w:cs="arial"/>
          <w:i/>
          <w:color w:val="000000"/>
          <w:sz w:val="20"/>
          <w:lang w:val="en-US" w:eastAsia="en-US" w:bidi="ar-SA"/>
        </w:rPr>
        <w:t>R.S.B.C. 1996, c. 458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Transportation Act, </w:t>
      </w:r>
      <w:r>
        <w:rPr>
          <w:rFonts w:ascii="arial" w:eastAsia="arial" w:hAnsi="arial" w:cs="arial"/>
          <w:i/>
          <w:color w:val="000000"/>
          <w:sz w:val="20"/>
          <w:lang w:val="en-US" w:eastAsia="en-US" w:bidi="ar-SA"/>
        </w:rPr>
        <w:t>S.B.C. 2004, c. 44</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5" w:name="Counsel_5"/>
      <w:bookmarkEnd w:id="1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8"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D.M. Rosenberg, Q.C., D.M. Aaron, G. Kosakoski, D. Moriarty.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Executive Flight Centre Fuel Services Ltd.: R. Morasiewicz, M.J. Percival, K. Sherriff.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J.L. Maxwell, T.S. Saunders.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Transwest Helicopters Ltd.: B.C. Poston, I. Knapp.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Danny LaSante: V.R.K. Orchard,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6" w:name="Judgment_5"/>
      <w:bookmarkEnd w:id="126"/>
      <w:r>
        <w:pict>
          <v:line id="_x0000_s1059"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Paragraph</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419"/>
        <w:gridCol w:w="79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77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 BACKGROUND</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7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III.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523"/>
        <w:gridCol w:w="78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w:t>
            </w:r>
          </w:p>
        </w:tc>
        <w:tc>
          <w:tcPr>
            <w:tcW w:w="768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IV. DISCUSSION</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68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78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768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78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w:t>
            </w:r>
          </w:p>
        </w:tc>
        <w:tc>
          <w:tcPr>
            <w:tcW w:w="768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Parties' Positions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Determination on Disclosure of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78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w:t>
            </w:r>
          </w:p>
        </w:tc>
        <w:tc>
          <w:tcPr>
            <w:tcW w:w="768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Is there an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78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w:t>
            </w:r>
          </w:p>
        </w:tc>
        <w:tc>
          <w:tcPr>
            <w:tcW w:w="768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Parties' Positions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Determination on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78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w:t>
            </w:r>
          </w:p>
        </w:tc>
        <w:tc>
          <w:tcPr>
            <w:tcW w:w="768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 Do the claims raise common issues and do they predominate over individual issues? 97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Is a class proceeding the preferable procedure for the fair and efficient resolution of the common issues?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120</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Parties' Positions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Determination of Class Proceeding as Preferable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8"/>
        <w:gridCol w:w="773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129</w:t>
            </w:r>
          </w:p>
        </w:tc>
        <w:tc>
          <w:tcPr>
            <w:tcW w:w="757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 Do the questions of law or fact common to the members of the class predominate over questions affecting only individual members? 137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Do a significant number of class members have a valid interest in individually controlling the prosecution of separate actions?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139</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Will this class proceeding involve claims that are or have been the subject of any other proceedings?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142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Are other means of resolving the claims less practical or less efficient?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145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Would the administration of this class proceeding create greater difficulties than those likely to be experienced if relief was sought by other means? 151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Is there an appropriate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8"/>
        <w:gridCol w:w="773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152</w:t>
            </w:r>
          </w:p>
        </w:tc>
        <w:tc>
          <w:tcPr>
            <w:tcW w:w="757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8"/>
        <w:gridCol w:w="773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w:t>
            </w:r>
          </w:p>
        </w:tc>
        <w:tc>
          <w:tcPr>
            <w:tcW w:w="757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7" w:name="D.M. MASUHARA J."/>
            <w:bookmarkEnd w:id="127"/>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deal with an application that the within action be certified as a class proceeding. The action arises from a spill of approximately 35,000 litres of Jet A1 fuel into Lemon Creek, which is in the Slocan Valley of the West Kootenay region of British Columbia, on July 26,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spill occurred as a result of a forty-foot fuel tanker truck overturning into the watercourse. The tanker truck driven by the defendant Mr. LaSante was travelling down a forest service road which ran alongside the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LaSante was in search of a staging area for refueling helicopters involved in fighting a forest fire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spill led to an evacuation order being issued by the Interior Health Authority requiring people to vacate initially an area within a three-kilometre radius of the spill site and an area of three kilometres on either side of the affected waterways from an upstream point of the fuel spill site to a downstream point of the confluence of the Slocan and Kootenay Rivers. The evacuation area is defined in the application as the Evacuation Zone. The order affected approximately 2,776 properties. A "do not use water" order was also issued by the Interior Health Authority for residents who drew water from Lemon Creek, Slocan River and Kootenay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classifies the event as a "single incident mass tort" and seeks compensation and claims against all of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and the rule in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(1868), L.R. 3 H.L. 330 (U.K.).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proposes that the class be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who owned, leased, rented, or occupied real property on July 26, 2013 within the Evacuation Zone (as defined in the Amended Notice of Civil Claim) except for the defendants and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relief claimed in this action includes: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Joint and several damages, in the aggregate, against each and all of the Defendants for loss of use and enjoyment of property in an amount to be determined by the Court;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Joint and several damages, in the aggregate, against each and all of the Defendants for diminution in property value in an amount to be determined by the Court;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Exemplary and/or punitive damages, in the aggregate, relating to the Defendants' negligent acts and omissions leading up to the Spill and the exacerbation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each point blame at the other and seek indemnification from one another and/or apportionment of the loss amongst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separate proposed class action has been commenced for personal injuries from the spill; however, I am advised that in that action no steps have been taken at this point in seeking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also advises that there are proceedings before environmental tribunals regarding responsibility for the spill and criminal proceedings are also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Following the conclusion of the application hearing, counsel brought to my attention </w:t>
      </w:r>
      <w:r>
        <w:rPr>
          <w:rFonts w:ascii="arial" w:eastAsia="arial" w:hAnsi="arial" w:cs="arial"/>
          <w:i/>
          <w:color w:val="000000"/>
          <w:sz w:val="20"/>
          <w:lang w:val="en-US" w:eastAsia="en-US" w:bidi="ar-SA"/>
        </w:rPr>
        <w:t>Anderson et al. v. Manitoba et al.</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2017 MBCA 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leave to appeal to SCC, </w:t>
      </w:r>
      <w:hyperlink r:id="rId127" w:history="1">
        <w:r>
          <w:rPr>
            <w:rFonts w:ascii="arial" w:eastAsia="arial" w:hAnsi="arial" w:cs="arial"/>
            <w:i/>
            <w:color w:val="0077CC"/>
            <w:sz w:val="20"/>
            <w:u w:val="single"/>
            <w:shd w:val="clear" w:color="auto" w:fill="FFFFFF"/>
            <w:lang w:val="en-US" w:eastAsia="en-US" w:bidi="ar-SA"/>
          </w:rPr>
          <w:t>[2017] S.C.C.A. No. 111</w:t>
        </w:r>
      </w:hyperlink>
      <w:r>
        <w:rPr>
          <w:rFonts w:ascii="arial" w:eastAsia="arial" w:hAnsi="arial" w:cs="arial"/>
          <w:color w:val="000000"/>
          <w:sz w:val="20"/>
          <w:lang w:val="en-US" w:eastAsia="en-US" w:bidi="ar-SA"/>
        </w:rPr>
        <w:t xml:space="preserve">, requested. More recently, our Court of Appeal issued </w:t>
      </w:r>
      <w:r>
        <w:rPr>
          <w:rFonts w:ascii="arial" w:eastAsia="arial" w:hAnsi="arial" w:cs="arial"/>
          <w:i/>
          <w:color w:val="000000"/>
          <w:sz w:val="20"/>
          <w:lang w:val="en-US" w:eastAsia="en-US" w:bidi="ar-SA"/>
        </w:rPr>
        <w:t>Baker v. Rendle</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2017 BCCA 72</w:t>
        </w:r>
      </w:hyperlink>
      <w:r>
        <w:rPr>
          <w:rFonts w:ascii="arial" w:eastAsia="arial" w:hAnsi="arial" w:cs="arial"/>
          <w:color w:val="000000"/>
          <w:sz w:val="20"/>
          <w:lang w:val="en-US" w:eastAsia="en-US" w:bidi="ar-SA"/>
        </w:rPr>
        <w:t>, and submissions were requested and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July 2013, the Province of British Columbia (the "Province") became aware of a wildfire on Perry Ridge in the Slocan Valley and commenced firefighting operations. In this effort, the defendant Transwest Helicopters Ltd. ("Transwest") was engaged to provide helicopter services for the extinguishment operation. The defendant Executive Flight Centre Fuel Services ("Executive") was hired to provide fuel services for the helicopters.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or about July 25, 2013, the Province began to conduct its extinguishment operation from a staging area, a gravel pit (the "Staging Area") located approximately 40 metres off of Highway 6 on Uris Road (the "Gravel Pit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July 26, 2013, Mr. LaSante, an employee of Executive, was driving a large tanker truck containing Jet A1 Fuel for delivery to the Staging Area. He turned off of Highway 6 on to Lemon Creek Forest Road. It was a wrong turn. This road is south of the intersection of the Gravel Pit Road and Highway 6, runs parallel to Lemon Creek and does not connect to the Staging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some point, Mr. LaSante turned the tanker truck around to return back down Lemon Creek Forest Road. In the course of the turn or as he travelled back the tanker truck fell down the embankment and overturned, spilling approximately 35,000 litres of helicopter fuel into Lemon Creek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spilled fuel spread throughout connecting waterways. Lemon Creek flows into the Slocan River, which in turn flows into the Kootenay River (the "Affected Waterways").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LaSante was able to exit the tanker truck and walked down the road to Highway 6 to flag down a vehicle in order to get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Once news of the Spill was communicated to officials, the provincial health medical officer and the Regional District of Central Kootenay (the "RDCK") ordered evacuation of local residents on the evening of July 26, 2013 (the "Evacuation"). The Evacuation was ordered pursuant to s. 12 of the </w:t>
      </w:r>
      <w:r>
        <w:rPr>
          <w:rFonts w:ascii="arial" w:eastAsia="arial" w:hAnsi="arial" w:cs="arial"/>
          <w:i/>
          <w:color w:val="000000"/>
          <w:sz w:val="20"/>
          <w:lang w:val="en-US" w:eastAsia="en-US" w:bidi="ar-SA"/>
        </w:rPr>
        <w:t>Emergency Program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111</w:t>
      </w:r>
      <w:r>
        <w:rPr>
          <w:rFonts w:ascii="arial" w:eastAsia="arial" w:hAnsi="arial" w:cs="arial"/>
          <w:color w:val="000000"/>
          <w:sz w:val="20"/>
          <w:lang w:val="en-US" w:eastAsia="en-US" w:bidi="ar-SA"/>
        </w:rPr>
        <w:t>, due to immediate danger to life and safety (the "Evacuation Order"). Highway 6 in the vicinity of Lemon Creek was also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Evacuation Order covered the area depicted on the map attached as Appendix A to the Amended Notice of Civil Claim (the "Evacuation Zone"). It included the following areas:</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area within a three-kilometre radius of the Spill site;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area of three kilometres on either side of the Affected Waterways, from an upstream point of the Spill site to a downstream point of the confluence of the Slocan and Kootenay 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time of the Spill there were 2,776 properties included within the Evacuation Zone with a total assessed value for land and improvements of $708,840,787 as of March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Shortly after the Spill, the Interior Health Authority issued "do not use water" orders for residents who drew water from the Affected Waterways.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"do not use water" orders remained in effect on the Kootenay River above and below the Brilliant Dam until August 6, 2013, for all areas along the Slocan River south of Winlow bridge until August 8, 2013 and on the Slocan River north of the Winlow bridge and Lemon Creek until August 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Upon learning of the Spill, Executive on July 26, 2013 initiated its emergency plan including retaining Quantum Murray LP to assist in the clean-up.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July 27, 2013 Quantum Murray started with its emergency environmental remediation services to contain, clean and rehabilitate affected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July 27, 2013, the RDCK lifted the Evacuation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Other steps taken by Executive included engaging the following: SNC Lavalin to provide environmental impact assessments; Polaris Applied Science to conduct the shoreline clean-up assessment techniques to prioritize and focus the remedial activities; and Peak Communications to assist in providing emergency communications and provide an on-site information officer. Executive also established a "Resiliency Centre" in the community which provided potable water stations offering drinking water and shower facilities for local 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Executive operated the Resiliency Centre from August 4, 2013 until August 11, 2013. Thereafter the centre was taken over and run as the "Recovery Centre" under the joint auspices of Emergency Management BC and the RDCK until August 30,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October 2, 2013, the objectives set by the Province's regulatory authorities (i.e. the Ministry of Environment) for remedial measures were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of January 31, 2016, Executive deposes that it expended $5,457,000 in costs associated with its response to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alleges that, upon spilling into Lemon Creek, the fuel floated down the Slocan and Kootenay Rivers resulting in the thin, higher esters and aromatics within the fuel evaporating into an airborne vapour (the "Vapour") which contains benzine, a human carcinogen.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further pleads that with evaporation of the Vapour, what remains in the Affected Waterways is a thicker, oily, jelly-like substance (the "Sludge") and that the Sludge contains various heavy metal additives and stabilizers that are some of the most toxic substances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terms of damage to property, the plaintiff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Distribution and Contamination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Spill, a gas plume of airborne Vapour particles disseminated throughout the vicinity of Lemon Creek, the Slocan Valley and the Kootenay River, coming into contact with individuals, wildlife, livestock, and domestic and agricultural premises ("the Exposure") and causing physical symptoms in local residents, workers and tourists including burning eyes, sore throats, headaches, respiratory distress and other symptoms of ill health.</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Spill, the Sludge floated on the waterways of Lemon Creek, the Slocan River and the Kootenay River, adhering to sediment, penetrating stream and river banks and contaminating wetlands, gardens, livestock feeding grounds, agricultural grounds, wells, surface water sources, irrigation systems, laundry machines, plumbing systems and septic fields ("the Contamination").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downstream distribution of the Fuel was halted by the closure of floodgates at the Brilliant Dam before Castlegar, leaving a two-to-three kilometer plume, 30 to 50 meters wide, of stagnant Fuel visible in the Kootenay River above the Brilliant Dam.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Property damage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Spill and Contamination have affected property along no less than 80 km of shoreline and 10 km2 of swampland.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remediate the Contamination, every blade of grass will have to be washed by hand with absorbent material which itself will have to be safely removed from the environment. It will take at least six years to remediate the Contamination.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some cases, the Contamination has eliminated the sole source of potable water on a property and effectively rendered that property practically incapable of being sold or remortgaged.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Spill and the Contamination have caused the real properties within the Evacuation Zone ("the Properties") to diminish in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terms of interference with quiet enjoyment, the plaintiff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Interference with quiet enjoyment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Spill, Exposure and Contamination have caused the Class members to suffer a loss of use of their Properties and a continuing interference with the quiet enjoyment of their Properties, particulars of which include loss of use of wetlands, gardens, livestock feeding grounds, agricultural grounds, wells, surface water sources, irrigation systems, laundry machines, plumbing systems and septic fields.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Properties include residences that, at the time of filing, remain inhabitable.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Properties include farms that, at the time of filing, remain unusable.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Properties include bed &amp; breakfast establishments, motels, camping grounds and recreational facilities, some of which have been shut down indefinitely.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Spill caused a distribution of jet fuel into the Slocan Drainage so as to constantly and continuously expose the Class members and their Properties and their inhabitants to toxins for an indefinite duration.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the vicinity of the Evacuation Zone, the Spill caused a distribution of Vapour and Sludge resulting in widespread and continued Exposure and Contamination throughout the Evacuation Zone.</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Spill and the Contamination have caused the Class members to suffer a diminution of the market value of their Properties.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Exposure and Contamination caused the Class members to suffer a loss of use of their Properties.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Contamination caused the Class members to suffer a continuing interference with the quiet enjoyment of their Properties.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Exacerbation of Harm</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to the Spill, from July 28, 2013, to July 31, 2013, the Provincial Defendant used aircraft water bombers to irrigate the Fire with Fuel-contaminated water from the Slocan River, thereby further disseminating the Exposure and Contamination throughout the Slocan Valley watershed and exacerbating the aforementioned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applicant filed the expert evidence of three individuals: Mr. Englar, chemist (Ret.); Mr. Birtwell, biologist; and Dr. Kilpatrick, real estate appraiser.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filed expert evidence including that of Dr. Hers, professional geo-environmental engineer; Ms. Atkinson, professional geo-environmental engineer; Mr. Godfrey, accredited appraiser; and Mr. Dybvig, accredited appraiser.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this background in mind, I turn to the questions regarding whether this proceeding should be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goals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are access to justice, behaviour modification and judicial economy. These goals are to be kept in mind in the certification process. The requirements for obtaining certification are set out in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 court must certify a proceeding as a class proceeding on an application under section 2 or 3 if all of the following requirements are met: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determining whether a class proceeding would be the preferable procedure for the fair and efficient resolution of the common issues, the court must consider all relevant matters, including those specified in s. 4(2)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onus is on the party seeking certification to meet all of the requirements. The burden is not an onerous one. The cause of action requirement in s. 4(1)(a) is satisfied unless, assuming all the pleaded facts are true, it is plain and obvious that the claim cannot succeed: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 25. With respect to the other four requirements in s. 4(1), the applicant need only provide a minimum evidentiary basis that shows some basis in fact for each of them; the certification hearing is procedural and not the forum where the merits of the action are decided: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24-25; </w:t>
      </w:r>
      <w:r>
        <w:rPr>
          <w:rFonts w:ascii="arial" w:eastAsia="arial" w:hAnsi="arial" w:cs="arial"/>
          <w:i/>
          <w:color w:val="000000"/>
          <w:sz w:val="20"/>
          <w:lang w:val="en-US" w:eastAsia="en-US" w:bidi="ar-SA"/>
        </w:rPr>
        <w:t>Dow Chemical Company v. Ring, Sr.</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2010 NLCA 20</w:t>
        </w:r>
      </w:hyperlink>
      <w:r>
        <w:rPr>
          <w:rFonts w:ascii="arial" w:eastAsia="arial" w:hAnsi="arial" w:cs="arial"/>
          <w:color w:val="000000"/>
          <w:sz w:val="20"/>
          <w:lang w:val="en-US" w:eastAsia="en-US" w:bidi="ar-SA"/>
        </w:rPr>
        <w:t xml:space="preserve"> at para. 14, leave to appeal ref'd </w:t>
      </w:r>
      <w:hyperlink r:id="rId131" w:history="1">
        <w:r>
          <w:rPr>
            <w:rFonts w:ascii="arial" w:eastAsia="arial" w:hAnsi="arial" w:cs="arial"/>
            <w:i/>
            <w:color w:val="0077CC"/>
            <w:sz w:val="20"/>
            <w:u w:val="single"/>
            <w:shd w:val="clear" w:color="auto" w:fill="FFFFFF"/>
            <w:lang w:val="en-US" w:eastAsia="en-US" w:bidi="ar-SA"/>
          </w:rPr>
          <w:t>[2010] S.C.C.A. No. 187</w:t>
        </w:r>
      </w:hyperlink>
      <w:r>
        <w:rPr>
          <w:rFonts w:ascii="arial" w:eastAsia="arial" w:hAnsi="arial" w:cs="arial"/>
          <w:color w:val="000000"/>
          <w:sz w:val="20"/>
          <w:lang w:val="en-US" w:eastAsia="en-US" w:bidi="ar-SA"/>
        </w:rPr>
        <w:t xml:space="preserve">. The "some basis in fact" standard does not require the court to resolve conflicting facts and evidence at the certification stage. The "some basis in fact" inquiry is limited as it is a low hurdle. The authorities on this point have reiterated that at the certification stage the court is ill-equipped to resolve such conflicts: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at para. 102 [</w:t>
      </w:r>
      <w:r>
        <w:rPr>
          <w:rFonts w:ascii="arial" w:eastAsia="arial" w:hAnsi="arial" w:cs="arial"/>
          <w:i/>
          <w:color w:val="000000"/>
          <w:sz w:val="20"/>
          <w:lang w:val="en-US" w:eastAsia="en-US" w:bidi="ar-SA"/>
        </w:rPr>
        <w:t>Pro-Sys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If the five conditions are met, the court must certify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will discuss the criteria in the order set out under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Do the pleadings disclose a cause of action</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Pleadings are to be approached generously and with allowance made for drafting inadequacies. As mentioned the Amended Notice of Civil Claim sets out the causes of action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and the rule in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These are well-established causes of action. However, the defendants submit that there are a variety of deficiencies which make it plain and obvious that a claim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Executive, whose arguments are adopted by Mr. LaSante and largely adopted or supported by the other defendants, submits that the plaintiff's pleadings do not disclose a cause of action on behalf of all class members. It is argued that there are no facts pleaded and no evidence to support that there was any groundwater contamination or any contamination whatsoever, beyond the Affected Waterways. I note evidence is not a consideration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Executive submits the proposed class definition goes beyond property owners on the Affected Waterways and includes people in the Evacuation Zone who do not reside on the Affected Waterways. It is submitted, absent pleadings of damage to property,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fail as pure economic loss is not recoverable. The defendants include references to the following in support: </w:t>
      </w:r>
      <w:r>
        <w:rPr>
          <w:rFonts w:ascii="arial" w:eastAsia="arial" w:hAnsi="arial" w:cs="arial"/>
          <w:i/>
          <w:color w:val="000000"/>
          <w:sz w:val="20"/>
          <w:lang w:val="en-US" w:eastAsia="en-US" w:bidi="ar-SA"/>
        </w:rPr>
        <w:t>Kamloops v. Nielsen</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Ultramares Corp. v. Touche</w:t>
      </w:r>
      <w:r>
        <w:rPr>
          <w:rFonts w:ascii="arial" w:eastAsia="arial" w:hAnsi="arial" w:cs="arial"/>
          <w:color w:val="000000"/>
          <w:sz w:val="20"/>
          <w:lang w:val="en-US" w:eastAsia="en-US" w:bidi="ar-SA"/>
        </w:rPr>
        <w:t xml:space="preserve"> (1931), 255 N.Y. 170 at 178-80, 1931 NY LEXIS 660 at 15-19 (C.A.); </w:t>
      </w:r>
      <w:r>
        <w:rPr>
          <w:rFonts w:ascii="arial" w:eastAsia="arial" w:hAnsi="arial" w:cs="arial"/>
          <w:i/>
          <w:color w:val="000000"/>
          <w:sz w:val="20"/>
          <w:lang w:val="en-US" w:eastAsia="en-US" w:bidi="ar-SA"/>
        </w:rPr>
        <w:t>Bethlehem Steel Corp. v. St. Lawrence Seaway Authority</w:t>
      </w:r>
      <w:r>
        <w:rPr>
          <w:rFonts w:ascii="arial" w:eastAsia="arial" w:hAnsi="arial" w:cs="arial"/>
          <w:color w:val="000000"/>
          <w:sz w:val="20"/>
          <w:lang w:val="en-US" w:eastAsia="en-US" w:bidi="ar-SA"/>
        </w:rPr>
        <w:t xml:space="preserve"> (1977), </w:t>
      </w:r>
      <w:hyperlink r:id="rId133" w:history="1">
        <w:r>
          <w:rPr>
            <w:rFonts w:ascii="arial" w:eastAsia="arial" w:hAnsi="arial" w:cs="arial"/>
            <w:i/>
            <w:color w:val="0077CC"/>
            <w:sz w:val="20"/>
            <w:u w:val="single"/>
            <w:shd w:val="clear" w:color="auto" w:fill="FFFFFF"/>
            <w:lang w:val="en-US" w:eastAsia="en-US" w:bidi="ar-SA"/>
          </w:rPr>
          <w:t>[1978] 1 F.C. 464</w:t>
        </w:r>
      </w:hyperlink>
      <w:r>
        <w:rPr>
          <w:rFonts w:ascii="arial" w:eastAsia="arial" w:hAnsi="arial" w:cs="arial"/>
          <w:color w:val="000000"/>
          <w:sz w:val="20"/>
          <w:lang w:val="en-US" w:eastAsia="en-US" w:bidi="ar-SA"/>
        </w:rPr>
        <w:t xml:space="preserve"> (T.D.); </w:t>
      </w:r>
      <w:r>
        <w:rPr>
          <w:rFonts w:ascii="arial" w:eastAsia="arial" w:hAnsi="arial" w:cs="arial"/>
          <w:i/>
          <w:color w:val="000000"/>
          <w:sz w:val="20"/>
          <w:lang w:val="en-US" w:eastAsia="en-US" w:bidi="ar-SA"/>
        </w:rPr>
        <w:t>1340232 Ontario Inc. v. St. Lawrence Seaway Management Corp.</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2004 FC 209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Conestoga Meat Packers Ltd. v. Fehr</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[2007] O.J. No. 3150</w:t>
        </w:r>
      </w:hyperlink>
      <w:r>
        <w:rPr>
          <w:rFonts w:ascii="arial" w:eastAsia="arial" w:hAnsi="arial" w:cs="arial"/>
          <w:color w:val="000000"/>
          <w:sz w:val="20"/>
          <w:lang w:val="en-US" w:eastAsia="en-US" w:bidi="ar-SA"/>
        </w:rPr>
        <w:t xml:space="preserve"> (S.C.J.); </w:t>
      </w:r>
      <w:r>
        <w:rPr>
          <w:rFonts w:ascii="arial" w:eastAsia="arial" w:hAnsi="arial" w:cs="arial"/>
          <w:i/>
          <w:color w:val="000000"/>
          <w:sz w:val="20"/>
          <w:lang w:val="en-US" w:eastAsia="en-US" w:bidi="ar-SA"/>
        </w:rPr>
        <w:t>Cuff v. Canada National Railway Company</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2007 ABQB 761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Brooks v. Canadian Pacific Railway Ltd.</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2007 SKQB 247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further pointed out that the proposed class definition includes persons who leased, rented or occupied land in the Evacuation Zone. It is argued that since there cannot be a claim for diminution of property values by those who merely occupy, rent or lease lands, it is plain and obvious that the pleadings disclose no reasonable cause of action in respect to those classes of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It is also argued that for some in the proposed class, the claims of nuisance are speculative at best. In this regard, these defendants argue that the plaintiff has alleged a diminution of property value as a result of a public stigma in the future arising from the spill and that this does not support a reasonable cause of action. In support the defendants cite </w:t>
      </w:r>
      <w:r>
        <w:rPr>
          <w:rFonts w:ascii="arial" w:eastAsia="arial" w:hAnsi="arial" w:cs="arial"/>
          <w:i/>
          <w:color w:val="000000"/>
          <w:sz w:val="20"/>
          <w:lang w:val="en-US" w:eastAsia="en-US" w:bidi="ar-SA"/>
        </w:rPr>
        <w:t>Smith v. Inco Limited</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2011 ONCA 628</w:t>
        </w:r>
      </w:hyperlink>
      <w:r>
        <w:rPr>
          <w:rFonts w:ascii="arial" w:eastAsia="arial" w:hAnsi="arial" w:cs="arial"/>
          <w:color w:val="000000"/>
          <w:sz w:val="20"/>
          <w:lang w:val="en-US" w:eastAsia="en-US" w:bidi="ar-SA"/>
        </w:rPr>
        <w:t xml:space="preserve"> at para. 59, leave to appeal ref'd </w:t>
      </w:r>
      <w:hyperlink r:id="rId139" w:history="1">
        <w:r>
          <w:rPr>
            <w:rFonts w:ascii="arial" w:eastAsia="arial" w:hAnsi="arial" w:cs="arial"/>
            <w:i/>
            <w:color w:val="0077CC"/>
            <w:sz w:val="20"/>
            <w:u w:val="single"/>
            <w:shd w:val="clear" w:color="auto" w:fill="FFFFFF"/>
            <w:lang w:val="en-US" w:eastAsia="en-US" w:bidi="ar-SA"/>
          </w:rPr>
          <w:t>[2011] S.C.C.A. No. 539</w:t>
        </w:r>
      </w:hyperlink>
      <w:r>
        <w:rPr>
          <w:rFonts w:ascii="arial" w:eastAsia="arial" w:hAnsi="arial" w:cs="arial"/>
          <w:color w:val="000000"/>
          <w:sz w:val="20"/>
          <w:lang w:val="en-US" w:eastAsia="en-US" w:bidi="ar-SA"/>
        </w:rPr>
        <w:t xml:space="preserve"> ; [2012] 1 S.C.R. xii (note); and </w:t>
      </w:r>
      <w:r>
        <w:rPr>
          <w:rFonts w:ascii="arial" w:eastAsia="arial" w:hAnsi="arial" w:cs="arial"/>
          <w:i/>
          <w:color w:val="000000"/>
          <w:sz w:val="20"/>
          <w:lang w:val="en-US" w:eastAsia="en-US" w:bidi="ar-SA"/>
        </w:rPr>
        <w:t>Wiggins v. WPD Canada Corporation</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2013 ONSC 2350</w:t>
        </w:r>
      </w:hyperlink>
      <w:r>
        <w:rPr>
          <w:rFonts w:ascii="arial" w:eastAsia="arial" w:hAnsi="arial" w:cs="arial"/>
          <w:color w:val="000000"/>
          <w:sz w:val="20"/>
          <w:lang w:val="en-US" w:eastAsia="en-US" w:bidi="ar-SA"/>
        </w:rPr>
        <w:t>. As a result of all of the submissions, the defendants say that the claims advanced in the Amended Notice of Civil Claim do not disclose causes of action available to all members of the class and that it is plain and obvious that those claims are likely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respect to the claim under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the Province sets out the established four requirements:</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made non-natural use of his land;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brought onto his land something which was likely to do mischief if it escaped;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substance in question escaped;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was caused to the plaintiff's property (or person) as a result of the escape.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Province argues that based on the plaintiff's pleadings, it is plain and obvious that no claim lies against the Province for the escape of the fuel for one or more of the following reasons:</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was not using the land where the escape occurred;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was not involved in the non-natural use of its land;</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did not bring the fuel onto its land; and/or</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did not have possession nor control over the fuel that escaped from the Fuel Tanker.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Alternatively, the Province argues that even if the first three conditions or requirements to establish a claim against the Province based on the rule in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the fourth condition or requirement involving damage has not been met, at least with respect to some of the proposed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Similar to Executive's submission, the Province argues that the persons who "occupied" or "used" real property as set out in the class definition would not be entitled to damages based on diminution of property value if they do not have any legal interest in any real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respect to nuisance the Province argues that in order to establish a claim of private nuisance against it, the plaintiff must establish that the Province caused both a substantial interference and an unreasonable interference with the use and enjoyment of the lands in question: </w:t>
      </w:r>
      <w:r>
        <w:rPr>
          <w:rFonts w:ascii="arial" w:eastAsia="arial" w:hAnsi="arial" w:cs="arial"/>
          <w:i/>
          <w:color w:val="000000"/>
          <w:sz w:val="20"/>
          <w:lang w:val="en-US" w:eastAsia="en-US" w:bidi="ar-SA"/>
        </w:rPr>
        <w:t>Antrim Truck Centre Ltd. v. Ontario (Transportation)</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2013 SCC 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Antrim Truck Centre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Province submits that there are insufficient allegations of fact to establish a claim that there was a substantial and unreasonable interference by the Province with the use and enjoyment of the lands of the proposed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Further, as already submitted based on the class definition, many of the proposed class members are not in a position to claim damages for diminution of property value based on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respect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Province submits that the pleadings do not establish a private duty of care. It argues that it is questionable that the Province had the "Operational Responsibility" as described by the plaintiff, i.e. a duty of care for the transportation of fuel by an independent contractor who was delivering fuel in a fuel tanker driven by a professional driver. It is submitted that the Province was not in a position to reasonably foresee harm to the proposed class members with respect to a professional driver of the loaded fuel tanker doing the following: driving past the Staging Area located just off the highway, turning left off of the highway, driving up a narrow winding road past signs warning of an "End of Maintained Public Road" and "Road Closed", and then turning around and driving the fuel tanker back along the road, and having a single motor vehicle accident with the result that the fuel leaked from the fuel tanker: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addition, or in the alternative, it is stated that the Province has passed legislation to regulate drivers of commercial vehicles including fuel tankers such as the </w:t>
      </w:r>
      <w:r>
        <w:rPr>
          <w:rFonts w:ascii="arial" w:eastAsia="arial" w:hAnsi="arial" w:cs="arial"/>
          <w:i/>
          <w:color w:val="000000"/>
          <w:sz w:val="20"/>
          <w:lang w:val="en-US" w:eastAsia="en-US" w:bidi="ar-SA"/>
        </w:rPr>
        <w:t>Commercial Transport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Transport of Dangerous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458</w:t>
      </w:r>
      <w:r>
        <w:rPr>
          <w:rFonts w:ascii="arial" w:eastAsia="arial" w:hAnsi="arial" w:cs="arial"/>
          <w:color w:val="000000"/>
          <w:sz w:val="20"/>
          <w:lang w:val="en-US" w:eastAsia="en-US" w:bidi="ar-SA"/>
        </w:rPr>
        <w:t>. The Province has pleaded all of these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 respect to the allegations involving the "Road Maintenance Responsibility", it is submitted that the Province did not have a duty of care for an unmaintained and closed road. The Province submits that it is illogical for it to have a duty of care to maintain a road that has been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Province has passed legislation with respect to its responsibilities for public roads such as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44</w:t>
      </w:r>
      <w:r>
        <w:rPr>
          <w:rFonts w:ascii="arial" w:eastAsia="arial" w:hAnsi="arial" w:cs="arial"/>
          <w:color w:val="000000"/>
          <w:sz w:val="20"/>
          <w:lang w:val="en-US" w:eastAsia="en-US" w:bidi="ar-SA"/>
        </w:rPr>
        <w:t>, which it has pleaded in the Province's Amended Response to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Moreover, the Province has pleaded a policy defence at para. 29 of the Legal Basis section of its Amended Response to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Finally, there also is the likelihood of indeterminate liability and the impact on the taxpayers if the Province has a duty of care to maintain a closed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short, the Province argues that the plaintiff's pleadings do not establish a private duty of care owed by the Province: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Determination on Disclosure of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With respect to the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detailed pleadings (including the adopted pleadings by the plaintiff of the third party notices and responses to the notices) clearly set out the necessary assertions of fact in relation to duty of care, breaches of duty and injury or harm caused, against the defendants under this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do not accept the defence argument that there are no facts pleaded supporting groundwater contamination or any contamination beyond the Affected Waterways. I agree with the plaintiff's submissions that the pleadings assert direct exposure, continuation and damage to properties throughout the Evacuation 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With respect to the defence that economic loss is not available absent damages, though I have found that the plaintiff has asserted damage, I am persuaded that it is not plain and obvious that the plaintiff's case is bound to fail because of the absence of damages. I note that the plaintiff has identified at least two mechanisms of diminution, other than from direct contamination, that may be compensable: first, devaluation from environmental degradation that is secondary to incidents of fuel contamination; and second, loss of property value as a result of the degradation of an environmental amenity (the waterway) that had previously enhanced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am of the view </w:t>
      </w:r>
      <w:r>
        <w:rPr>
          <w:rFonts w:ascii="arial" w:eastAsia="arial" w:hAnsi="arial" w:cs="arial"/>
          <w:i/>
          <w:color w:val="000000"/>
          <w:sz w:val="20"/>
          <w:lang w:val="en-US" w:eastAsia="en-US" w:bidi="ar-SA"/>
        </w:rPr>
        <w:t>Canadian National Railway Co. v. Norsk Pacific Steamship Co.</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is applicable here. In that case, the Supreme Court of Canada allowed recovery of pure economic loss by a railway arising from the closure of a rail bridge damaged by a barge being towed by a tug. Public Works Canada owned the bridge and obtained full recovery of damages at trial. The Supreme Court of Canada upheld the trial decision permitting recovery of the railway for pure economic loss on the basis there was sufficient proximity between a wrongful act and the loss. In this regard, the court stated at 1152-53: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it is my view that the authorities suggest that pure economic loss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recoverable where, in addition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foreseeable loss, there is sufficient proximity between the negligent act and the loss. Proximity is the controlling concept which avoids the spectre of unlimited liability. Proximity may be established by a variety of factors, depending on the nature of the case. To date, sufficient proximity has been found in the case of negligent misstatements where there is an undertaking and correlative reliance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where there is a duty to warn (</w:t>
      </w:r>
      <w:r>
        <w:rPr>
          <w:rFonts w:ascii="arial" w:eastAsia="arial" w:hAnsi="arial" w:cs="arial"/>
          <w:i/>
          <w:color w:val="000000"/>
          <w:sz w:val="20"/>
          <w:lang w:val="en-US" w:eastAsia="en-US" w:bidi="ar-SA"/>
        </w:rPr>
        <w:t>Rivtow</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[1974] S.C.R. 1189</w:t>
        </w:r>
      </w:hyperlink>
      <w:r>
        <w:rPr>
          <w:rFonts w:ascii="arial" w:eastAsia="arial" w:hAnsi="arial" w:cs="arial"/>
          <w:color w:val="000000"/>
          <w:sz w:val="20"/>
          <w:lang w:val="en-US" w:eastAsia="en-US" w:bidi="ar-SA"/>
        </w:rPr>
        <w:t>; and where a statute imposes a responsibility on a municipality toward the owners and occupiers of land (</w:t>
      </w:r>
      <w:r>
        <w:rPr>
          <w:rFonts w:ascii="arial" w:eastAsia="arial" w:hAnsi="arial" w:cs="arial"/>
          <w:i/>
          <w:color w:val="000000"/>
          <w:sz w:val="20"/>
          <w:lang w:val="en-US" w:eastAsia="en-US" w:bidi="ar-SA"/>
        </w:rPr>
        <w:t>Kamloops</w:t>
      </w:r>
      <w:r>
        <w:rPr>
          <w:rFonts w:ascii="arial" w:eastAsia="arial" w:hAnsi="arial" w:cs="arial"/>
          <w:color w:val="000000"/>
          <w:sz w:val="20"/>
          <w:lang w:val="en-US" w:eastAsia="en-US" w:bidi="ar-SA"/>
        </w:rPr>
        <w:t xml:space="preserve">). But the categories are not closed. As more cases are decided, we can expect further definition on what factors give rise to liability for pure economic loss in particular categories of cases. In determining whether liability should be extended to a new situation, courts will have regard to the factors traditionally relevant to proximity such as the relationship between the parties, physical propinquity, assumed or imposed obligations and close causal connection. And they will insist on sufficient special factors to avoid the imposition of indeterminate and unreasonable liability. The result will be a principled, yet flexible, approach to tort liability for pure economic loss. It will allow recovery where recovery is justified, while excluding indeterminate and inappropriate liability, and it will permit the coherent development of the law in accordance with the approach initiated in England by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xml:space="preserve"> and followed in Canada in </w:t>
      </w:r>
      <w:r>
        <w:rPr>
          <w:rFonts w:ascii="arial" w:eastAsia="arial" w:hAnsi="arial" w:cs="arial"/>
          <w:i/>
          <w:color w:val="000000"/>
          <w:sz w:val="20"/>
          <w:lang w:val="en-US" w:eastAsia="en-US" w:bidi="ar-SA"/>
        </w:rPr>
        <w:t>Rivtow, Kamloops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Hofstrand</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[1986] 1 S.C.R. 228</w:t>
        </w:r>
      </w:hyperlink>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requisite analysis does not simply turn on the presence or absence of physical damage. Rather, it involves a legal determination of proximity, which can be founded on the basis of such factors as physical propinquity. The Court, as well, held that the categories giving rise to liability for pure economic loss are not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Given the low threshold on the s. 4(1)(a) hurdle and given the "flexible approach" taken by the courts to the law of pure economic loss, it is not plain and obvious that the Plaintiff's action is bound to fail on the basis of the law of economic loss. The claims of putative class members are not plainly and obviously, "[d]istant losses which arise from collateral relationships" (</w:t>
      </w:r>
      <w:r>
        <w:rPr>
          <w:rFonts w:ascii="arial" w:eastAsia="arial" w:hAnsi="arial" w:cs="arial"/>
          <w:i/>
          <w:color w:val="000000"/>
          <w:sz w:val="20"/>
          <w:lang w:val="en-US" w:eastAsia="en-US" w:bidi="ar-SA"/>
        </w:rPr>
        <w:t>Canadian National Railway Co</w:t>
      </w:r>
      <w:r>
        <w:rPr>
          <w:rFonts w:ascii="arial" w:eastAsia="arial" w:hAnsi="arial" w:cs="arial"/>
          <w:color w:val="000000"/>
          <w:sz w:val="20"/>
          <w:lang w:val="en-US" w:eastAsia="en-US" w:bidi="ar-SA"/>
        </w:rPr>
        <w:t>. at 1154).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am of the view that the cases relied upon by the defence are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With respect to the specific arguments of the Province regarding duty of care and defences, I am persuaded by the applicant's reply submissions. With respect to the Province's duty of care argument regarding transportation of fuel by an independent contractor, the issue is not determinable without an examination of the factual matrix. Thus, it is not available for consideration at the certification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also note that the plaintiff has framed the Province's duty of care beyond transportation as per paras. 98-100 of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respect to the Province's duty of care argument relating to road maintenance, there remains a factual determination as to whether the road was closed, particularly where the road was accessible and accessed by Mr. LaSante.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Further, I note that the plaintiff has also framed the Province's duty of care beyond the duty to care for road maintenance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and includes a duty of care to communicate, warn, deactivate and obstruct and/or deter access (see paras. 38-40 and 54 of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Province's various defences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include that:</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harm was not reasonably foreseeable to the Province;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Province's duty of care was narrowed by its statutory regulation of drivers;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had no road maintenance responsibility for an unmaintained and closed road;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policy defence as pled at para. 29 of Legal Basis for the Province's Amended Response to Civil Claim;</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did not breach the standard of care because it was trying to reduce the risk of harm by fighting a fire and the Province was not transporting fuel; and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material contribution test is inapplicable.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These defences require adjudication on the merits. It cannot be said that the existence of any one of these defences renders it plain and obvious that the action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respect to the action in nuisance the Amended Notice of Civil Claim states:</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and all of the Defendants, through their acts and/or omissions described herein, have committed the tort of nuisance by jointly and/or severally causing and/or contributing to the Spill and distribution of Vapour and Sludge throughout the Evacuation Zone so as to impose a continuing interference with the Class members' quiet enjoyment of their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leading case on private nuisance is </w:t>
      </w:r>
      <w:r>
        <w:rPr>
          <w:rFonts w:ascii="arial" w:eastAsia="arial" w:hAnsi="arial" w:cs="arial"/>
          <w:i/>
          <w:color w:val="000000"/>
          <w:sz w:val="20"/>
          <w:lang w:val="en-US" w:eastAsia="en-US" w:bidi="ar-SA"/>
        </w:rPr>
        <w:t>Antrim Truck Centre</w:t>
      </w:r>
      <w:r>
        <w:rPr>
          <w:rFonts w:ascii="arial" w:eastAsia="arial" w:hAnsi="arial" w:cs="arial"/>
          <w:color w:val="000000"/>
          <w:sz w:val="20"/>
          <w:lang w:val="en-US" w:eastAsia="en-US" w:bidi="ar-SA"/>
        </w:rPr>
        <w:t>. At para. 18, Cromwell J. for the Court confirmed that to claim in nuisance, "consists of an interference with the claimant's use or enjoyment of land that is both substantial and unreasonable". He goes on to state at para. 19 that, "[a] substantial interference is one that is non?trivial. Where this threshold is met, the inquiry proceeds to the reasonableness analysis, which is concerned with whether the non-trivial interference was also unreasonable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At para. 23, Cromwell J. states that nuisance is not confined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firm categories of types of interference which determine whether an interference is or is not actionable ... Nuisance may take a variety of forms and may include not only actual physical damage to land but also interference with the health, comfort or convenience of the owner or occupier ... The point is not that there is a typology of actionable interferences; the point is rather that there is a threshold of seriousness that must be met before an interference is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pleadings in my view adequately set out assertions which at this stage meet the non-trivial and unreasonable interference threshold. The assertions as to the nature of the Spill, the Evacuation Order, the impacts and the assertions as to the defendants' actions are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While the interest or lack of an interest in a particular property by a particular class member has implications on the type of damages which may be available, e.g. damages for diminution in property value would not be available to those not having an interest in land, there are other damages available to those having a lesser or no interest to the extent they have suffered the necessary interference with the use and enjoyment of land. Differing types of damages to those within a class is not fatal to certification. However, refining the class or even creating subclasses are considerations which may be addressed as things become clearer post-certification.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With respect to the action under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pleadings relating to this extension to the law of nuisance have established a cause of action against all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agree with the plaintiff's submission that the Province's arguments noted above are arguments on factual and legal issues on the merits and are not resolvable at the certification stage.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Is there an identifiable class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class definition proposed by the applicant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who owned, leased, rented, or occupied real property on July 26, 2013 within the Evacuation Zone (as defined in the Amended Notice of Civil Claim) except for the defendants and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Province argues that the proposed class fails for lack of clarity. It points to the differences or conflicts between the wording used in the Notice of Civil Claim, Amended Notice of Civil Claim, the Notice of Application, the affidavit of Mr. Kirk, the litigation plan and/or the applicant's written submissions in respect to persons proposed as class members. Further, the Province submits that the map outlining the Evacuation Zone provides no means of identifying the location of properties and there is no definition or description of the "Spill site" referred to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There are no legal descriptions on the map, nor any GPS coordinates, street names or property boundaries that delineate with certainty the exact area of the initial Evacuation Zone in order to enable individuals to determine whether they fall within the initial Evacuation 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It is submitted that with this lack of detailed information some individuals will not be able to look at the criteria set out in the proposed definition and readily determine whether they are or are not part of the proposed class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Province also argues that there is no rational connection between the proposed class and proposed common issues, and that the class definition is both too broad and too narrow. In regard to being too narrow or under-inclusive, it is submitted that this is because the class definition fails to include persons who acquired real property within the Evacuation Zone after July 26, 2013, and/or outside the Evacuation 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Province also argues that there is no evidence that two or more persons in the proposed class have a complaint or concern or claim about any actual contamination or pollution on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Contrary to the Province's position, Executive acknowledges that the class as defined by the applicant is, "precise, objective, and presently ascertainable." However, it argues that the class definition is overbroad as it includes people whose properties are in the Evacuation Zone, but not on the Affected Waterways. Absent injury to property, it is submitted these parties would have no claim whatsoever in diminution of property value. The class also includes individuals who may have owned or leased land in the Evacuation Zone at the time of the Evacuation Order, but who were not present during the evacuation and therefore suffered no interference with the use and enjoyment of their property as a result of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Executive also argues that there is a lack of rational relationship between the proposed members and the claims advanced on behalf of the class. Executive submits that the Evacuation Order was originally based on public health orders made by the medical health officer at Interior Health and had no connection with damage to property. Thus there is no rational connection between the class definition and the basis for the claims being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Executive also submits that there is a lack of unity in the class. It says that the evidence shows that the Evacuation Zone changed over time and that the "do not use water" orders were based on a different set of parameters than the Evacuation Zone. Furthermore, within the class area there is a wide array of property types (recreational/residential/commercial/agricultural) and uses which would each experience its own unique set of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Given the diverse and personal issues raised in the pleadings, it is argued that the class definition is inadequate and cannot be saved by amendment.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Determination on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Overall, I am satisfied that there is an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While there are some differences in the various filings, the definition as proposed in the hearing before me is the one to be reviewed. Also, while I have some concerns regarding the map attached to the Amended Notice of Civil Claim as raised by the defence, I am satisfied that a given property can ultimately be determined objectively so as to allow a person to ascertain inclusion or not in the class. In this regard, I agree with the applicant that this can be by reference to a measurement, i.e. the distance of the property from a relevant waterway in the Evacuation Order and the records of the RDCK, the local government that delineated the zone, ordered the evacuation and administered the evacuation. The lack of precision the defence points to is not fatal.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also do not find the changes in the Evacuation Order over time and their difference with the parameters for the "do not use water" orders detract from the sufficiency of the class definition. These matters can be dealt with post-certification by amendment to the class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to diversity of property within the proposed class definition, I do find this to be a defect; however, as discussed earlier, refinement if required is better considered post-certification. Similarly, with respect to the class being too broad and/or too narrow, at present the proposed class is adequate and refinement if required is better considered post-certification.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With respect to the defence argument regarding the absence of evidence of two or more persons, affidavits from individuals raising a claim in a certification proceeding are not a requirement. The test requires evidence of "some basis in fact" of two or more persons. In this case, I accept the applicant's submission that the affidavit of Nelle Maxey #1 which at para. 26 identifies numerous persons who raised complaints to her, provides "some basis in fact". She lists them as follows:</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30 Residents who reported fuel product (sheen, emulsion and/or smell) on river or shorelines or in their tap water/toilets;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 Residents who were concerned about the contamination of the underground water channels within the Lemon Creek alluvial fan;</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Many Residents who remained concerned about the safety of swimming and tubing in the Slocan River after the Interior Health Authority canceled its Order as defined in the Wittmayer Affidavit at paragraph 29;</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23 Residents who reported health concerns and symptoms; eight reports involved children and five of these 23 Residents had symptoms which were medically diagnosed as resulting from exposure to fuel or vapor associated with the Spill;</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16 Residents who were concerned about the safety of their drinking water, both before and after the Interior Health Authority canceled its Order as defined in the Wittmayer Affidavit at paragraph 29;</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 Residents who reported concerns for wildlife and fish health, including three reports of contaminated beaver lodges;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 Residents who reported concerns regarding the safety of consuming or selling fruit and vegetable produce, eggs, milk and/or meat;</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 Residents who were concerned about the Centre closing and the resulting loss of shower and potable water tank facilities;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 Residents who wanted their evacuation expenses recorded ...; and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 Residents and business owners who reported business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am therefore satisfied that the evidence is sufficient in establishing that there is some basis in fact of an identifiable class of two or more persons.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Do the claims raise common issues and do they predominate over individual issues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Section 4(1)(c)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requires that the claims of the class members "raise common issues, whether or not those common issues predominate over issues affecting only individual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Under s. 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common issues are defined as:</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fact, or</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law that arise from common but not necessarily identical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Therefore, to satisfy s. 4(1)(c)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the claims made by class members must raise common, but not necessarily identical, issues of either fact or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commonality requirement is based on the notion that "individuals who have litigation concerns 'in common' ought to be able to resolve those common concerns in one central proceeding rather than through an inefficient multitude of repetitive proceedings": </w:t>
      </w:r>
      <w:r>
        <w:rPr>
          <w:rFonts w:ascii="arial" w:eastAsia="arial" w:hAnsi="arial" w:cs="arial"/>
          <w:i/>
          <w:color w:val="000000"/>
          <w:sz w:val="20"/>
          <w:lang w:val="en-US" w:eastAsia="en-US" w:bidi="ar-SA"/>
        </w:rPr>
        <w:t>Pro-Sys</w:t>
      </w:r>
      <w:r>
        <w:rPr>
          <w:rFonts w:ascii="arial" w:eastAsia="arial" w:hAnsi="arial" w:cs="arial"/>
          <w:color w:val="000000"/>
          <w:sz w:val="20"/>
          <w:lang w:val="en-US" w:eastAsia="en-US" w:bidi="ar-SA"/>
        </w:rPr>
        <w:t xml:space="preserve"> at para. 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common issue criterion is not a high legal hurdle. The plaintiff need only provide some basis in fact to support the existence of common issues. An issue can be common even if it makes up a very limited aspect of the liability question and even though many individual issues remain to be decided after its resolution: </w:t>
      </w:r>
      <w:r>
        <w:rPr>
          <w:rFonts w:ascii="arial" w:eastAsia="arial" w:hAnsi="arial" w:cs="arial"/>
          <w:i/>
          <w:color w:val="000000"/>
          <w:sz w:val="20"/>
          <w:lang w:val="en-US" w:eastAsia="en-US" w:bidi="ar-SA"/>
        </w:rPr>
        <w:t>Cloud v. Canada (Attorney General)</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(2004), 73 O.R. (3d) 401</w:t>
        </w:r>
      </w:hyperlink>
      <w:r>
        <w:rPr>
          <w:rFonts w:ascii="arial" w:eastAsia="arial" w:hAnsi="arial" w:cs="arial"/>
          <w:color w:val="000000"/>
          <w:sz w:val="20"/>
          <w:lang w:val="en-US" w:eastAsia="en-US" w:bidi="ar-SA"/>
        </w:rPr>
        <w:t xml:space="preserve"> at para. 53, </w:t>
      </w:r>
      <w:hyperlink r:id="rId144" w:history="1">
        <w:r>
          <w:rPr>
            <w:rFonts w:ascii="arial" w:eastAsia="arial" w:hAnsi="arial" w:cs="arial"/>
            <w:i/>
            <w:color w:val="0077CC"/>
            <w:sz w:val="20"/>
            <w:u w:val="single"/>
            <w:shd w:val="clear" w:color="auto" w:fill="FFFFFF"/>
            <w:lang w:val="en-US" w:eastAsia="en-US" w:bidi="ar-SA"/>
          </w:rPr>
          <w:t>2004 CanLII 45444</w:t>
        </w:r>
      </w:hyperlink>
      <w:r>
        <w:rPr>
          <w:rFonts w:ascii="arial" w:eastAsia="arial" w:hAnsi="arial" w:cs="arial"/>
          <w:color w:val="000000"/>
          <w:sz w:val="20"/>
          <w:lang w:val="en-US" w:eastAsia="en-US" w:bidi="ar-SA"/>
        </w:rPr>
        <w:t xml:space="preserve"> at para. 53 (C.A.), leave to appeal ref'd </w:t>
      </w:r>
      <w:hyperlink r:id="rId145" w:history="1">
        <w:r>
          <w:rPr>
            <w:rFonts w:ascii="arial" w:eastAsia="arial" w:hAnsi="arial" w:cs="arial"/>
            <w:i/>
            <w:color w:val="0077CC"/>
            <w:sz w:val="20"/>
            <w:u w:val="single"/>
            <w:shd w:val="clear" w:color="auto" w:fill="FFFFFF"/>
            <w:lang w:val="en-US" w:eastAsia="en-US" w:bidi="ar-SA"/>
          </w:rPr>
          <w:t>[2005] S.C.C.A. No. 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common issue need not dispose of the litigation, however, it is sufficient if it is an issue of fact or law common to all claims and its resolution has a reasonable prospect of advancing the litigation for (or against) the class: </w:t>
      </w:r>
      <w:r>
        <w:rPr>
          <w:rFonts w:ascii="arial" w:eastAsia="arial" w:hAnsi="arial" w:cs="arial"/>
          <w:i/>
          <w:color w:val="000000"/>
          <w:sz w:val="20"/>
          <w:lang w:val="en-US" w:eastAsia="en-US" w:bidi="ar-SA"/>
        </w:rPr>
        <w:t>Harrington v. Dow Corning Corp</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(1996), 22 B.C.L.R. (3d) 97</w:t>
        </w:r>
      </w:hyperlink>
      <w:r>
        <w:rPr>
          <w:rFonts w:ascii="arial" w:eastAsia="arial" w:hAnsi="arial" w:cs="arial"/>
          <w:color w:val="000000"/>
          <w:sz w:val="20"/>
          <w:lang w:val="en-US" w:eastAsia="en-US" w:bidi="ar-SA"/>
        </w:rPr>
        <w:t>, (S.C.) [</w:t>
      </w:r>
      <w:r>
        <w:rPr>
          <w:rFonts w:ascii="arial" w:eastAsia="arial" w:hAnsi="arial" w:cs="arial"/>
          <w:i/>
          <w:color w:val="000000"/>
          <w:sz w:val="20"/>
          <w:lang w:val="en-US" w:eastAsia="en-US" w:bidi="ar-SA"/>
        </w:rPr>
        <w:t>Harrington BCSC</w:t>
      </w:r>
      <w:r>
        <w:rPr>
          <w:rFonts w:ascii="arial" w:eastAsia="arial" w:hAnsi="arial" w:cs="arial"/>
          <w:color w:val="000000"/>
          <w:sz w:val="20"/>
          <w:lang w:val="en-US" w:eastAsia="en-US" w:bidi="ar-SA"/>
        </w:rPr>
        <w:t xml:space="preserve">], aff'd </w:t>
      </w:r>
      <w:hyperlink r:id="rId147"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Harrington BCCA</w:t>
      </w:r>
      <w:r>
        <w:rPr>
          <w:rFonts w:ascii="arial" w:eastAsia="arial" w:hAnsi="arial" w:cs="arial"/>
          <w:color w:val="000000"/>
          <w:sz w:val="20"/>
          <w:lang w:val="en-US" w:eastAsia="en-US" w:bidi="ar-SA"/>
        </w:rPr>
        <w:t xml:space="preserve">], leave to appeal ref'd </w:t>
      </w:r>
      <w:hyperlink r:id="rId148" w:history="1">
        <w:r>
          <w:rPr>
            <w:rFonts w:ascii="arial" w:eastAsia="arial" w:hAnsi="arial" w:cs="arial"/>
            <w:i/>
            <w:color w:val="0077CC"/>
            <w:sz w:val="20"/>
            <w:u w:val="single"/>
            <w:shd w:val="clear" w:color="auto" w:fill="FFFFFF"/>
            <w:lang w:val="en-US" w:eastAsia="en-US" w:bidi="ar-SA"/>
          </w:rPr>
          <w:t>[2001] S.C.C.A. No. 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issues do not have to be determinative of liability. It is sufficient that these claims, if decided in a single trial, will help to advance the litigation in some material way for the benefit of class members. In </w:t>
      </w:r>
      <w:r>
        <w:rPr>
          <w:rFonts w:ascii="arial" w:eastAsia="arial" w:hAnsi="arial" w:cs="arial"/>
          <w:i/>
          <w:color w:val="000000"/>
          <w:sz w:val="20"/>
          <w:lang w:val="en-US" w:eastAsia="en-US" w:bidi="ar-SA"/>
        </w:rPr>
        <w:t>Campbell v. Flexwatt Corp</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(C.A.), leave to appeal ref'd </w:t>
      </w:r>
      <w:hyperlink r:id="rId150" w:history="1">
        <w:r>
          <w:rPr>
            <w:rFonts w:ascii="arial" w:eastAsia="arial" w:hAnsi="arial" w:cs="arial"/>
            <w:i/>
            <w:color w:val="0077CC"/>
            <w:sz w:val="20"/>
            <w:u w:val="single"/>
            <w:shd w:val="clear" w:color="auto" w:fill="FFFFFF"/>
            <w:lang w:val="en-US" w:eastAsia="en-US" w:bidi="ar-SA"/>
          </w:rPr>
          <w:t>[1998] S.C.C.A. No. 13</w:t>
        </w:r>
      </w:hyperlink>
      <w:r>
        <w:rPr>
          <w:rFonts w:ascii="arial" w:eastAsia="arial" w:hAnsi="arial" w:cs="arial"/>
          <w:color w:val="000000"/>
          <w:sz w:val="20"/>
          <w:lang w:val="en-US" w:eastAsia="en-US" w:bidi="ar-SA"/>
        </w:rPr>
        <w:t>, the Court of Appeal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When examining the existence of common issues it is important to understand that the common issues do not have to be issues which are determinative of liability; they need only be issues of fact or law that move the litigation forward. The resolution of a common issue does not have to be, in and of itself, sufficient to support relief. To require every common issue to be determinative of liability for every plaintiff and every defendant would make class proceedings with more than one defendant virtually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A common question can exist if the answer given to the question might vary from one member of the class to another. It is not necessary that all class members must succeed on a common question; however, success for one member cannot lead to failure for another: </w:t>
      </w:r>
      <w:r>
        <w:rPr>
          <w:rFonts w:ascii="arial" w:eastAsia="arial" w:hAnsi="arial" w:cs="arial"/>
          <w:i/>
          <w:color w:val="000000"/>
          <w:sz w:val="20"/>
          <w:lang w:val="en-US" w:eastAsia="en-US" w:bidi="ar-SA"/>
        </w:rPr>
        <w:t>Vivendi Canada Inc. v. Dell'Aniello</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2014 SCC 1</w:t>
        </w:r>
      </w:hyperlink>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At the certification stage, the common issues should be framed in general terms. As the action proceeds, the court may determine that the common issues need to be more particularized: </w:t>
      </w:r>
      <w:r>
        <w:rPr>
          <w:rFonts w:ascii="arial" w:eastAsia="arial" w:hAnsi="arial" w:cs="arial"/>
          <w:i/>
          <w:color w:val="000000"/>
          <w:sz w:val="20"/>
          <w:lang w:val="en-US" w:eastAsia="en-US" w:bidi="ar-SA"/>
        </w:rPr>
        <w:t>Miller v. Merck Frosst Canada Ltd.</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2011 BCSC 1759</w:t>
        </w:r>
      </w:hyperlink>
      <w:r>
        <w:rPr>
          <w:rFonts w:ascii="arial" w:eastAsia="arial" w:hAnsi="arial" w:cs="arial"/>
          <w:color w:val="000000"/>
          <w:sz w:val="20"/>
          <w:lang w:val="en-US" w:eastAsia="en-US" w:bidi="ar-SA"/>
        </w:rPr>
        <w:t xml:space="preserve">, leave to appeal ref'd </w:t>
      </w:r>
      <w:hyperlink r:id="rId153" w:history="1">
        <w:r>
          <w:rPr>
            <w:rFonts w:ascii="arial" w:eastAsia="arial" w:hAnsi="arial" w:cs="arial"/>
            <w:i/>
            <w:color w:val="0077CC"/>
            <w:sz w:val="20"/>
            <w:u w:val="single"/>
            <w:shd w:val="clear" w:color="auto" w:fill="FFFFFF"/>
            <w:lang w:val="en-US" w:eastAsia="en-US" w:bidi="ar-SA"/>
          </w:rPr>
          <w:t>2012 BCCA 137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common issues proposed by the applicant in the Notice of Application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all, or any of, the Defendants owe a duty of care to the class members?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all, or any of, the Defendants breach this duty, and if so, when?</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or any of them, did breach their owed duty, did this breach cause the class members to suffer harm?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Nuisance</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acts or omissions of any of the Defendants cause an evacuation order to be issued with respect to the class members' properties?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resulting evacuation of the class members from their properties constitute a loss of use of their real properties and/or an interference with the quiet enjoyment of their real properties?</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acts or omissions of any of the Defendants, jointly and/or severally, cause the class members to suffer a loss of use of their properties and/or an interference with the quiet enjoyment of their properties?</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any of the Defendants, through their acts or omissions, commit the tort of nuisance by jointly and/or severally causing and/or contributing to the Spill (as defined in the Amended Notice of Civil Claim)?</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Rylands v. Fletcher</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rule in Rylands v. Fletcher ... apply to the facts in this case? If so, are any or all of the Defendants liable for damages in accordance with this rule?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Diminution of Property Value</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acts or omissions of any of the Defendants cause the real properties within the Evacuation Zone [as defined in the Amended Notice of Civil Claim] to diminish in market value? If so, what is the best method for valuing the diminution of that market value?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Punitive Damages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acts or omissions of any of the Defendants justify an award of punitive damages?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award of punitive damages is justified, and if the aggregate compensatory damages awarded to class members does not achieve the objectives of retribution, deterrence and denunciation in respect of [the acts or omissions of the Defendants], what amount of punitive damages is awarded against the Defendants, or any of them?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Liability</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damage and/or loss to the class members been caused by the fault of two or more of the Defendants? If so, what is the degree to which each of the Defendants is at fault?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two or more of the Defendants are found to be at fault, are they jointly and severally liable to the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loss component of liability is not proposed as a common issue. As well, individual damages are not proposed as a common issue. The applicant states that the proposed common issues exclude a determination of any alleged contamination or pollution to any individual property. The applicant distinguishes this from the common issue of determining the best method for valuing the diminution of market value as a determination in respect to the elements of general causation, i.e. a determination of any causal relationship between the alleged tortious act and the triggering of factors which are degrading of market value, the identification of those factors and the articulation of a mass appraisal framework by which those factors may be applied in the course of individual loss assessments following a common issues trial: see </w:t>
      </w:r>
      <w:r>
        <w:rPr>
          <w:rFonts w:ascii="arial" w:eastAsia="arial" w:hAnsi="arial" w:cs="arial"/>
          <w:i/>
          <w:color w:val="000000"/>
          <w:sz w:val="20"/>
          <w:lang w:val="en-US" w:eastAsia="en-US" w:bidi="ar-SA"/>
        </w:rPr>
        <w:t>Harrington BCCA</w:t>
      </w:r>
      <w:r>
        <w:rPr>
          <w:rFonts w:ascii="arial" w:eastAsia="arial" w:hAnsi="arial" w:cs="arial"/>
          <w:color w:val="000000"/>
          <w:sz w:val="20"/>
          <w:lang w:val="en-US" w:eastAsia="en-US" w:bidi="ar-SA"/>
        </w:rPr>
        <w:t xml:space="preserve"> at paras. 63-64; and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2012 BCCA 260</w:t>
        </w:r>
      </w:hyperlink>
      <w:r>
        <w:rPr>
          <w:rFonts w:ascii="arial" w:eastAsia="arial" w:hAnsi="arial" w:cs="arial"/>
          <w:color w:val="000000"/>
          <w:sz w:val="20"/>
          <w:lang w:val="en-US" w:eastAsia="en-US" w:bidi="ar-SA"/>
        </w:rPr>
        <w:t xml:space="preserve"> at paras. 51-55.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 note s. 7(a)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permits certification where individual damages will remain to be assessed after the determination of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Certain matters not bar to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 must not refuse to certify a proceeding as a class proceeding merely because of one or more of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includes a claim for damages that would require individual assessment after determination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above provision is an indicator of the flexible and practical approach to be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my view the common issues grouped in the Notice of Application under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and the rule of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are common in terms of facts. They have the potential to reasonably advance the litigation and provide for access to justice and judicial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my view, the common issue regarding diminution of value is appropriate in that it is, as submitted by the applicant, a determination to be made with respect to elements of general causation: see generally </w:t>
      </w:r>
      <w:r>
        <w:rPr>
          <w:rFonts w:ascii="arial" w:eastAsia="arial" w:hAnsi="arial" w:cs="arial"/>
          <w:i/>
          <w:color w:val="000000"/>
          <w:sz w:val="20"/>
          <w:lang w:val="en-US" w:eastAsia="en-US" w:bidi="ar-SA"/>
        </w:rPr>
        <w:t>Harrington BCCA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I accept the applicant's argument that this common issue involves determination within the scope of general causation, as follows:</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determination of any propensity for injury to property value arising from any environmental degradation, amenity loss or market stigma; and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judicial determination of a formula for assessing/ quantifying any such detrimental impact of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view, this common issue has a reasonable prospect of advancing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regard to punitive damages, the defendants argue that the facts pleaded do not come close to the exceptional threshold for such damages. The defendants note their actions were in support of a response to a public emergency -- a forest fire. Executive at the request of the Province was delivering fuel for helicopters engaged in the firefighting effort. It was in this effort in which Mr. LaSante took a wrong turn and travelled down a closed road where the tanker truck overturned, resulting in the Spill. Executive says its response was immediate and thorough. It submits that even if a tort was committed (which it denies), the defendants' conduct does not reach the standard of highly reprehensible or a "marked departure from ordinary standards of decent behaviour":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Transwest agrees and argues a similar line of reasoning as Executive.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Province also submits similar reasoning to Executive.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arguments put forth by the defence are related to the merits and are not for consideration at this stage. The pleadings and evidence are sufficient to support the claim for punitive damages to go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 am of the view that the questions are appropriate for a common issues trial. The pleadings indicate some basis in fact and these questions will advance the litigation. I find support for this in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applicant's reply submissions state that on July 22, 2016 the Federal Crown instituted fresh proceedings against the Province, Executive and Mr. LaSante by way of an Information sworn at the Provincial Court of British Columbia at Nelson. They describe the prosecution as involving charges of two counts of "depositing a deleterious substance in a water frequented by fish" under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R.S.C. 1985, c. F-14</w:t>
        </w:r>
      </w:hyperlink>
      <w:r>
        <w:rPr>
          <w:rFonts w:ascii="arial" w:eastAsia="arial" w:hAnsi="arial" w:cs="arial"/>
          <w:color w:val="000000"/>
          <w:sz w:val="20"/>
          <w:lang w:val="en-US" w:eastAsia="en-US" w:bidi="ar-SA"/>
        </w:rPr>
        <w:t xml:space="preserve">; that the penalty on conviction is a minimum of $5,000 for an individual and $100,000 for the government or a company; that the prosecution involves six counts of "introducing waste into a stream causing pollution" under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53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and that the maximum penalty set out in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is a $1-million fine or six months in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As a result, I adopt the bifurcated approach as set out in </w:t>
      </w:r>
      <w:r>
        <w:rPr>
          <w:rFonts w:ascii="arial" w:eastAsia="arial" w:hAnsi="arial" w:cs="arial"/>
          <w:i/>
          <w:color w:val="000000"/>
          <w:sz w:val="20"/>
          <w:lang w:val="en-US" w:eastAsia="en-US" w:bidi="ar-SA"/>
        </w:rPr>
        <w:t>Chalmers v. AMO Canada Company</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2010 BCCA 560</w:t>
        </w:r>
      </w:hyperlink>
      <w:r>
        <w:rPr>
          <w:rFonts w:ascii="arial" w:eastAsia="arial" w:hAnsi="arial" w:cs="arial"/>
          <w:color w:val="000000"/>
          <w:sz w:val="20"/>
          <w:lang w:val="en-US" w:eastAsia="en-US" w:bidi="ar-SA"/>
        </w:rPr>
        <w:t>. The assessment of individual punitive damages, if any, will follow the disposition of the criminal proceedings and the common issues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Is a class proceeding the preferable procedure for the fair and efficient resolution of the common issues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inquiry into whether a class proceeding is preferable is done through the lens of the goals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access to justice, behaviour modification and judicial economy. The common issues must be considered in the context of the action as a whole, taking into account their importance in relation to the claims as a whole: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30. The preferability inquiry is directed at two separate questions: preferability in a qualitative sense and preferability in a comparative sense: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at para. 35. For a class proceeding to be the preferable procedure, it must represent a fair, efficient and manageable procedure preferable to any alternative method of resolving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For ease of reference, I again set out s. 4(2)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which states that the court must consider all relevant matters including:</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defence submits that certification is unwarranted and will serve only to frustrate rather than advance the three goals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terms of judicial economy, it is argued that claims are framed too broadly by including as class members people who do not live on the Affected Waterways and/or people who do not own property. In any event, it is argued that judicial economy is not served as the Affected Waterways have been remediated to regulatory standards. The decision of </w:t>
      </w:r>
      <w:r>
        <w:rPr>
          <w:rFonts w:ascii="arial" w:eastAsia="arial" w:hAnsi="arial" w:cs="arial"/>
          <w:i/>
          <w:color w:val="000000"/>
          <w:sz w:val="20"/>
          <w:lang w:val="en-US" w:eastAsia="en-US" w:bidi="ar-SA"/>
        </w:rPr>
        <w:t>Cuff</w:t>
      </w:r>
      <w:r>
        <w:rPr>
          <w:rFonts w:ascii="arial" w:eastAsia="arial" w:hAnsi="arial" w:cs="arial"/>
          <w:color w:val="000000"/>
          <w:sz w:val="20"/>
          <w:lang w:val="en-US" w:eastAsia="en-US" w:bidi="ar-SA"/>
        </w:rPr>
        <w:t xml:space="preserve"> is cited in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terms of access to justice, reference is again made to the assertion that the contamination has been remediated; as a result, access to justice is not required for redress. Two actions -- </w:t>
      </w:r>
      <w:r>
        <w:rPr>
          <w:rFonts w:ascii="arial" w:eastAsia="arial" w:hAnsi="arial" w:cs="arial"/>
          <w:i/>
          <w:color w:val="000000"/>
          <w:sz w:val="20"/>
          <w:lang w:val="en-US" w:eastAsia="en-US" w:bidi="ar-SA"/>
        </w:rPr>
        <w:t>Whitewater v. Executive</w:t>
      </w:r>
      <w:r>
        <w:rPr>
          <w:rFonts w:ascii="arial" w:eastAsia="arial" w:hAnsi="arial" w:cs="arial"/>
          <w:color w:val="000000"/>
          <w:sz w:val="20"/>
          <w:lang w:val="en-US" w:eastAsia="en-US" w:bidi="ar-SA"/>
        </w:rPr>
        <w:t xml:space="preserve"> in the British Columbia Provincial Court, Nelson Registry No. 18884; and </w:t>
      </w:r>
      <w:r>
        <w:rPr>
          <w:rFonts w:ascii="arial" w:eastAsia="arial" w:hAnsi="arial" w:cs="arial"/>
          <w:i/>
          <w:color w:val="000000"/>
          <w:sz w:val="20"/>
          <w:lang w:val="en-US" w:eastAsia="en-US" w:bidi="ar-SA"/>
        </w:rPr>
        <w:t>Ross v. Executive</w:t>
      </w:r>
      <w:r>
        <w:rPr>
          <w:rFonts w:ascii="arial" w:eastAsia="arial" w:hAnsi="arial" w:cs="arial"/>
          <w:color w:val="000000"/>
          <w:sz w:val="20"/>
          <w:lang w:val="en-US" w:eastAsia="en-US" w:bidi="ar-SA"/>
        </w:rPr>
        <w:t xml:space="preserve"> in the Supreme Court, Vancouver Registry No. VLC-S-S-1559993 [</w:t>
      </w:r>
      <w:r>
        <w:rPr>
          <w:rFonts w:ascii="arial" w:eastAsia="arial" w:hAnsi="arial" w:cs="arial"/>
          <w:i/>
          <w:color w:val="000000"/>
          <w:sz w:val="20"/>
          <w:lang w:val="en-US" w:eastAsia="en-US" w:bidi="ar-SA"/>
        </w:rPr>
        <w:t>Ross Action</w:t>
      </w:r>
      <w:r>
        <w:rPr>
          <w:rFonts w:ascii="arial" w:eastAsia="arial" w:hAnsi="arial" w:cs="arial"/>
          <w:color w:val="000000"/>
          <w:sz w:val="20"/>
          <w:lang w:val="en-US" w:eastAsia="en-US" w:bidi="ar-SA"/>
        </w:rPr>
        <w:t>] -- are pointed to as examples evidencing access to justice is not a concern. In a similar vein, the Province argues that if Mr. Kirk wishes to pursue damages he can, through individual action. The Province argues that the proposed class members have different interests based on factors such as the location of their real property as well as whether they are owners, tenants or simply users of the private property in the Evacuation Zone at the material time. As a result, there is no common claim for damages of the proposed class. If some member of the proposed class wishes to pursue a claim, there are other options available. The proposed class members with small claims may commence individual actions in provincial court. Alternatively, the proposed class members may join or consolidate their actions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Province further argues that a class proceeding involving a trial of the common issues would not materially improve the position of the members of the proposed class in resolving their individual claims, but would break down into substantial individual trials to determine the numerous individual issues of each person in order to determine whether there was a valid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to behaviour modification, the defence submits that this goal is not required as there is no need for denunciation of their conduct. This is not a case of a historical polluter that has made money off cutting environmental corners or taking risks. Rather, the subject events resulted from a single vehicle accident that occurred during the delivery of fuel in support of a firefighting effort which is unlikely to occur again. Moreover, it is argued that behaviour modification has already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this regard, Executive argues that it did not ignore its obligations to the public. Once Executive learned of the Spill it took immediate action to clean-up, remediate and address community concerns. It says that it has done everything that it was advised to do by its experts and the Ministry and to date has spent $5,457,000 in addressing the effects of the Spill. Executive submits the evidence shows that the site of the Spill and surrounding waterways have been remediated to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defence also argues that behaviour modification can also be addressed through applicable environmental legislation such as the "polluter pays" scheme in British Columbia. In other words, there are other avenues aside from class actions available to address behaviour modification.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Determination of Class Proceeding as Preferable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my view, a class proceeding is preferable.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At the heart of this action is the Spill, a single event that is said to have affected a significant part of a community. There are numerous defendants in this case. Their conduct in relation to the Spill is the focus of the common issues. The action seeks to determine which of the defendants caused the fuel to spill into Lemon Creek. There is complexity to the legal and factual issues. The defendants seek to place blame or at least share the blame with the other defendants and seek indemnity from the others as well. They are involved in related criminal and regulatory proceedings. The defendants here have greater resources than the typical individual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circumstances such as these, I do not find it fair or efficient for individuals to be required to advance through an individual action to obtain some form of redress from the defendants. Moreover, litigating the common issues through a class proceeding has the significant advantage of key findings being decided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While behaviour modification is important, this factor is not as significant as the two other goals in the circumstances of this case as presently understood. However, this goal is advanced by using the tort system to encourage environmental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focus in this case is largely about determining the cause of, and responsibility for, the Spill. This focus, rather than its subjective effect, distinguishes this case from the circumstances in the recent decision by the BC Court of Appeal in </w:t>
      </w:r>
      <w:r>
        <w:rPr>
          <w:rFonts w:ascii="arial" w:eastAsia="arial" w:hAnsi="arial" w:cs="arial"/>
          <w:i/>
          <w:color w:val="000000"/>
          <w:sz w:val="20"/>
          <w:lang w:val="en-US" w:eastAsia="en-US" w:bidi="ar-SA"/>
        </w:rPr>
        <w:t>Baker</w:t>
      </w:r>
      <w:r>
        <w:rPr>
          <w:rFonts w:ascii="arial" w:eastAsia="arial" w:hAnsi="arial" w:cs="arial"/>
          <w:color w:val="000000"/>
          <w:sz w:val="20"/>
          <w:lang w:val="en-US" w:eastAsia="en-US" w:bidi="ar-SA"/>
        </w:rPr>
        <w:t xml:space="preserve"> and makes it consistent with the Manitoba Court of Appeal decision in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This feature looms large in terms of significance in a qualitative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While the focus in </w:t>
      </w:r>
      <w:r>
        <w:rPr>
          <w:rFonts w:ascii="arial" w:eastAsia="arial" w:hAnsi="arial" w:cs="arial"/>
          <w:i/>
          <w:color w:val="000000"/>
          <w:sz w:val="20"/>
          <w:lang w:val="en-US" w:eastAsia="en-US" w:bidi="ar-SA"/>
        </w:rPr>
        <w:t>Baker</w:t>
      </w:r>
      <w:r>
        <w:rPr>
          <w:rFonts w:ascii="arial" w:eastAsia="arial" w:hAnsi="arial" w:cs="arial"/>
          <w:color w:val="000000"/>
          <w:sz w:val="20"/>
          <w:lang w:val="en-US" w:eastAsia="en-US" w:bidi="ar-SA"/>
        </w:rPr>
        <w:t xml:space="preserve"> is distinguishable, I agree with the submission of the plaintiff here that the principles in that case are applicable and support certification. </w:t>
      </w:r>
      <w:r>
        <w:rPr>
          <w:rFonts w:ascii="arial" w:eastAsia="arial" w:hAnsi="arial" w:cs="arial"/>
          <w:i/>
          <w:color w:val="000000"/>
          <w:sz w:val="20"/>
          <w:lang w:val="en-US" w:eastAsia="en-US" w:bidi="ar-SA"/>
        </w:rPr>
        <w:t>Baker</w:t>
      </w:r>
      <w:r>
        <w:rPr>
          <w:rFonts w:ascii="arial" w:eastAsia="arial" w:hAnsi="arial" w:cs="arial"/>
          <w:color w:val="000000"/>
          <w:sz w:val="20"/>
          <w:lang w:val="en-US" w:eastAsia="en-US" w:bidi="ar-SA"/>
        </w:rPr>
        <w:t xml:space="preserve"> concerned the operation of a compost facility which emitted unpleasant odours. Over a period of seven years these caused about 50 neighbours of the facility to suffer a loss of enjoyment of their properties. There was no dispute concerning responsibility for the unpleasant odours. The common issues focussed on the subjective reactions of the neighbours to the alleged unpleasant smells. Unlike </w:t>
      </w:r>
      <w:r>
        <w:rPr>
          <w:rFonts w:ascii="arial" w:eastAsia="arial" w:hAnsi="arial" w:cs="arial"/>
          <w:i/>
          <w:color w:val="000000"/>
          <w:sz w:val="20"/>
          <w:lang w:val="en-US" w:eastAsia="en-US" w:bidi="ar-SA"/>
        </w:rPr>
        <w:t>Baker</w:t>
      </w:r>
      <w:r>
        <w:rPr>
          <w:rFonts w:ascii="arial" w:eastAsia="arial" w:hAnsi="arial" w:cs="arial"/>
          <w:color w:val="000000"/>
          <w:sz w:val="20"/>
          <w:lang w:val="en-US" w:eastAsia="en-US" w:bidi="ar-SA"/>
        </w:rPr>
        <w:t xml:space="preserve">, the present case is concerned with the defendants' conduct. The cause of and the responsibility for the Spill must be determined. This focus on responsibility for pollution, rather than its subjective effect, distinguishes the circumstances in this case from </w:t>
      </w:r>
      <w:r>
        <w:rPr>
          <w:rFonts w:ascii="arial" w:eastAsia="arial" w:hAnsi="arial" w:cs="arial"/>
          <w:i/>
          <w:color w:val="000000"/>
          <w:sz w:val="20"/>
          <w:lang w:val="en-US" w:eastAsia="en-US" w:bidi="ar-SA"/>
        </w:rPr>
        <w:t>Baker</w:t>
      </w:r>
      <w:r>
        <w:rPr>
          <w:rFonts w:ascii="arial" w:eastAsia="arial" w:hAnsi="arial" w:cs="arial"/>
          <w:color w:val="000000"/>
          <w:sz w:val="20"/>
          <w:lang w:val="en-US" w:eastAsia="en-US" w:bidi="ar-SA"/>
        </w:rPr>
        <w:t xml:space="preserve">. As a result, my finding here of preferability does not conflict with </w:t>
      </w:r>
      <w:r>
        <w:rPr>
          <w:rFonts w:ascii="arial" w:eastAsia="arial" w:hAnsi="arial" w:cs="arial"/>
          <w:i/>
          <w:color w:val="000000"/>
          <w:sz w:val="20"/>
          <w:lang w:val="en-US" w:eastAsia="en-US" w:bidi="ar-SA"/>
        </w:rPr>
        <w:t>Baker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Support for my finding can also be found in the recent case of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Similar to the present case, that case involved a single-incident mass tort: the one-time flooding of residential homes due to alleged defendant conduct. The trial court denied certification on the basis that environmental nuisance claims necessarily focus on individual class members and thus could not be certified as common issues in a class proceeding. The Court of Appeal rejected this rationale. It held that general causation questions are common to all class members and can be determined independently of the evidence of individual class members. The court held that having this issue determined through one trial for all members would be more efficient for judicial resources as compared to a multitude of individual suits making identical or nearly identical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My finding that a class proceeding is preferable is also supported by my review in respect to the considerations set out in s. 4(2)(a)-(e)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(a) Do the questions of law or fact common to the members of the class predominate over questions affecting only individual members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defence argues that questions and individual issues of each class member predominate over the common issues. Cases in support include </w:t>
      </w:r>
      <w:r>
        <w:rPr>
          <w:rFonts w:ascii="arial" w:eastAsia="arial" w:hAnsi="arial" w:cs="arial"/>
          <w:i/>
          <w:color w:val="000000"/>
          <w:sz w:val="20"/>
          <w:lang w:val="en-US" w:eastAsia="en-US" w:bidi="ar-SA"/>
        </w:rPr>
        <w:t>Baker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Bittner v. Louisiana Pacific Corp</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(1997), 43 B.C.L.R. (3d) 324</w:t>
        </w:r>
      </w:hyperlink>
      <w:r>
        <w:rPr>
          <w:rFonts w:ascii="arial" w:eastAsia="arial" w:hAnsi="arial" w:cs="arial"/>
          <w:color w:val="000000"/>
          <w:sz w:val="20"/>
          <w:lang w:val="en-US" w:eastAsia="en-US" w:bidi="ar-SA"/>
        </w:rPr>
        <w:t xml:space="preserve">, (S.C. Chambers); </w:t>
      </w:r>
      <w:r>
        <w:rPr>
          <w:rFonts w:ascii="arial" w:eastAsia="arial" w:hAnsi="arial" w:cs="arial"/>
          <w:i/>
          <w:color w:val="000000"/>
          <w:sz w:val="20"/>
          <w:lang w:val="en-US" w:eastAsia="en-US" w:bidi="ar-SA"/>
        </w:rPr>
        <w:t>Parsons v. Coast Capital Savings Credit Union</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2007 BCCA 247</w:t>
        </w:r>
      </w:hyperlink>
      <w:r>
        <w:rPr>
          <w:rFonts w:ascii="arial" w:eastAsia="arial" w:hAnsi="arial" w:cs="arial"/>
          <w:color w:val="000000"/>
          <w:sz w:val="20"/>
          <w:lang w:val="en-US" w:eastAsia="en-US" w:bidi="ar-SA"/>
        </w:rPr>
        <w:t xml:space="preserve">, leave to appeal ref'd </w:t>
      </w:r>
      <w:hyperlink r:id="rId160" w:history="1">
        <w:r>
          <w:rPr>
            <w:rFonts w:ascii="arial" w:eastAsia="arial" w:hAnsi="arial" w:cs="arial"/>
            <w:i/>
            <w:color w:val="0077CC"/>
            <w:sz w:val="20"/>
            <w:u w:val="single"/>
            <w:shd w:val="clear" w:color="auto" w:fill="FFFFFF"/>
            <w:lang w:val="en-US" w:eastAsia="en-US" w:bidi="ar-SA"/>
          </w:rPr>
          <w:t>[2007] S.C.C.A. No. 331</w:t>
        </w:r>
      </w:hyperlink>
      <w:r>
        <w:rPr>
          <w:rFonts w:ascii="arial" w:eastAsia="arial" w:hAnsi="arial" w:cs="arial"/>
          <w:color w:val="000000"/>
          <w:sz w:val="20"/>
          <w:lang w:val="en-US" w:eastAsia="en-US" w:bidi="ar-SA"/>
        </w:rPr>
        <w:t xml:space="preserve"> ; [2007] 3 S.C.R. vii (note); </w:t>
      </w:r>
      <w:r>
        <w:rPr>
          <w:rFonts w:ascii="arial" w:eastAsia="arial" w:hAnsi="arial" w:cs="arial"/>
          <w:i/>
          <w:color w:val="000000"/>
          <w:sz w:val="20"/>
          <w:lang w:val="en-US" w:eastAsia="en-US" w:bidi="ar-SA"/>
        </w:rPr>
        <w:t>Roberts v. Canadian Pacific Railway</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2006 BCSC 1649</w:t>
        </w:r>
      </w:hyperlink>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[2006] B.C.J. No. 2905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Benning v. Volkswagen Canada Inc. et al.</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2006 BCSC 1292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Though there are significant questions relating to individual members, who may be also be significant in number, the common issues are threshold questions which are complex and contested by the defendants. Qualitatively, the common issues are critical and predominate. The common issues must be addressed before consideration of the individual issues. In any event, predominance alone is not determinative. It is but one consideration of many in the preferability analysis.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(b) Do a significant number of class members have a valid interest in individually controlling the prosecution of separate actions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defendants point to other legal proceedings in their submissions including: the </w:t>
      </w:r>
      <w:r>
        <w:rPr>
          <w:rFonts w:ascii="arial" w:eastAsia="arial" w:hAnsi="arial" w:cs="arial"/>
          <w:i/>
          <w:color w:val="000000"/>
          <w:sz w:val="20"/>
          <w:lang w:val="en-US" w:eastAsia="en-US" w:bidi="ar-SA"/>
        </w:rPr>
        <w:t>Ross Action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Executive v. British Columbia and Transwest</w:t>
      </w:r>
      <w:r>
        <w:rPr>
          <w:rFonts w:ascii="arial" w:eastAsia="arial" w:hAnsi="arial" w:cs="arial"/>
          <w:color w:val="000000"/>
          <w:sz w:val="20"/>
          <w:lang w:val="en-US" w:eastAsia="en-US" w:bidi="ar-SA"/>
        </w:rPr>
        <w:t xml:space="preserve"> in the British Columbia Supreme Court, Vancouver Registry No. S155457 [</w:t>
      </w:r>
      <w:r>
        <w:rPr>
          <w:rFonts w:ascii="arial" w:eastAsia="arial" w:hAnsi="arial" w:cs="arial"/>
          <w:i/>
          <w:color w:val="000000"/>
          <w:sz w:val="20"/>
          <w:lang w:val="en-US" w:eastAsia="en-US" w:bidi="ar-SA"/>
        </w:rPr>
        <w:t>Executive Action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Burgoon v. EFCFS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British Columbia</w:t>
      </w:r>
      <w:r>
        <w:rPr>
          <w:rFonts w:ascii="arial" w:eastAsia="arial" w:hAnsi="arial" w:cs="arial"/>
          <w:color w:val="000000"/>
          <w:sz w:val="20"/>
          <w:lang w:val="en-US" w:eastAsia="en-US" w:bidi="ar-SA"/>
        </w:rPr>
        <w:t>, British Columbia Provincial Court, Nelson Registry No. 24399-2; and an Environmental Appeal Board proceeding, No. 2013-EMA-022.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aforementioned proceedings relate to the Spill, but are different in terms of the nature of relief sought or the nature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There is no evidence showing that a significant number of class members have a valid interest in individually controlling the prosecution of separate actions in relation to the matters in this case.</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(c) Will this class proceeding involve claims that are or have been the subject of any other proceedings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As mentioned above, there are other proceedings; however, the </w:t>
      </w:r>
      <w:r>
        <w:rPr>
          <w:rFonts w:ascii="arial" w:eastAsia="arial" w:hAnsi="arial" w:cs="arial"/>
          <w:i/>
          <w:color w:val="000000"/>
          <w:sz w:val="20"/>
          <w:lang w:val="en-US" w:eastAsia="en-US" w:bidi="ar-SA"/>
        </w:rPr>
        <w:t>Ross Action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Executive Action</w:t>
      </w:r>
      <w:r>
        <w:rPr>
          <w:rFonts w:ascii="arial" w:eastAsia="arial" w:hAnsi="arial" w:cs="arial"/>
          <w:color w:val="000000"/>
          <w:sz w:val="20"/>
          <w:lang w:val="en-US" w:eastAsia="en-US" w:bidi="ar-SA"/>
        </w:rPr>
        <w:t xml:space="preserve"> seek different relief than sought in the instant case and advance claims on behalf of different claimants than those in the proposed class in this case. The </w:t>
      </w:r>
      <w:r>
        <w:rPr>
          <w:rFonts w:ascii="arial" w:eastAsia="arial" w:hAnsi="arial" w:cs="arial"/>
          <w:i/>
          <w:color w:val="000000"/>
          <w:sz w:val="20"/>
          <w:lang w:val="en-US" w:eastAsia="en-US" w:bidi="ar-SA"/>
        </w:rPr>
        <w:t>Executive Action</w:t>
      </w:r>
      <w:r>
        <w:rPr>
          <w:rFonts w:ascii="arial" w:eastAsia="arial" w:hAnsi="arial" w:cs="arial"/>
          <w:color w:val="000000"/>
          <w:sz w:val="20"/>
          <w:lang w:val="en-US" w:eastAsia="en-US" w:bidi="ar-SA"/>
        </w:rPr>
        <w:t xml:space="preserve"> assumes the present case will be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terms of the criminal and regulatory proceedings, they are not focused on determining the common issues in this case. The issues in those proceedings arise from distinct statutory provisions and framework. Neither proceeding has jurisdiction over the liability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This consideration does not cause or diminish the preferability of this proceeding.</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(d) Are other means of resolving the claims less practical or less efficient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defence argues that the administration of the class proceeding would create greater difficulties than those likely to be experienced if relief were sought by other means in the case at bar because of all of the individual issues and need for individual trials in order to make findings of individual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It is further submitted that a class proceeding that would require individual trials due to the individual inquiries to establish loss and therefore liability would be unmanageable: </w:t>
      </w:r>
      <w:r>
        <w:rPr>
          <w:rFonts w:ascii="arial" w:eastAsia="arial" w:hAnsi="arial" w:cs="arial"/>
          <w:i/>
          <w:color w:val="000000"/>
          <w:sz w:val="20"/>
          <w:lang w:val="en-US" w:eastAsia="en-US" w:bidi="ar-SA"/>
        </w:rPr>
        <w:t>Chadha v. Bayer Inc</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(2003), 63 O.R. (3d) 22</w:t>
        </w:r>
      </w:hyperlink>
      <w:r>
        <w:rPr>
          <w:rFonts w:ascii="arial" w:eastAsia="arial" w:hAnsi="arial" w:cs="arial"/>
          <w:color w:val="000000"/>
          <w:sz w:val="20"/>
          <w:lang w:val="en-US" w:eastAsia="en-US" w:bidi="ar-SA"/>
        </w:rPr>
        <w:t xml:space="preserve"> at para. 56, </w:t>
      </w:r>
      <w:hyperlink r:id="rId164" w:history="1">
        <w:r>
          <w:rPr>
            <w:rFonts w:ascii="arial" w:eastAsia="arial" w:hAnsi="arial" w:cs="arial"/>
            <w:i/>
            <w:color w:val="0077CC"/>
            <w:sz w:val="20"/>
            <w:u w:val="single"/>
            <w:shd w:val="clear" w:color="auto" w:fill="FFFFFF"/>
            <w:lang w:val="en-US" w:eastAsia="en-US" w:bidi="ar-SA"/>
          </w:rPr>
          <w:t>[2003] O.J. No. 27</w:t>
        </w:r>
      </w:hyperlink>
      <w:r>
        <w:rPr>
          <w:rFonts w:ascii="arial" w:eastAsia="arial" w:hAnsi="arial" w:cs="arial"/>
          <w:color w:val="000000"/>
          <w:sz w:val="20"/>
          <w:lang w:val="en-US" w:eastAsia="en-US" w:bidi="ar-SA"/>
        </w:rPr>
        <w:t xml:space="preserve"> at para. 56 (C.A.), leave to appeal ref'd </w:t>
      </w:r>
      <w:hyperlink r:id="rId165" w:history="1">
        <w:r>
          <w:rPr>
            <w:rFonts w:ascii="arial" w:eastAsia="arial" w:hAnsi="arial" w:cs="arial"/>
            <w:i/>
            <w:color w:val="0077CC"/>
            <w:sz w:val="20"/>
            <w:u w:val="single"/>
            <w:shd w:val="clear" w:color="auto" w:fill="FFFFFF"/>
            <w:lang w:val="en-US" w:eastAsia="en-US" w:bidi="ar-SA"/>
          </w:rPr>
          <w:t>[2003] S.C.C.A. No. 106</w:t>
        </w:r>
      </w:hyperlink>
      <w:r>
        <w:rPr>
          <w:rFonts w:ascii="arial" w:eastAsia="arial" w:hAnsi="arial" w:cs="arial"/>
          <w:color w:val="000000"/>
          <w:sz w:val="20"/>
          <w:lang w:val="en-US" w:eastAsia="en-US" w:bidi="ar-SA"/>
        </w:rPr>
        <w:t xml:space="preserve">. It is also argued that a class proceeding that would inevitably require individual inquiries would result in delay and expense: </w:t>
      </w:r>
      <w:r>
        <w:rPr>
          <w:rFonts w:ascii="arial" w:eastAsia="arial" w:hAnsi="arial" w:cs="arial"/>
          <w:i/>
          <w:color w:val="000000"/>
          <w:sz w:val="20"/>
          <w:lang w:val="en-US" w:eastAsia="en-US" w:bidi="ar-SA"/>
        </w:rPr>
        <w:t>Roberts</w:t>
      </w:r>
      <w:r>
        <w:rPr>
          <w:rFonts w:ascii="arial" w:eastAsia="arial" w:hAnsi="arial" w:cs="arial"/>
          <w:color w:val="000000"/>
          <w:sz w:val="20"/>
          <w:lang w:val="en-US" w:eastAsia="en-US" w:bidi="ar-SA"/>
        </w:rPr>
        <w:t xml:space="preserve"> at para.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short, a class proceeding would be, "inefficient, unmanageable and costly": </w:t>
      </w:r>
      <w:r>
        <w:rPr>
          <w:rFonts w:ascii="arial" w:eastAsia="arial" w:hAnsi="arial" w:cs="arial"/>
          <w:i/>
          <w:color w:val="000000"/>
          <w:sz w:val="20"/>
          <w:lang w:val="en-US" w:eastAsia="en-US" w:bidi="ar-SA"/>
        </w:rPr>
        <w:t>Thorburn v. British Columbia (Public Safety and Solicitor General)</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2013 BCCA 480</w:t>
        </w:r>
      </w:hyperlink>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defendants argue that there are other preferable procedures such as a test case. However, when asked about the specifications of the test case, the Province retreated from its position and stated that a test case was not appropriate. Executive, Transwest and Mr. LaSante support a test case, but only limited to being bound on the determination of liability regarding the tanker rolling into Lemon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defendants propose no method for how all of the potential privies would be bound on all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am of the view that the other means are less practical and efficient than a class proceeding.</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(e) Would the administration of this class proceeding create greater difficulties than those likely to be experienced if relief was sought by other means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Based on my discussion above, I do not see that the administration of this class proceeding creates greater difficulties than through other means.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Is there an appropriate representative plaintiff</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Kirk is the proposed representative plaintiff. He is a retired machinist and a resident of Winlaw, BC, an unincorporated rural community located along the Slocan River, approximately ten kilometres southwest and downstream from the site of the Spill. He owns and lives on a 51-acre rural property which has one kilometre of shoreline along the east side of the Slocan River. Mr. Kirk has resided on this property with his adult daughter for the past 18 years. His property is within the Evacuation 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It is submitted that Mr. Kirk is an appropriate representative plaintiff. He will adequately represent the class, does not have a conflict with other class members and has developed a reasonable plan for litigating the action and providing notice. As such, he satisfies the requirements to be appointed as representative plaintiff under s. 4(1)(e)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defendants submit that Mr. Kirk is not an appropriate representative plaintiff as his claims are likely to be unique as compared to others in the proposed class or he has potential and actual conflicts of interest with most or the other proposed class members. The defendants argue that the status of Mr. Kirk as a land owner of land which is rural, borders for about one kilometre on the waterway and is comprised of 51 acres, puts him either in a unique position or in conflict with those who had a lesser interest such as renters, lessors or occupiers of property; lands which were non rural; lands which were commercial, recreational and agricultural; and lands which were further inland than along the water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It is further submitted that he has not put forward an adequate proposed litigation plan. It is submitted that the plan is too general. It does not provide sufficient details regarding how issues such as causation, liability and damages particularly in respect to individual issues are to be dealt with. Further, the defendants say the proposed notice to class members is not consistent with the proposed class definition and there are no plans on how to deal with out-of-province persons who would fit into the class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my view, Mr. Kirk qualifies as the representative plaintiff. Any limitations argued by the defendants are met by the recent comment of Justice Savage in </w:t>
      </w:r>
      <w:r>
        <w:rPr>
          <w:rFonts w:ascii="arial" w:eastAsia="arial" w:hAnsi="arial" w:cs="arial"/>
          <w:i/>
          <w:color w:val="000000"/>
          <w:sz w:val="20"/>
          <w:lang w:val="en-US" w:eastAsia="en-US" w:bidi="ar-SA"/>
        </w:rPr>
        <w:t>Miller v. Merck Frosst Canada Ltd.</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2015 BCCA 353</w:t>
        </w:r>
      </w:hyperlink>
      <w:r>
        <w:rPr>
          <w:rFonts w:ascii="arial" w:eastAsia="arial" w:hAnsi="arial" w:cs="arial"/>
          <w:color w:val="000000"/>
          <w:sz w:val="20"/>
          <w:lang w:val="en-US" w:eastAsia="en-US" w:bidi="ar-SA"/>
        </w:rPr>
        <w:t xml:space="preserve"> at para. 75, leave to appeal ref'd </w:t>
      </w:r>
      <w:hyperlink r:id="rId168" w:history="1">
        <w:r>
          <w:rPr>
            <w:rFonts w:ascii="arial" w:eastAsia="arial" w:hAnsi="arial" w:cs="arial"/>
            <w:i/>
            <w:color w:val="0077CC"/>
            <w:sz w:val="20"/>
            <w:u w:val="single"/>
            <w:shd w:val="clear" w:color="auto" w:fill="FFFFFF"/>
            <w:lang w:val="en-US" w:eastAsia="en-US" w:bidi="ar-SA"/>
          </w:rPr>
          <w:t>[2015] S.C.C.A. No. 431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The representative plaintiff represents the class, but need not be representative </w:t>
      </w:r>
      <w:r>
        <w:rPr>
          <w:rFonts w:ascii="arial" w:eastAsia="arial" w:hAnsi="arial" w:cs="arial"/>
          <w:i/>
          <w:color w:val="000000"/>
          <w:sz w:val="20"/>
          <w:lang w:val="en-US" w:eastAsia="en-US" w:bidi="ar-SA"/>
        </w:rPr>
        <w:t>of</w:t>
      </w:r>
      <w:r>
        <w:rPr>
          <w:rFonts w:ascii="arial" w:eastAsia="arial" w:hAnsi="arial" w:cs="arial"/>
          <w:color w:val="000000"/>
          <w:sz w:val="20"/>
          <w:lang w:val="en-US" w:eastAsia="en-US" w:bidi="ar-SA"/>
        </w:rPr>
        <w:t xml:space="preserve"> the class: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 21. He or she need not have a claim typical of the class, or be the "best" possible representative. Instead, the court must be satisfied that "the proposed representative will vigorously and capably prosecute the interests of the class":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41. Punnett J. was satisfied that Mr. Miller was appropriate for this role, and I see no grounds upon which to disturb 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terms of the concern regarding a conflict of interest between Mr. Kirk and other members in the proposed class, I do not find on the evidence the level of conflict that would disqualify Mr. Kirk. At this point there is no objection raised by those who have been identified by the defendants as being in conflict with Mr. Kirk. Obviously, if a problem arises, the representative plaintiff may be removed or can withdraw and be substituted.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evidence shows that Mr. Kirk understands the nature of these proceedings and consents to acting as the representative plaintiff. He understands and accepts the responsibilities he has as a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To this point, Mr. Kirk has vigorously prosecuted the claim. Experienced class action counsel has been retained, experts too have been retained and extensive evidence through several witnesses has been adduced. As well, the litigation plan filed is reasonable based on the current stage of the proceedings. It reflects an understanding of the case and a framework for proceeding efficiently. Obviously, it is a work in progress, as in most other cases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 am satisfied that the applicant has met the requirements of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As a result, I certify this action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class is defined as proposed by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common issues as proposed by the plaintiff are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Koperdak v. Wiesblatt, [2006] B.C.J. No. 888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Tysoe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27 - 31 and April 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S042799 and S055195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888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626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507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Elizabeth Koperdak and Martin Koperdak, plaintiffs, and Arthur Wiesblatt and Re/Max Crest Realty a.k.a. Crest Realty Ltd., defendants (Registry No. S042799) And between Elizabeth Koperdak and Martin Koperdak, plaintiffs, and Colonial Pacific Realty Ltd. carrying on business as Re/Max Colonial Pacific Realty and Janice Pardy, defendants (Registry No. S055195)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1"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8" w:name="Keywords_5"/>
      <w:bookmarkEnd w:id="12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Occupiers' liability — Dangerous premises — Duty of occupier — To trespassers — Legislation — Action by the Koperdaks against the owner of the property, two real estate companies and a real estate agent dismissed — The Koperdaks' were injured when they climbed a small stairway to knock on the door of a property for sale and the landing at the top of the stairway collapsed — The owner of the property was not found liable as the defect in the landing was latent and he had revoked the implied license for members of the public to come onto the property by erecting a fence and locking the two gates — The realtors and real estate companies were not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as they had not breached the standard of care because the defect was latent — Occupiers Liability Act, R.S.B.C. 1996, c. 337, s. 1, s. 3(1), s. 3(2).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9" w:name="Case Summary_5"/>
            <w:bookmarkEnd w:id="1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Koperdaks against the owner of the property, two real estate companies and a real estate agent for damages for injuries they suffered when they climbed a small stairway to knock on the door of a property for sale and the landing at the top of the stairway collapsed -- Mrs. Koperdak suffered a severely broken ankle that required surgery and Mr. Koperdak suffered soft tissue injuries -- In two actions, they sued the realtors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property owner pursuant to the Occupiers Liability Act -- The property owner had moved in 2001 and listed the property for sale in 2004 -- He had enclosed the property in fencing with two locks on the gates -- Neither the owner, the real estate agents, nor the Koperdaks noticed any structural problems when looking at the landing that collapsed -- HELD: Actions dismissed -- The owner of the property was an occupier even though he no longer lived on the property and therefore had a duty to take care that a person would be reasonably safe in using the premis es -- The Koperdaks' claims against the owner failed for two reasons: first, the defect in the landing was latent and the owner had no reason to be aware of it; and second, the owner revoked the implied license for members of the public to come onto the property and took reasonable steps to protect members of the public by building the fence and locking the gates -- With regard to the claim against the realtors and real estate companies, there was no breach of the standard of care of a reasonably prudent realtor as the realtors were not aware of the latent defect in the landing -- The owner, real estate companies, and realtors were entitled to their party and party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0" w:name="Legislation Cited_6"/>
      <w:bookmarkEnd w:id="1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2"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177" w:history="1">
        <w:r>
          <w:rPr>
            <w:rFonts w:ascii="arial" w:eastAsia="arial" w:hAnsi="arial" w:cs="arial"/>
            <w:i/>
            <w:color w:val="0077CC"/>
            <w:sz w:val="20"/>
            <w:u w:val="single"/>
            <w:shd w:val="clear" w:color="auto" w:fill="FFFFFF"/>
            <w:lang w:val="en-US" w:eastAsia="en-US" w:bidi="ar-SA"/>
          </w:rPr>
          <w:t>R.S.B.C. 1996, c. 337, s. 1</w:t>
        </w:r>
      </w:hyperlink>
      <w:r>
        <w:rPr>
          <w:rFonts w:ascii="arial" w:eastAsia="arial" w:hAnsi="arial" w:cs="arial"/>
          <w:color w:val="000000"/>
          <w:sz w:val="20"/>
          <w:lang w:val="en-US" w:eastAsia="en-US" w:bidi="ar-SA"/>
        </w:rPr>
        <w:t>, s. 3(1),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1" w:name="Counsel_6"/>
      <w:bookmarkEnd w:id="13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3"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Plaintiffs:Howard Rubin and Isabel Stramwasser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Arthur Wiesblatt: Michael Welsh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Re/Max Crest Realty a.k.a. Crest Realty Ltd.: Marco D. Carnello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Colonial Pacific Realty Ltd. carrying on business as Re/Max Colonial Pacific Realty and Janice Pardy: Bruno De Vita and Mark Lavitt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2" w:name="Judgment_6"/>
      <w:bookmarkEnd w:id="132"/>
      <w:r>
        <w:pict>
          <v:line id="_x0000_s1064"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3" w:name="TYSOE J."/>
            <w:bookmarkEnd w:id="133"/>
            <w:r>
              <w:rPr>
                <w:rFonts w:ascii="arial" w:eastAsia="arial" w:hAnsi="arial" w:cs="arial"/>
                <w:b/>
                <w:color w:val="000000"/>
                <w:sz w:val="30"/>
                <w:lang w:val="en-US" w:eastAsia="en-US" w:bidi="ar-SA"/>
              </w:rPr>
              <w:t>TYSOE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April 8, 2004, the Plaintiffs in these two actions, Mr. and Mrs. Koperdak, were investigating a property owned by the Defendant, Arthur Wiesblatt, and listed by him for sale by way of a co-listing with the Defendants, Colonial Pacific Realty Ltd. and Crest Realty Ltd. When Mr. and Mrs. Koperdak climbed a small stairway to knock on a door of the house on the property, the landing at the top of the stairway collapsed and they fell to the ground. Mrs. Koperdak suffered a severely broken ankle and Mr. Koperdak suffered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and Mrs. Koperdak sue the realtors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Mr. Wiesblatt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In addition to defending the claim on its merits, the Defendants have pleaded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made third and fourth party claims against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property in question (the "Wiesblatt Property" or the "Property") is located on Bowen Island, overlooking the ferry terminal at Snug Cove. It was purchased by Mr. Wiesblatt in 1998, and was occupied by him and his family from 1998 until 2001. The south end of the Property borders on Main Street, where there is a retaining wall of several feet in height. The Property rises in elevation with its northern edge bordering on a cul-de-sac at the end of Venture Road. To the west of the Property is a vacant parcel of land owned by Chevron (the "Chevron Property"). To the east of the Wiesblatt Property is another lot which did not become relevant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two level house had been constructed on the Wiesblatt Property prior to its purchase by Mr. Wiesblatt. The house was rectangular in shape, with its length running in a north to south direction. The house had entrances on each of the west and east sides of the upper level. The one on the west side was the main entrance, and it could be accessed by way of a path leading down from Venture Road. The entrance on the east side was never used by Mr. Wiesblatt and his family because they never received a key for the lock on the door. The vegetation near the east side of the house was overgrown as a result of lack of travel in that area. Around the west and south sides of the upper level of the house was a deck with a waist-high railing. The path from Venture Road led to the deck and one entered the main entrance of the house off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borders of the Wiesblatt Property were fenced, although there was evidence during the trial to the effect that part of the fencing was down or missing. The north, west and east sides were fenced with a wire fence, and the south side had a wooden fence. The southern border of the Property ended approximately 8 1/2 feet from the retaining wall on Main Street. It appears from the testimony of Mr. Wiesblatt that the wooden fence was erected on the right of way between the southern border of the Property and the retaining wall (which meant that the west and east fences went beyond the southern border).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were two gates in the fencing. The first gate was located at the northern end of the Wiesblatt Property off Venture Road, and it was secured with a cable lock whenever Mr. Wiesblatt's family was away for an extended period. The second gate was on the west side of the Property near the south end, and it was permanently secured with a cable 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was also a fence around the Chevron Property, which had been determined to be unsafe as a result of an underground gas line. The fence was a temporary one known as modu-lock and it rested on the top of the ground. The evidence was conflicting as to whether this fence restricted the access from a public road off Main Street to a pathway leading up into the Chevron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Wiesblatt and his family moved away from Bowen Island in 2001. He decided to sell the Property in late 2003 and took steps in that regard in early 2004. He chose Ms. Pardy of Colonial Pacific Realty Ltd. to be the listing agent because she was acting as the listing agent of a condominium owned by his common-law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preparation for listing it for sale, Mr. Wiesblatt attended the Property in February 2004. He cleaned leaves and other debris from the west side of the house. When he was dumping the debris on the east side of the house, he looked at the east stairs and landing, and did not notice anything unusual. He testified that he walked the borders of the Property and saw that the fences were all intact. He locked the gate off Venture Road when 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Ms. Pardy worked in the White Rock area, she decided to co-list the Property with a Bowen Island realtor who would be better able to show the Property to prospective purchasers. She selected Ms. Frost of Crest Realty Ltd., who had coincidentally been the listing agent when the Property was sold to Mr. Wiesblatt.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Frost attended at the Property with her two children on February 27, 2004. They climbed over the gate off Venture Road and went down the path to the house. Ms. Frost walked around the Property and did not notice that any part of the fence was down. She and her children walked on the deck on the south and west sides of the upper level of the house. She noticed that the wood on the deck was a little slippery, that some of the boards were loose and that there were quite a few branches and leaves on the surface of the deck. She did not observe any structural problems with the deck. Ms. Frost did not go to the east side of the house because access to that side was hindered by overgrown vegetation.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that same day, Ms. Frost wrote to Ms. Pardy to suggest a listing price for the Property. In her letter, Ms. Frost stated that the house had "deteriorated to the point that it is probably going to be torn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decision to go ahead with the listing of the property was apparently made in early April. On April 6, 7 or 8, Ms. Frost and her partner placed "For Sale" signs at the north and south ends of the Wiesblatt Property. One sign was put by the entrance of the Property off Venture Road and the other was placed on the top of the retaining wall on Main Street near the ferry terminal. Both signs had an insert at the top reading "By Appointment Only", although it appears that this insert was removed from at least one of the signs. The signs had the name, phone number and website address of Ms. Frost.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and Mrs. Koperdak lived in Ontario but were thinking of retiring in British Columbia in order to be close to the two sons from Mrs. Koperdak's first marriage. They had looked at listings on the Sunshine Coast and, on April 8, 2004, they took the ferry to Bowen Island. The Re/Max office on Main Street was closed but they were able to obtain a pamphlet or newspaper containing the properties on Bowen Island listed for sale (which did not include the Wiesblatt Property). They toured the Island but none of the listed properties were attractive to them. They returned to the ferry terminal and decided to look in the stores on Main Street during the hour wait for the next ferry.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Mr. and Mrs. Koperdak walked towards the stores on Main Street, they noticed the "For Sale" sign on top of the retaining wall at the south end of the Wiesblatt Property and decided to investigate. They walked up the pathway leading to the Chevron Property and proceeded up the Chevron Property near the western boundary of the Wiesblatt Property until they reached the cul-de-sac at the end of Venture Road. They saw the "For Sale" sign at the top of the Wiesblatt Property and identified it as the property for sale. They saw the gate at the top of the pathway leading down the Wiesblatt Property but did not attempt to open it because they respected the privacy rights of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and Mrs. Koperdak proceeded back towards the ferry terminal along the same route. At some point, however, they crossed over onto the Wiesblatt Property. There was a dispute on the evidence whether there was fencing at the point they crossed over from the Chevron Property to the Wiesblatt Property. In their testimony, the Koperdaks gave different reasons for crossing over into private property (they had apparently assumed the Chevron Property to be public property). Mrs. Koperdak testified that she went onto the private property because she had seen that the house looked to be the right size for them and she wanted to know more about the house. Mr. Koperdak testified that he considered their trespassing to be justified because the house appeared vacant and he was not intruding on the privacy of any occupants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and Mrs. Koperdak walked across the southern end of the Wiesblatt Property and up the eastern side. They saw the stairs and landing on the east side of the house. They decided to knock on the door, in the mistaken belief that it was the main entrance of the house. They did not see any problem or sign of weakness with the stairs or the landing as they approached or as they climbed the stairs. Mrs. Koperdak went up the stairs first and her husband followed. When they had both reached the top of the stairs and Mrs. Koperdak was about to knock on the door, the far end of the landing gave way and the landing collapsed. The stairs stayed erect. The Koperdaks initially thought that they had landed softly, with Mrs. Koperdak falling backwards on top of her husband. However, Mrs. Koperdak must have landed awkwardly on her left foot. After she was unable to get up, Mrs. Koperdak lifted her left leg and saw bone sticking out of the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Mrs. Koperdak was taken by water taxi to Horseshoe Bay, where she was transported to the Lion's Gate Hospital. She underwent an operation, in which her left ankle was re-attached by way of a metal plate and screws. She stayed in the hospital for seven days, following which she and her husband returned to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Frost was in Whistler during the Easter weekend after the accident, and she received a phone call from another realtor to advise her of the accident, the details of which were not yet known. Ms. Frost passed the information on to Ms. Pardy, who sent an e-mail to Mr. Wiesblatt on April 10 advising him that someone looking at the house had fallen through the deck. On April 13, Mr. Wiesblatt replied that he had not seen anything wrong with the deck when he last visited the Property but that he did know that the stairs on the east side of the house were not in good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Mrs. Koperdak did not work in her job as a part-time aesthetician for approximately one year after the accident. She continues to have restrictions in her movements as a result of the injury. Mr. Koperdak went to his doctor approximately six months after the accident to be treated for soft tissue injuries. He underwent physiotherapy treatment near the end of 2004 and testified that his pain reappeared near the end of 2005, shortly before he and his wife travelled to the Czech Republic to stay at a spa for several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issues to be determined on the basis of the pleadings are as follows:</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Mr. Wiesblatt liable to Mr. and Mrs. Koperdak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other Defendants liable to Mr. and Mrs. Koperdak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or all of the Defendants are liable to Mr. and Mrs. Koperdak:</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Mr. and Mrs. Koperdak contributorily negligent?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any of the Defendants liable to each other as a result of their third and fourth party claims?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damages are Mr. and Mrs. Koperdak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DISCUSSION</w:t>
      </w:r>
      <w:r>
        <w:rPr>
          <w:rFonts w:ascii="arial" w:eastAsia="arial" w:hAnsi="arial" w:cs="arial"/>
          <w:sz w:val="20"/>
          <w:lang w:val="en-US" w:eastAsia="en-US" w:bidi="ar-SA"/>
        </w:rPr>
        <w:cr/>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u w:val="single"/>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common law relating to occupiers' liability has been replaced in several provinces, including British Columbia, by legislation similar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Mr. Wiesblatt falls within the definition of an "occupier"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because, although he did not reside at the Wiesblatt Property, he had control over the condition of the premises, the activities conducted on the premises and the persons allowed to enter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Subsection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imposes a duty on an occupier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of the circumstances of the case is reasonable to see that a person, and the person's property, on the premises, ...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Subsection 3(2) specifies that the duty of care applies in relation to, among other things, the condition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view, the claims of Mr. and Mrs. Koperdak against Mr. Wiesblatt fail for two reasons. The first reason is that the defect in the landing on the east side of the house was latent and Mr. Wiesblatt had no reason to be aware of it. The second reason is that Mr. Wiesblatt revoked the implied license for members of the public to come onto the Property and took reasonable steps to protect members of the public from any danger on the Property by keeping them off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Sulmona v. Serraglio</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[1986] B.C.J. No. 413</w:t>
        </w:r>
      </w:hyperlink>
      <w:r>
        <w:rPr>
          <w:rFonts w:ascii="arial" w:eastAsia="arial" w:hAnsi="arial" w:cs="arial"/>
          <w:color w:val="000000"/>
          <w:sz w:val="20"/>
          <w:lang w:val="en-US" w:eastAsia="en-US" w:bidi="ar-SA"/>
        </w:rPr>
        <w:t xml:space="preserve"> (C.A.), an appeal of a decision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was dismissed for the reasons given by the trial judge. In that case, a plaintiff attended the defendant's property for the purpose of purchasing a stove. A tier of stairs attached to a deck gave way when the plaintiff and defendant were carrying the stove. The deck was weather-beaten and had been subjected to water seepage. The defendant was in the course of replacing it, but he had not observed any dry rot. The Court of Appeal agreed with the trial judge that there was nothing to indicate that the stairs would not hold the weight of the two men and the stove, and that there was no reason for the defendant to have closely examined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Schwenning v. Rayner</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[1987] B.C.J. No. 487</w:t>
        </w:r>
      </w:hyperlink>
      <w:r>
        <w:rPr>
          <w:rFonts w:ascii="arial" w:eastAsia="arial" w:hAnsi="arial" w:cs="arial"/>
          <w:color w:val="000000"/>
          <w:sz w:val="20"/>
          <w:lang w:val="en-US" w:eastAsia="en-US" w:bidi="ar-SA"/>
        </w:rPr>
        <w:t xml:space="preserve"> (Cty. Ct.), a board on a deck gave way and the plaintiff fell through the deck up to her thigh. Several of the boards on the deck were subsequently found to have dry rot. The plaintiff testified that the deck looked sound and that she had not noticed any loose, rotten or defective boards. The defendants had conducted a normal, visual inspection of the deck before the accident. In dismissing the action, the Court concluded that the defects were latent and not capable of being discovered by the exercise of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present case, there was no evidence explaining why the landing collapsed. Mr. Wiesblatt and his family never used the east entrance to the house, and Mr. Wiesblatt only went on the stairs and landing for the purpose of sweeping off debris. On his last visit to the property, Mr. Wiesblatt glanced at the east entrance to the house and did not observe anything unusual. Whatever the cause for the collapse of the landing, it could not be detected upon a visual inspection and I find that there was no reason in the circumstances for Mr. Wiesblatt to have conducted a more thorough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My conclusion is reinforced by the fact that Mr. and Mrs. Koperdak did not observe any structural or other deficiencies when they climbed the stairs to the landing. In most cases, it would not be of any significance that an injured visitor did not observe any deficiencies. However, the present case is different from most cases for two reasons. First, Mr. Wiesblatt and his family did not use the east entrance to their house and had not lived on the Property for almost three years. Mr. Wiesblatt was not in a better position than Mr. and Mrs. Koperdak to know the condition of the landing. Second, and more importantly, Mr. Koperdak was a professional engineer employed as a project manager for the Toronto Community Housing Association and was more qualified than Mr. Wiesblatt to have observed any defect in the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Mr. Wiesblatt did react to the news that there had been an accident on the Property by responding that the stairs on the east side of the house were not in good condition. He also testified at his examination for discovery and at trial that the stairs were old and worn out. All Mr. Wiesblatt meant by these statements in my view was that the stairs were weather-beaten and worn from previous use. The same situation existed in </w:t>
      </w:r>
      <w:r>
        <w:rPr>
          <w:rFonts w:ascii="arial" w:eastAsia="arial" w:hAnsi="arial" w:cs="arial"/>
          <w:i/>
          <w:color w:val="000000"/>
          <w:sz w:val="20"/>
          <w:lang w:val="en-US" w:eastAsia="en-US" w:bidi="ar-SA"/>
        </w:rPr>
        <w:t>Sulmona v. Serraglio</w:t>
      </w:r>
      <w:r>
        <w:rPr>
          <w:rFonts w:ascii="arial" w:eastAsia="arial" w:hAnsi="arial" w:cs="arial"/>
          <w:color w:val="000000"/>
          <w:sz w:val="20"/>
          <w:lang w:val="en-US" w:eastAsia="en-US" w:bidi="ar-SA"/>
        </w:rPr>
        <w:t xml:space="preserve"> (where the defendant was also aware of water seepage). Mr. Wiesblatt had not observed dry rot or any other condition which would have caused the landing to collapse.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heard considerable evidence about the condition of the deck on the west and south sides of the upper level of the house. However, the accident did not occur on that deck and there was no evidence about the condition of the deck which should have reasonably caused Mr. Wiesblatt to make a more thorough inspection of the east stairs and landing. The potential unsafe condition of the deck related not to its structure but to its slipperiness, loose surface boards and wobbly railings. Neither Mr. Wiesblatt nor Ms. Frost had any concerns about allowing their children to be on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fact that the house was considered to be a "tear down" does not mean that it was unsafe. As explained by Ms. Frost and Ms. Pardy in their testimony, the term "tear down" simply means that it is more economical for a purchaser to tear down the existing house and build a new house than to renovate the existing house to their liking.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Statements of Claims in the two actions, Mr. and Mrs. Koperdak pleaded that the Defendants had been told by a carpenter that the decks should be shored up or replaced and that there should have been a warning that the decks were unsafe like the warning posted on the website of Re/Max Crest Realty advertising the Property for sale. Those allegations may well have supported a finding of liability if they had been proved. However, there was no admissible evidence about a carpenter giving any such advice. The posting on the website did warn that the decks were unsafe, but it was proven at trial that the posting was made after the date of the accident and that the warning was given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second reason why the claims of Mr. and Mrs. Koperdak fail is that Mr. Wiesblatt had revoked the implied licence for members of the public to come onto the Property and had made reasonable efforts to keep members of the public off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licence for members of the public to walk on private property often arises in the criminal context, and the leading authority is a criminal decision, </w:t>
      </w:r>
      <w:r>
        <w:rPr>
          <w:rFonts w:ascii="arial" w:eastAsia="arial" w:hAnsi="arial" w:cs="arial"/>
          <w:i/>
          <w:color w:val="000000"/>
          <w:sz w:val="20"/>
          <w:lang w:val="en-US" w:eastAsia="en-US" w:bidi="ar-SA"/>
        </w:rPr>
        <w:t>R. v. Evans,</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[1996] 1 S.C.R. 8</w:t>
        </w:r>
      </w:hyperlink>
      <w:r>
        <w:rPr>
          <w:rFonts w:ascii="arial" w:eastAsia="arial" w:hAnsi="arial" w:cs="arial"/>
          <w:color w:val="000000"/>
          <w:sz w:val="20"/>
          <w:lang w:val="en-US" w:eastAsia="en-US" w:bidi="ar-SA"/>
        </w:rPr>
        <w:t>. In that case, the Supreme Court of Canada confirmed at [paragraph]13 that occupiers of a dwelling house give an implied licence to any member of the public, including a police officer, on legitimate business to come onto the property. However, the Court also confirmed that the implied licence may be revoked and gave an example at [paragraph]42 of the occupier installing a locked gate at the entrance to the property. In the present case, Mr. Wiesblatt did revoke the implied licence by locking the front gate to the Property when he and his family moved away from Bowen Island in 2001 (and when Mr. Wiesblatt last visited the Property in February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the context of occupiers' liability legislation, the courts have expressed the issue in terms of whether an unsafe condition on property has been put "off limits". In </w:t>
      </w:r>
      <w:r>
        <w:rPr>
          <w:rFonts w:ascii="arial" w:eastAsia="arial" w:hAnsi="arial" w:cs="arial"/>
          <w:i/>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83 D.L.R. (4th) 114</w:t>
      </w:r>
      <w:r>
        <w:rPr>
          <w:rFonts w:ascii="arial" w:eastAsia="arial" w:hAnsi="arial" w:cs="arial"/>
          <w:color w:val="000000"/>
          <w:sz w:val="20"/>
          <w:lang w:val="en-US" w:eastAsia="en-US" w:bidi="ar-SA"/>
        </w:rPr>
        <w:t xml:space="preserve"> (S.C.C.), Iacobucci J. said the following at p. 128: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goals of the Act are to promote, and indeed, require where circumstances warrant, positive action on the part of occupiers to make their premises reasonably safe. The occupier may, however, wish to put part of his property "off limits" rather than to make it safe, and in certain circumstances that might be considered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Examples of decisions considering whether reasonable efforts had been taken to put unsafe property "off limits" include </w:t>
      </w:r>
      <w:r>
        <w:rPr>
          <w:rFonts w:ascii="arial" w:eastAsia="arial" w:hAnsi="arial" w:cs="arial"/>
          <w:i/>
          <w:color w:val="000000"/>
          <w:sz w:val="20"/>
          <w:lang w:val="en-US" w:eastAsia="en-US" w:bidi="ar-SA"/>
        </w:rPr>
        <w:t>Sall v. School District 43 - Coquitlam</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(1996), 31 B.C.L.R. (3d) 18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Chretien v. Jensen</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(1998), 58 B.C.L.R. (3d) 186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present case, I find that Mr. Wiesblatt did take reasonable steps to make the Property "off-limits" to members of the public. The entire property was fenced and the two gates were locked. Mr. Wiesblatt did not have knowledge that part of the fence had been pushed down. While he knew that members of the public walked on the Chevron Property, Mr. Wiesblatt was not aware that members of the public came onto the Wiesblatt Property when the gates were locked. I find that Mr. Wiesblatt had no reason to believe that the fencing and locked gates were not accomplishing their intended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listing of the Wiesblatt Property for sale did not constitute an invitation to members of the public to come over the fence onto the Property. Mr. Wiesblatt testified that he specifically instructed Ms. Pardy to put "By Appointment Only" on the "For Sale" signs because he wanted to discourage people from climbing the fence. Mrs. Koperdak conceded that she was familiar with the procedures for buying and selling real estate, including the procedures that dealings between the buyer and seller are conducted through the realtor and that arrangements to view a property for sale are made through the realtor. Mr. Koperdak was also experienced in dealing with real estate agents in buying and selling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do not accept the evidence of Mr. and Mrs. Koperdak at trial that they simply followed a path onto the Wiesblatt Property and did not step over a downed fence. Rather, I find the truth to be the evidence given by Mr. and Mrs. Koperdak at their examinations for discovery. Mr. Koperdak was shown a photo of the south-west gate on the Wiesblatt Property at his examination for discovery and admitted that he and his wife had entered the Property at a point adjacent to the gate where it appears that someone used a piece of wood to press down the wire fence. On her examination for discovery, Mrs. Koperdak was shown the same photo and stated that she did not remember if they entered the Property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Wiesblatt was not aware that part of the fence had been pushed down. Ms. Frost testified that when she walked the Wiesblatt Property on February 27, 2004, she did not see any breeches in the fencing. The fact that part of the fencing may have been pushed down by someone other than Mr. and Mrs. Koperdak did not give them licence to climb over the downed fence.</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Crest Realty Ltd., Colonial Pacific Realty Ltd. and Ms. Pardy all dispute that they owed any duty of care to prospective purchasers and say that, if a duty was owed, they did not breach the standard of care. During closing submissions, counsel for Mr. and Mrs. Koperdak effectively conceded that their claim could not succeed against Colonial Pacific Realty Ltd. and Ms. Pardy.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Assuming, without deciding, that real estate agents have a duty to warn prospective purchasers of dangers on properties they list for sale, I find that there was no breach of the standard of care of a reasonably prudent realtor. Ms. Pardy had never been on the Wiesblatt Property and did not know of the existence of the landing which collapsed. While Ms. Frost did view the Property, she was not aware of the landing because overgrown vegetation discouraged her from attempting to access the east side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If the realtors had been aware or should have been aware of the danger represented by the east side landing, they may have had a duty to warn prospective purchasers of the danger. In this case, however, neither of the realtors was even aware of the east side landing and they had no reason to believe that there was a danger on the east side of the house. Accordingly, the claims of Mr. and Mrs. Koperdak against the realtors cannot succeed.</w:t>
      </w:r>
      <w:r>
        <w:rPr>
          <w:rFonts w:ascii="arial" w:eastAsia="arial" w:hAnsi="arial" w:cs="arial"/>
          <w:sz w:val="20"/>
          <w:lang w:val="en-US" w:eastAsia="en-US" w:bidi="ar-SA"/>
        </w:rPr>
        <w:cr/>
      </w:r>
    </w:p>
    <w:p>
      <w:pPr>
        <w:numPr>
          <w:numId w:val="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I have concluded that none of the Defendants are liable to Mr. and Mrs. Koperdak, it is unnecessary to deal with the remaining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While I sympathize with Mrs. Koperdak for the severe injury she incurred, the claims against the Defendants have not been proven. Both of the actions are dismissed. Subject to the effect of any offers of settlement, the Defendants are entitled to their party and party costs of these actions against Mr. and Mrs. Koperdak, to be assessed at scale 3 of Appendix B to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TYSOE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5"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Kralik v. Mt. Seymour Resorts Ltd., [2007] B.C.J. No. 360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February 26,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S050933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360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258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389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155 A.C.W.S. (3d) 852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Peter Kralik, Plaintiff, and Mount Seymour Resorts Ltd., John Doe and Pam Melsness,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6"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4" w:name="Keywords_6"/>
      <w:bookmarkEnd w:id="134"/>
      <w:r>
        <w:rPr>
          <w:rFonts w:ascii="arial" w:eastAsia="arial" w:hAnsi="arial" w:cs="arial"/>
          <w:b/>
          <w:color w:val="000000"/>
          <w:sz w:val="20"/>
          <w:lang w:val="en-US" w:eastAsia="en-US" w:bidi="ar-SA"/>
        </w:rPr>
        <w:t>Damages — General categories — For personal injuries — Loss of earning capacity — Non-pecuniary damages, including pain and suffering — Retroactive loss of income — Non-pecuniary award — $60,001 to $80,000 — The plaintiff was awarded $75,000 in non-pecuniary damages, $152,000 in lost wages, and $300,000 for lost capacity over his working life after breaking his arm when falling from a chairlift — The lift operator clearly breached the standard of care by failing to ensure that he had loaded properly, by failing to realize there was a problem and by failing to stop the chair.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Arm injuries — Fractures — The plaintiff was awarded $75,000 in non-pecuniary damages, $152,000 in lost wages, and $300,000 for lost capacity over his working life after breaking his arm when falling from a chairlift — The lift operator clearly breached the standard of care by failing to ensure that he had loaded properly, by failing to realize there was a problem and by failing to stop the chair.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The plaintiff was awarded $75,000 in non-pecuniary damages, $152,000 in lost wages, and $300,000 for lost capacity over his working life after breaking his arm when falling from a chairlift — The lift operator clearly breached the standard of care by failing to ensure that he had loaded properly, by failing to realize there was a problem and by failing to stop the chair.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To invitees — The plaintiff was awarded $75,000 in non-pecuniary damages, $152,000 in lost wages, and $300,000 for lost capacity over his working life after breaking his arm when falling from a chairlift — The lift operator clearly breached the standard of care by failing to ensure that he had loaded properly, by failing to realize there was a problem and by failing to stop the chair.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5" w:name="Case Summary_6"/>
            <w:bookmarkEnd w:id="13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fractured his shoulder while skiing and the liability of the defendants, the resort and a lift operator, were at issue -- The plaintiff did not properly mount the chairlift, which he alleged was wet with ice and snow, and he fell three feet to the ground, injuring his right shoulder -- The plaintiff claimed that the attendant had failed to stop the lift -- HELD: The plaintiff was awarded $75,000 in non-pecuniary damages, $152,000 in lost wages, and $300,000 for lost capacity over his working life -- It was clear the defendant lift operator had not done several things she was required to do, including reporting a "code 5" to the base operator, recording the stop of the chairlift, informing her supervisor, or fill out incident reports -- The court found that she had failed to stop the lift, and that she had clearly breached the standard of care by failing to ensure that he had loaded properly, by failing to realize there was a problem and by failing to stop the chair -- The plaintiff let go and fell because he was afraid of going higher and placing himself in more danger; the court found that had the chair been stopped, the plaintiff could have held on until he was safely removed from the chair -- The resort was vicariously liable -- The plaintiff was not contributorily negligent due to his moment of inattention -- The court found the plaintiff was cleaning the seat because he wanted to stay dry, not because he was concerned about his safety -- The plaintiff had suffered a serious fracture to his right arm, and was completely disabled for six months -- He would be unable to return to work as a painter, and his lifestyle had changed -- He was awarded $75,000 in non-pecuniary damages, $152,000 in lost wages, $300,000 for lost capacity over his working life (as he needed to retrain for a new job in the computer industry) -- The claim for punitive damages was dismissed as there was no separate actionable wrong -- The plaintiff was awarded double costs due to a rejected offer to settle for $200,000.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6" w:name="Legislation Cited_7"/>
      <w:bookmarkEnd w:id="1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7"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Act, </w:t>
      </w:r>
      <w:hyperlink r:id="rId191" w:history="1">
        <w:r>
          <w:rPr>
            <w:rFonts w:ascii="arial" w:eastAsia="arial" w:hAnsi="arial" w:cs="arial"/>
            <w:i/>
            <w:color w:val="0077CC"/>
            <w:sz w:val="20"/>
            <w:u w:val="single"/>
            <w:shd w:val="clear" w:color="auto" w:fill="FFFFFF"/>
            <w:lang w:val="en-US" w:eastAsia="en-US" w:bidi="ar-SA"/>
          </w:rPr>
          <w:t>R.S.B.C. 1996, c. 124, s. 14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7" w:name="Counsel_7"/>
      <w:bookmarkEnd w:id="1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8"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Maryn &amp; Y.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 Kennedy &amp; C.E. Hinkson,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8" w:name="Judgment_7"/>
      <w:bookmarkEnd w:id="138"/>
      <w:r>
        <w:pict>
          <v:line id="_x0000_s1069" style="position:absolute;z-index:25182003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May 7, 2007.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9" w:name="BENNETT J. (orally)"/>
            <w:bookmarkEnd w:id="139"/>
            <w:r>
              <w:rPr>
                <w:rFonts w:ascii="arial" w:eastAsia="arial" w:hAnsi="arial" w:cs="arial"/>
                <w:b/>
                <w:color w:val="000000"/>
                <w:sz w:val="30"/>
                <w:lang w:val="en-US" w:eastAsia="en-US" w:bidi="ar-SA"/>
              </w:rPr>
              <w:t>BENNETT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March 16, 2003 was a poor day for skiing on Mount Seymour. It was spring break and the mountain was busy. It was foggy and drizzling at the base. However, Peter Kralik and his then 16-year-old son, Tomas, both recent immigrants to Canada from Slovakia, decided to spend the day skiing together at the mountain. They went on several runs on the Mystery Chair and on their last run, around noon, Peter Kralik had a serious accident and fractured his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How the accident happened, the liability of the defendants Mount Seymour Resorts Ltd. ("Mount Seymour") and Pam Melsness, and damages are in issue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Peter Kralik and his son lined up to take the chairlift for their last run just before lunch. This particular lift has a boarding area that is 4.4 metres in length before the chair ascends up the mountain. There is another metre of ramp and it then drops off as the chair ascends. The chair was moving at 1.7 metres per second, which is a slow speed. Normally, the skier moves from the line to the loading area as the seat approaches and then sits on the chair. The time to be seated is usually ample. Mr. Kralik was an experienced skier. He had loaded onto chairlifts many times. He had ridden the Mystery Chair several times that day. He did not need help boarding the chair, and although he has seen lift attendants hold the chairs for people boarding, this lift attendant did not hold the chair nor did he expect that she would hold the chair for him. Mr. Kralik estimated that the ramp was four metres and that it would take three to four seconds for the chair to clear the end of the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Gow, an expert called by the defence, stated that at the speed of 1.7 metres per second, it would take 2.7 seconds for the chair to travel from the loading area to the place where the chair ascends, and 3.2 seconds in total to the end of the ramp. The ramp is, as noted, 5.4 metres in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Kralik testified that the seat on the chairlift had become wet with ice and snow and he had turned to brush it off. He said he was having trouble chipping the ice off the chair and he suddenly realized that he was right at the edge of the loading ramp and had no time to sit down. His son had seated himself normally and Mr. Kralik grabbed the seat. Tomas grabbed him in the vain hope he could climb onto the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chair kept moving and began to rise up the mountain with Mr. Kralik dangling from the chair. He decided that it would be safer to drop at that juncture rather than go any higher and put himself in more danger. He fell about three metres. All of this happened in a matter of a few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Kralik said that he landed on his feet and then fell forward. He felt a sharp pain in his shoulder when he landed on the ground. He realized that he could not move his right arm. He is right-handed.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looked back to see where Tomas was and gave him a wave. He then looked around for his glasses, found them, undid the bindings of his skis with his left hand and then gathered up his equipment. This took approximately three to five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his discovery, Mr. Kralik said it took him seconds to get up, however the question was in relation to him standing up, not the time he laid in the snow or the time it took him to gather his equipment. I do not find that this was a prior inconsistent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considerable pain, Mr. Kralik climbed up the embankment to the loading area of the lift. He had considerable difficulty climbing up the embankment because it was slippery and he was in great pain. It took him approximately five to ten minutes to climb up the embankment. The embankment is shown on the videos and in the photos. It is a fairly steep slope. Witnesses estimate it being between one and a half to three metres in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Here, says Mr. Kralik, he met the lift attendant who he now knows was Pam Melsness. He said when he approached Ms. Melsness she said words to the effect of, "What are you doing here? Why are you there?" He said she looked surprised to see him. She did not appear to believe him when he told her that he had fallen from the chair. He felt that he was bothering her. He said Tomas arrived shortly afterwards, while Mr. Kralik was talking to Ms. Melsness. Mr. Kralik told Ms. Melsness that he was hurt and that he could not move his arm. Ms. Melsness notified ski patrol, and the patroller Mike Traslin arrived and transported Mr. Kralik to the first aid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Kralik testified that the chairlift was never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Traslin contacted another employee on the mountain who was from the Czech Republic. He spoke to Mr. Kralik in Czech, which Mr. Kralik speaks. They suggested he attend a walk-in clinic in North Vancouver. Mr. Kralik did not recall that they offered to call an ambulance, and Tomas Kralik did not recall that they offered to call an ambulance either. Mr. Traslin believes he did offer to call an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clear from the evidence, including that of Mr. Kralik, that Mr. Kralik did not wish to be a bother to anyone. At the time he felt a bit foolish about what had happened. I find that even if an ambulance was offered, Mr. Kralik would not have accepted the offer. He drove down the mountain with his son and his son helped him change the gears in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attended at a walk-in clinic and the clinic doctor sent him to Lion's Gate Hospital for x-rays. The x-rays showed that Mr. Kralik fractured his right humerus. Neither the clinic doctor nor the staff at Lion's Gate Hospital suggested he take an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next saw a locum at his family physician's office and was sent to Burnaby General Hospital. He was seen there by an orthopaedic surgeon, Dr. Tarazi, and had surgery on his shoulder within days. His medical recovery is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Kralik expected that the lift attendant would look after his safety and would stop the chair when he did not board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Kralik's evidence is supported by his son, who testified that he sat down on the chair normally, but his father tried to chip off snow on the chair as his father's pants were wet. He said before his father noticed, the chair started to go up and he grabbed the chair and Tomas grabbed his father. Mr. Kralik told Tomas to let go and then Mr. Kralik fell. Tomas saw his father lying on the ground and then he saw him wave. Tomas testified that the chair never stopped. When Tomas skied down the hill and arrived at the base, he said he saw his father talking to "the lady", who I infer was the lift operator and defendant Pam Melsness. He said his father was apologetic. His father appeared to be in pain and told Ms. Melsness that he was hurt. She called for help and a ski patroller arrived on a snowmobile and took his father to the first aid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evidence that the chairlift takes about 12 minutes to ascend at the faster speed and that it takes approximately two to three minutes to ski down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attack the credibility of Tomas Kralik on the basis that first, he identified Pam Melsness as being the same lift attendant for all the times they went up the mountain. Ms. Melsness was only present for the last run as she had just come on shift. However, the videos and photos show that when the lift operators are bundled up, it is very difficult to determine who the person is underneath all the winter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find that Tomas made a mistake when he identified Ms. Melsness. Mistaken identification is not unknown in these courts. Honest witnesses make mistakes, and I conclude that Tomas made such a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next basis for attacking his credibility is as a result of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At the pre-trial conference, counsel for the plaintiff was ordered, as I was told, to provide a will-say statement of Tomas Kralik. When cross-examined by the defendant on this statement, Tomas denied saying a number of things in the statement. Counsel for the defendant did not seek to prove the prior statement as required by s. 14 of the B.C. </w:t>
      </w:r>
      <w:r>
        <w:rPr>
          <w:rFonts w:ascii="arial" w:eastAsia="arial" w:hAnsi="arial" w:cs="arial"/>
          <w:b/>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xml:space="preserve">, nor was there any request to have the statement admitted for the truth of the contents based on the principled approach to the admission of hearsay statements. Therefore, the statement cannot be used by me for any purpose. For an extensive review of these principles, see </w:t>
      </w:r>
      <w:r>
        <w:rPr>
          <w:rFonts w:ascii="arial" w:eastAsia="arial" w:hAnsi="arial" w:cs="arial"/>
          <w:b/>
          <w:i/>
          <w:color w:val="000000"/>
          <w:sz w:val="20"/>
          <w:lang w:val="en-US" w:eastAsia="en-US" w:bidi="ar-SA"/>
        </w:rPr>
        <w:t>R. v. Eisenhauer</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[1998] N.S.J. No. 28</w:t>
        </w:r>
      </w:hyperlink>
      <w:r>
        <w:rPr>
          <w:rFonts w:ascii="arial" w:eastAsia="arial" w:hAnsi="arial" w:cs="arial"/>
          <w:color w:val="000000"/>
          <w:sz w:val="20"/>
          <w:lang w:val="en-US" w:eastAsia="en-US" w:bidi="ar-SA"/>
        </w:rPr>
        <w:t xml:space="preserve">, leave refused </w:t>
      </w:r>
      <w:hyperlink r:id="rId193" w:history="1">
        <w:r>
          <w:rPr>
            <w:rFonts w:ascii="arial" w:eastAsia="arial" w:hAnsi="arial" w:cs="arial"/>
            <w:i/>
            <w:color w:val="0077CC"/>
            <w:sz w:val="20"/>
            <w:u w:val="single"/>
            <w:shd w:val="clear" w:color="auto" w:fill="FFFFFF"/>
            <w:lang w:val="en-US" w:eastAsia="en-US" w:bidi="ar-SA"/>
          </w:rPr>
          <w:t>[1998] S.C.C.A. No. 144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Melsness' evidence is quite different. She testified she worked as a lift operator during the 2001-2002 season. The next season, she worked as a ski patroller. Towards the end of the season, the mountain was short-staffed and she volunteered to work hours as a lift attendant in order to earn more money so she could attend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According to the log sheet, she started her shift on March 16, 2003 at the Mystery Chair at 11:50 a.m. She does not specifically recall what she did that day when she arrived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did recall the incident with Mr. Kralik. She said she had been working about ten minutes when Mr. Kralik arrived at the lift to load. She said she was standing at the load line and the control panel for the lift was to her right. She said that Mr. Kralik and his son were in correct position to load and Mr. Kralik was brushing snow off his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later in evidence said the seats were wet, and in cross-examination said that there was nothing on the seat when she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saw Mr. Kralik moving down the ramp. She said she was watching him because he had not loaded yet. She also recalled children in line behind the Kraliks and said that they were little enough that she was paying special attention to them. However, she said she was also watching Mr. Kralik and when she saw that he was not sitting down when he was further down the ramp, she said she pushed the stop button on the control panel. She turned her attention to a child that was loading to make sure he did not get hit by the chair. She said that she had pushed the button when Mr. Kralik was close to the edge of the ramp and she knew that the chair had stopped past the ramp but she did not know how far past the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evidence from Mr. Gow that there is seconds of stopping time once the stop button is pushed.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Ms. Melsness looked back she could not see Mr. Kralik. She said she walked to the edge of the ramp and saw that he was already standing up. She went down to him and said she carried his skis up to the top of the slope. She said that people clear their chairs all the time, but she has never seen anyone go over the edge before. She said there is nothing unsafe about cleaning the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motor of the chairlift is very loud which was also apparent in the video. She did not shout a warning because he likely would not have heard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said she asked him about his injuries right away and did an assessment on him. Yet, she says she permitted him to walk up the steep embankment knowing that he had a serious shoulder injury. She agreed she could have called ski patrol from where she was and the patrol would have come directly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said when she got to the top of the embankment another lift operator was there, Lisa Corcoran. Dave Shaughnessy was also on shift that day and in the vicinity, according to the log records. Lisa Corcoran was not called to testify. It was agreed by counsel that at this point she has no recollection of the day whatsoever. It is also clear that she was not interviewed in a timely way by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Melsness told Lisa Corcoran to start the lift. Ms. Melsness called for ski patrol according to the radio logs at 12:05 p.m. Ms. Melsness said that Mike Traslin, the ski patroller arrived, and did an assessment of Mr. Kralik. This was done outside and must have been a cursory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Melsness said that Tomas arrived ten minutes after the ski patroller arrived. This is completely contradictory to the evidence of Tomas Kralik. I will address this conflict in a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Melsness did not log the stop of the chairlift. She did not fill out any report of the incident. She did not notify her supervisor of the incident. She did not indicate the call was Code 5 which this incident was, according to the Mount Seymour Lift Operations Manual. Ms. Melsness was familiar with the Lift Operations Manual. I will quote from the Lift Operations Manual with respect to the responsibility of the staff witnessing incidents. This is under the heading of a chapter called Risk Management, starting at p. 33 of the manual: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Responsibility for Staff Witnessing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witness an accident or if someone reports an accident to you, contact Base Radio immediately to report it. Make sure you give as exact a location as possible.</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no further danger, i.e./stop lift, extinguish fire, no further movement of patient, etc.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first aid a priority, i.e. call base radio immediately with an exact location of the accident. Base radio will make sure that the appropriate people attend the scene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 crowd control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Preserve accident scene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witnesses and retain them --- statement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 Ski Patrol or other Risk Management staff</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to resume your duties as soon and as efficiently as possible</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Complete an Incident Report Form/Passenger Ropeway Incident Report if asked to do so by your supervisor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Reporting an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 this information from a person reporting, or if you are reporting it yourself.</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did it happen specifically (use trail maps as well as location reference points such as tower numbers)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person still there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nature of the injury or possible cause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someone who can take Patrol directly to the injured party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Retain witnesses for statements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Try to confirm reported actions with other guests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Code 5s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Code 5 is an incident or accident which may lead to an attempted liable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Mount Seymour. Any accident or incident involving company equipment or property is a code 5. Code 5's require that a Passenger Ropeway Incident Report' be completed and sent into the Ministry immediately. The Operations Manager and your Supervisor will ensure that the proper steps are taken in the serious matter of code 5's however, </w:t>
      </w:r>
      <w:r>
        <w:rPr>
          <w:rFonts w:ascii="arial" w:eastAsia="arial" w:hAnsi="arial" w:cs="arial"/>
          <w:b/>
          <w:color w:val="000000"/>
          <w:sz w:val="20"/>
          <w:lang w:val="en-US" w:eastAsia="en-US" w:bidi="ar-SA"/>
        </w:rPr>
        <w:t>it is your responsibility to inform base radio if the incident/accident you are reporting is a code 5.</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not make statements to anyone regarding code 5s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Refer questions to the Operations Manager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Passenger Ropeway Incidents Reports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be completed any time any accident or incident involving company property or equipment or a code 5 occurs; one reason why it is so important that when reporting an accident you must inform Base Radio if it is a code 5</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be sent off to the Ministry immediately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supervisor must attend incidents involving lift equipment or lift stations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member of the pro-patrol must attend these incidents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Reports are confidential and must not be discussed with anyone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Forms are located in the back of the Lift Operations' Manual at every lift station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Incident Reports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in-house' form completed any time an incident occurs which may potentially lead to an attempted liable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Mount Seymour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Kept on hill so we have a record in case, in the future, someone attempts to find the mountain at fault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Completed Lift Logs become part of the Incident Report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three special cases listed. The third applies and is as follows:</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Accidents involving lifts require the completion of a Passenger Ropeway Incident Report and Senior Lift Operations Supervisor or Management must attend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Melsness said that she was concerned about Mr. Kralik's injury and did not turn her mind to recording the stop in the log. She was well aware that she had to record chairlift stops and had in fact recorded at least one other stop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asked why she did not report the incident to the base radio as a Code 5, she said that the patroller or lift supervisor decides if the incident is Code 5. She then said that the base radio operator would ask if it was a Code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Spentzas who took the radio call at the base station said that he did not have enough information to call a Code 5 and that the code is determined by the control person. The manual as noted says that it is the lift operator's job to report Code 5 to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Carlson who is the lift operations manager, testified that although the manual states this, she trains her lift attendants that it is for ski patrol to report a Code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frankly do not accept Ms. Carlson's evidence on this point. All the witnesses testified that it was someone else's job to report the Code 5. Her evidence makes no sense. If the lift operator sees the incident and calls the base radio, given that everyone identified safety as the most important issue on the mountain, it is logical that the lift operator would identify it as a Code 5 out of an abundance of caution at the least, so everyone responding would be prepared for a serious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After considerable prompting, Ms. Carlson also agreed that where the manual states, "A daily occupational record shall be maintained" that means it is a mandatory record of events. This refers to the manual at p. 42 where it states under the chapter called, "IT'S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11.18.1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daily operational record shall be maintained.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11.18.2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Entries shall be made in the daily operational record, giving the following minimum information: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Then it sets out the information regarding the tension and carriage systems.</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date;</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names and duty stations of operating personnel;</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operating hours and purpose of operations;</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temperature, wind, and weather conditions and changes, with times of changes noted;</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 of compliance with daily operational inspection;</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and condition of the tension carriage,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counterweights, or other tensioning devices;</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accidents, malfunctions, or abnormal occurrences during operation; and</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signature of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Kavan Smith was the lift supervisor on March 16, 2003. She was not notified of the Kralik incident by Ms. Melsness. In her opinion, this was a Code 5 incident. She said that had she been notified she would have made sure the incident was properly documented, the witnesses' statements taken, records kept and sent to the Ministry, and photos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Smith testified that Ms. Melsness should have reported the incident to her according to the manual. She agreed that Ms. Melsness should have completed the appropriate paperwork including "the passenger ropeway incident report". Ms. Smith agreed that it was inexcusable not to document a stop of the chairlift, especially when an injury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When Ms. Melsness was asked why she did not do certain things such as collect witnesses, notify her supervisor, or make her reports, Ms. Melsness responded that her priority was helping Mr. Kralik because she knew his shoulder was injured. This answer is not consistent with the fact that she did not call for the patrol at the bottom of the embankment knowing, she said, that he was suffering a serious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stark difference in the evidence between Mr. Kralik and Ms. Melsness must be resolved. Each witness appeared truthful. Ms. Melsness was on occasion flippant with counsel when she was being cross-examined. Every trial judge knows however that demeanour of a witness does not necessarily equate with truthfulness or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Kralik's son supported his version of events, however, I am alive to the fact that the relationship between them may influence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turn to independent factors which may assist in determining which version of events is correct with respect to the issue of the chair stopping.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evidence of Ms. Melsness and from the supervisor Ms. Smith and the lift operations manager Ms. Carlson, makes it clear that Ms. Melsness did not do a number of things that she was required to do. She did not report a Code 5 to the base radio operator. She did not record the stop of the chairlift. She did not notify her supervisor which was mandatory. She did not fill out incident reports which were mandatory, and she did not follow the procedures set out in the operations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her explanation for failing to do these things is frail. She said she wanted to make sure Mr. Kralik was fine, except as I have already mentioned, she did not call for ski patrol at the site when he was clearly seriously injured. All of these incidents lead to one conclusion. Ms. Melsness did not call ski patrol at the bottom of the hill because she never was at the bottom of the hill. She did not report or record as she was required to do because she did not do the main thing she had to do and that was to stop the chairlift. No stop was recorded, because she did not stop the 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as a fact that Ms. Melsness was paying attention to the children who were about to board and she did not pay attention to Mr. Kralik once she concluded that he was an experienced skier. She did not see that he ran into trouble with the loading. She did not stop the chairlift, and did not see him until he climbed to the top of the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short, for the reasons above, I do not accept the evidence of Ms. Melsness.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If the evidence of Ms. Melsness were true, Tomas could not have arrived at the bottom of the base until much later than when he said he did. If she had stopped the chair, he would have taken longer to arrive than if she did not stop the chair. If she did not stop the chair, Mr. Kralik's evidence was correct and Tomas would have arrived at the base of the mountain when he said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Traslin cannot assist because he does not recall what occurred at the chair as his recollection started at the first aid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Lisa Corcoran, the only other witness who could verify Ms. Melsness' evidence was not called as a witness because she had no recollection of the events and was not interviewed in a timely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the evidence of Tomas coming down the hill cuts both ways with respect to whose version to accept, I have not used it to assess whether Ms. Melsness stopped the chair. That would have led me into a circular thinking in terms of the assessment of credibility. However, having made a finding that she did not stop the chair, I accept the evidence of Tomas that he arrived at the bottom of the hill before the ski patrol as that is consistent with my finding of fact that the chairlift did not stop. Tomas Kralik's evidence supports his father's version of events. There is no evidence (having found Ms. Melsness' evidence unreliable) to contradict Mr. Kralik. I accept Mr. Kralik's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turn now to some of the specific incidents raised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Ice and Snow on the Chairlift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Kralik testified that the seats were snowy and icy and wet. The last chair was covered he said with about one centimetre of old snow and ice. He said he could not get rid of the ice on the chair. He said he was afraid to sit down on an icy chair. He said his pants were wet from other rides and he had started to feel cold.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Tomas Kralik testified that there was a layer of ice and snow on the chair and that his father was trying to clean it off. He said his father's pants were wet from the wet seats. Tomas testified that it was snowing at Mount Seymour. He said that they were concerned that they might slide out of the seat because it was slippery. However, Tomas never cleaned his seat off. He had new pants and he was not concerned about getting wet. He was obviously never so concerned about the seat being slippery and dangerous that he felt he had to clean the seat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was drizzling at the base of the mountain and it could have been snowing at the top, but not enough for any new snow to accumulate. The evidence was that it was colder at the top of the mountain than on the bottom, and the water on the seats could have frozen creating a layer of ice since there had been trace snow overnight.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Normally, the seats are cleaned at the beginning of the day. Ms. Smith opened the Mystery Chair and her records indicate the seats were cleaned. The record is not completely accurate as it is contradictory regarding whether there was someone on the return tower, however Ms. Smith indicated that she was careful and would have ensured that the seats were cleaned. She says she would not have opened the lift if there had been ice and snow on the chairs.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accept Ms. Smith's evidence with respect to the opening of the lift and the fact the chairs were cleaned.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Smith said that Mystery Chair was a busy chair and that there would not be time for ice and snow to build up as people were using the chair constantly. The seats had a vinyl weave covering and water beads on the seat. The water does not make the seat slippery. The seat tips backwards once the passenger is on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accept that there was some snow on the seat and some ice. Obviously, something held Mr. Kralik's attention for too long. However, the snow and ice on the seats did not cause a hazard on this day. The snow did not contribute to the accident in the sense that I find that Mr. Kralik was cleaning the seat because he wanted to stay dry, not because he was concerned about his safety. Mr. Kralik may now believe that this is one of the reasons he cleaned the seat however, his actions at the time and his son's actions do not support that the reason for cleaning the seat was safety. Further, if the skier is seated properly in the seat and sits quietly it would be very difficult for a person to simply fall out of the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Whether a Second Person was Working at the 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Melsness testified that when the incident happened, she was the only lift operator. There is evidence that there is always only one person involved in loading passengers. Another person loading would get in the way. The video and photos depicted a lift attendant loading and watching the ascending passengers. It is clear that when done properly one person is capable of doing this job. Often there is another person at the loading area, taking tickets or doing maintenance, and according to the records, Dave Shaughnessy was there and Lisa Corcoran was coming on to the shift. The records indicate that at the time of the incident there were two people on shift at the bottom of the Mystery Chairlift. Because of the way that the records were kept it was suggested that there was no one at the return station. However, it also indicates that Nick Coles did the check up the lift when he and Ms. Smith opened the Mystery Chair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Nick Coles testified that he was at the lift that day, although he had no independent recollection. He said the chairlift would not start if no one was at the top. There was a stop recorded that morning on the log record from the return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as a fact that there was a lift attendant at the top of the return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Location of Ms. Melsness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Tomas Kralik testified that Ms. Melsness was not at the loading area when they loaded. Mr. Kralik could not say where she was. Ms. Melsness testified that she was at the loading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am satisfied Ms. Melsness was where she was supposed to be. The mountain was too busy given it was spring break, for her to wander off from her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noted above, the loading ramp was 5.4 metres long. A skier loading has 2.6 seconds to sit down before the chair ascends and the chair travels another .6 seconds to the end of the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Coles could not recall anyone being pushed off the end of the ramp when he worked there. Dave Shaughnessy testified that people went off the ramp. Mr. Shaughnessy's evidence is frankly vague and general. Ms. Smith said she has fallen off different chairlifts several times. This does not mean that there is a design flaw in the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Gow testified that the ramp was adequate for its purpose. Further, Mr. Gow gave evidence that a longer ramp in fact causes loading problems on chairlifts.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as a fact that the ramp length was satisfactory when skiers loaded as was the usual practice. The fact that Mr. Kralik did not load in time and perhaps once in a while others did not load in time does not mean that the ramp was not an adequate length or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order to find the defendants negligent there must be a duty of care to Mr. Kralik. The standard of care to be exercised by the defendants was that of an ordinary, reasonable and prudent person in the same circumstances. In order to assess whether the standard of care was appropriate, I may look at custom, industry practice and statutory and regulatory standards. If there was a breach of that standard of care, the issue is whether the damages which resulted were caused by the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raised a number of issues upon which he seeks to find liability. Many are dealt with in the findings of fact and the findings of fact do not support the result sought. I will address those first in summary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Snow and ice on the seat</w:t>
      </w:r>
      <w:r>
        <w:rPr>
          <w:rFonts w:ascii="arial" w:eastAsia="arial" w:hAnsi="arial" w:cs="arial"/>
          <w:color w:val="000000"/>
          <w:sz w:val="20"/>
          <w:lang w:val="en-US" w:eastAsia="en-US" w:bidi="ar-SA"/>
        </w:rPr>
        <w:t>: I have found as a fact that there was some snow and ice on the seat. However, it was minimal and did not affect the safe operation of the chairlift. Mr. Kralik was cleaning the seat for his comfort only. The seats had been adequately cleaned by the staff in the morning, and it was raining with a bit of snow during the day. No question the seats were wet and there was likely residual snow and ice on this chair. Mr. Kralik's accident was not caused because he had to clean the seat in order to ride it safely. There was no negligent conduct on the part of Mount Seymour with respect to the condition of the chairs on the 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Two operators</w:t>
      </w:r>
      <w:r>
        <w:rPr>
          <w:rFonts w:ascii="arial" w:eastAsia="arial" w:hAnsi="arial" w:cs="arial"/>
          <w:color w:val="000000"/>
          <w:sz w:val="20"/>
          <w:lang w:val="en-US" w:eastAsia="en-US" w:bidi="ar-SA"/>
        </w:rPr>
        <w:t xml:space="preserve">: the plaintiff submitted that Mount Seymour was negligent because there was only one operator at the bottom of the lift. I have found as a fact that there were two operators at the bottom. I am not making any finding that there always has to be two operators at the bottom of a chairlift, I am making a finding in the context of the evidence before me in this case. Ms. Melsness was the only lift operator at the loading station, however there is no evidence that more than one lift operator was necessary or even feasible in the sense that they would get in each other's way. Therefore, there is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Mount Seymour with respect to the staffing of the Mystery Chairlift.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Return station</w:t>
      </w:r>
      <w:r>
        <w:rPr>
          <w:rFonts w:ascii="arial" w:eastAsia="arial" w:hAnsi="arial" w:cs="arial"/>
          <w:color w:val="000000"/>
          <w:sz w:val="20"/>
          <w:lang w:val="en-US" w:eastAsia="en-US" w:bidi="ar-SA"/>
        </w:rPr>
        <w:t>: I have found as a fact that there was a lift attendant at the return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Ramp length</w:t>
      </w:r>
      <w:r>
        <w:rPr>
          <w:rFonts w:ascii="arial" w:eastAsia="arial" w:hAnsi="arial" w:cs="arial"/>
          <w:color w:val="000000"/>
          <w:sz w:val="20"/>
          <w:lang w:val="en-US" w:eastAsia="en-US" w:bidi="ar-SA"/>
        </w:rPr>
        <w:t>: The plaintiff argues that had the ramp length been longer, the accident would not have happened. There is no evidence to suggest that the ramp length was unreasonable or not safe. Many car accidents would not occur if automobiles were limited to 50 kilometres per hour, however this does not make the car manufacturers liable. I have dealt in more detail with respect to the ramp length in the findings of fact. In my view, an extension of the ramp length would not make a difference in this case. I conclude that the ramp length is a reasonable length as almost every single skier seems to have been able to load the lift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Stop button</w:t>
      </w:r>
      <w:r>
        <w:rPr>
          <w:rFonts w:ascii="arial" w:eastAsia="arial" w:hAnsi="arial" w:cs="arial"/>
          <w:color w:val="000000"/>
          <w:sz w:val="20"/>
          <w:lang w:val="en-US" w:eastAsia="en-US" w:bidi="ar-SA"/>
        </w:rPr>
        <w:t>: Finally, with respect to the stop button, I have found as a fact that Ms. Melsness did not stop the chairlift at any time. I turn to whether this act will support the claim of Mr. Kralik.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defendants do not dispute that they owed a duty of care to Mr. Kralik and reference has been made to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The issue is whether there was a breach of the standard of care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 note that at the end of argument, plaintiff's counsel made the point that the defendants did not argue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plaintiff's counsel assumed that they were not relying 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any further. Defendants' counsel did not indicate that he had missed this argument by oversight. However, a review of my notes clearly indicates that Mr. Kennedy did raise the issue of Mr. Kralik's conduct on the hill that day and submitted that what occurred was his own fault. Further, most of Mr. Gow's evidence was directed at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defendants' primary position is that this accident was due to Mr. Kralik's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therefore they cannot be said to have abandoned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simply because it was not argued directly. It was clearly front and centre in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issue is whether Ms. Melsness breached the appropriate standard of care. The Mount Seymour Lift Attendant Manual and all of the evidence supports the proposition that safety of the customer is the priority on the mountain. Clearly, Ms. Melsness should have been watching Mr. Kralik as he loaded, as the evidence indicates, even experienced skiers can have difficulty loading. They can slip, they can fall, they can drop a pole, all of which can cause a loading issue. The lift operator should, as seen in the video, watch both those loading and those getting ready to load. Instead, I have found that Ms. Melsness was focussing on those loading behind and as a result she did not see Mr. Kralik in trouble and she did not stop the chairlift.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Gow testified that Ms. Melsness told him she did stop the chairlift. In his report, he stated that the best option available to the lift operator, upon realizing that Mr. Kralik was not going to sit down, was to stop the chair. His evidence in court was similar. Indeed, Mr. Gow said that is exactly what he would have done. He said that once Ms. Melsness realized that Mr. Kralik had a problem, she should have stopped the chair. Mr. Gow's evidence clearly establishes the reasonable standard of care that Ms. Melsness owed to Mr. Kralik. She should have stopped the chair, and she should have been paying attention to him. Ms. Melsness clearly breached the standard of care by failing to ensure that Mr. Kralik did load properly, by failing to realize there was a problem and by failing to stop the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Gow opined that because there is a stopping distance once the stop button is pushed, Mr. Kralik would still be over the ramp and would have fallen anyway and therefore the incident would have happened regardless.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do not agree. If Ms. Melsness had been paying attention, she could have stopped the chair sooner. Even if the chair was over the end of the ramp when the chair came to a stop, Mr. Kralik would not have dropped down. He dropped down because he was afraid of falling from a much higher elevation as the chair was ascending. It is most likely that had the chair stopped, Mr. Kralik would have been able to hang on and would have hung on until he was safely removed from the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 find that if Ms. Melsness had not breached her duty of care, Mr. Kralik would not have fractured his shoulder. I find that the injury was caused by the actions of Ms. Melsness. I find that Ms. Melsness was negligent. There is no issue that Ms. Melsness was employed by Mount Seymour and was working in the regular course of her duties when the accident happened. Therefore, Mount Seymour is vicariously liable for the injuries caused to Mr. Kralik as a result of Ms. Melsness'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should add that the plaintiff suggested that Mount Seymour, through its employees, was conspiring to cover up the incident. The failure to describe the incident as Code 5 meant no report was sent to the government ministry responsible for monitoring ski hills. I frankly find this submission absurd. What occurred is that the ball was dropped. Ms. Melsness did not do a number of things that she was required to do because she was covering up her actions. However, there is no evidence to support the conspiracy theory put forward by the plaintiff. I have no doubt that if Ms. Smith had been notified all of the appropriate paperwork would have been completed and filed as required. The fact that it was not filled out after the fact in my view is not evidence of a conspiracy to somehow try and deceive the ministry responsible for the monitoring of the ski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plaintiff is also obliged to act reasonably in regards to his own safety: </w:t>
      </w:r>
      <w:r>
        <w:rPr>
          <w:rFonts w:ascii="arial" w:eastAsia="arial" w:hAnsi="arial" w:cs="arial"/>
          <w:b/>
          <w:i/>
          <w:color w:val="000000"/>
          <w:sz w:val="20"/>
          <w:lang w:val="en-US" w:eastAsia="en-US" w:bidi="ar-SA"/>
        </w:rPr>
        <w:t>Nance v. B.C. Electric Railway</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[1951] A.C. 601</w:t>
        </w:r>
      </w:hyperlink>
      <w:r>
        <w:rPr>
          <w:rFonts w:ascii="arial" w:eastAsia="arial" w:hAnsi="arial" w:cs="arial"/>
          <w:color w:val="000000"/>
          <w:sz w:val="20"/>
          <w:lang w:val="en-US" w:eastAsia="en-US" w:bidi="ar-SA"/>
        </w:rPr>
        <w:t xml:space="preserve"> at 611. The burden is on the defendants to show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at para. 19, the Court of Appeal set out how to approach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Court said the apportionment is based on the degree to which each person was at fault, not based on the degree to which each person's fault caused the damage. The assessment is based on the blameworthiness of fault of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evidence is overwhelming that people clean water and snow and ice off their seats all the time on this mountain without difficulty. This is reasonable conduct for skiers. Indeed, Mr. Kralik had cleaned his seat earlier that day. A distinction is drawn between a want of attention and acting unreasonably: see </w:t>
      </w:r>
      <w:r>
        <w:rPr>
          <w:rFonts w:ascii="arial" w:eastAsia="arial" w:hAnsi="arial" w:cs="arial"/>
          <w:b/>
          <w:i/>
          <w:color w:val="000000"/>
          <w:sz w:val="20"/>
          <w:lang w:val="en-US" w:eastAsia="en-US" w:bidi="ar-SA"/>
        </w:rPr>
        <w:t>Leischner v. West Kootenay Power &amp; Light Company</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[1986] 3 W.W.R. 97</w:t>
        </w:r>
      </w:hyperlink>
      <w:r>
        <w:rPr>
          <w:rFonts w:ascii="arial" w:eastAsia="arial" w:hAnsi="arial" w:cs="arial"/>
          <w:color w:val="000000"/>
          <w:sz w:val="20"/>
          <w:lang w:val="en-US" w:eastAsia="en-US" w:bidi="ar-SA"/>
        </w:rPr>
        <w:t xml:space="preserve"> at 109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conclude that Mr. Kralik suffered a moment of inattention. Although he was aware that there was a ramp and a few seconds to load, he momentarily lost track of time as he was absorbed in the reasonable action of cleaning his seat. Certainly, had he seated himself properly, the accident would not have occurred. However, it cannot be said that he acted unreasonably. I find that Mr. Kralik was not contributorily negligent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Kralik testified that he has a Ph.D. in mathematics and worked in Slovakia in computer programming. When he came to Canada in 2002, he tried to find work in the computer field but was unable to, in part because of his lack of English language skills, and in part because the companies in Canada required a degree of specialization that he did not have. Some friends found him a job as a painter. After a while he came to enjoy painting. He enjoyed the physical aspect of the job. He entered into discussions with his friend Joe Valchar about going into the business of buying houses, renovating them and re-selling them. He took a course from a person named Ossie Jurock who teaches real estate investing. He liked to read self-improvement books and particularly, a book by Donald Trump.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Kralik earned, he said, between $2,000.00 and $3,000.00 per month sub-contracting as a painter. His gross income for six months between June and December 2002 was $13,176.00. His income for 2003 for January, February, part of March and part of August was $15,801.00. He did not work for most of 2003 because of his shoulder injury. In 2004, he earned $13,817.00 doing some computer work, plus he went to school for upgrading.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Kralik went back to work in August 2003. The family had spent their entire savings of $18,000.00 and they needed money to live on. He found working as a painter difficult because his arm was in so much pain. He did not feel safe working, as he could not hold himself up on the 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Kralik went for training in computer skills between September 2003 and March 2004. Even with the upgrading, he could not make enough money in the computer field. He also had some discomfort working with the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January 2005, he returned to painting. He worked intermittently for about six months but found it extremely difficult. He had pain in his arm, his neck and in his back. He worked because he had to support his family but quit in August 2005 as he could not do it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tried to obtain a certification from Microsoft, however, he was unable to pass the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 friend who has a construction company has offered him work and he has been installing soffits. He is able to do the work but it still causes him pain in the neck and back. He continues to work in spite of the pain. He is now 50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Kralik's wife works as a medical receptionist. She took exams to become licensed as a physician in Canada, but did not pass her exams. She is unable to retrain because of lack of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Kralik decided that he could not go into the renovation business with his friend Joe Valchar as he could not do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Joseph Valchar also testified. He is from Slovakia and met Mr. Kralik when Mr. Kralik emigrated here in 2002. Mr. Valchar gave Mr. Kralik some work as a painter and he said Mr. Kralik did well as a painter.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Valchar had taken some courses and learned how to buy property with a minimum investment, and with the market turning in 2001, decided to test his hand at real estate. He said that he has a portfolio worth $2,000,000.00 that gives him an income of $100,000.00. Mr. Valchar did not give much detail regarding this portfolio or how it generated income. It appears that he buys properties and rents them. He improves the interior of the houses as well, as I understand it, to increase the value of the property. He did not say nor was he asked the extent to which his $2,000,000.00 portfolio is mortgaged. In other words, his net worth and net income are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said he was discussing taking Mr. Kralik into business with him but that Mr. Kralik would have to work as a painter to get income before Mr. Kralik would be able to borrow money from the bank to invest in real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Valchar said that after the accident Mr. Kralik was slower and could not provide the quality of work he previously did. He gave him some painting jobs, he said, as charity for Mr. Kralik's family. He said Mr. Kralik was not physically fit to perform the job. He said Mr. Kralik was depressed and stressed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cannot find on this evidence that Mr. Kralik realistically would have had the opportunity to enter the real estate business. He attended a seminar and read some books. There is no evidence regarding how much money he would have to earn to be able to borrow money from the bank in order to invest in real estate. He was supporting his family, and on this evidence there was little room for the kind of savings one might expect in order to finance real estate. In any event, it is not for me to speculate as there is insufficient evidence supporting a realistic opportunity to enter this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Prior to the accident, Mr. Kralik enjoyed leisure activities. He spent as much time as he could with Tomas. He went skiing a great deal, played football with his children, played tennis and played badminton. Tomas made the school basketball team and Mr. Kralik went to his games and drove him to the other schools for competitions.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Kralik's wife, Eva Kralikova testified. She is a physician but has been unable to qualify in Canada. Before the accident, she said her husband had a very active lifestyle. He went to the beach every day in the summer and swam, played volleyball, tennis, went golfing and threw around the football. He had no physical limitations before the accident and liked to do many things with his son. He was a very good skier and skied a lot in Europe.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When he came home on March 16, 2003, he looked very pale. He was taking a lot of painkillers. She had to do everything for him. She had to bathe him, dress him and so on. He had surgery and then could not do anything for several weeks. He started physiotherapy at Burnaby General Hospital and she also did rehabilitation with him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Kralik went to work a few months later because they had no money. She said that he had trouble sleeping from the pain. She said he worked hard to improve and there was improvement but he never went back to normal. She said Mr. Kralik always had pain in his shoulder. She said he could no longer do household chores like vacuuming or cleaning during this time. She said, his face showed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Before the accident he was very optimistic. He loved the mountains and the ocean. He saw a great future for his family in Canada. Since the accident he is in a lot of pain she said and he is no longer optimistic. She said they no longer talk as much as discussion usually ends in an argument because he is irritable. The children do not talk to him much anymore. He does not do his leisure activities anymore. He does not go for runs with her very often. He does not read his books anymore. He just sits at home and does not go anywhere. She said, "He is very changed". She said words to the effect of, "Our vision for the future is gone. We wanted to support our children through university but we cannot afford it. He feels badly that he cannot support his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Her plans were to take courses to become qualified to practice as a physician in Canada. She said that it is expensive to take the courses necessary to upgrade her education and language skills. She has been unable to take the courses because of the lack of funds. She is working as a medical receptionist.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Kralik's daughter, Lucia Kralikova, testified that she moved to Canada with her parents in 2002 from Slovakia. She was able to attend and complete her undergraduate university studies here. She wished to pursue a Master's degree, however, she has had to take time off from school to work and save money. Her plan was to join her father when he started his real estate business. She moved out of the family apartment because it was too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She also gave evidence regarding her father before the accident. She described him as having an active lifestyle and doing many activities with the family. He went hiking on Grouse Mountain, played tennis, volleyball, and went horseback riding. She was very close with her father and they had a very good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Her relationship with him since the accident is different. He does not talk as much, he feels guilty that he cannot provide for his family, and he is not as happy as he once was. He does not participate in family activities anymore. He did not go rafting with the family recently when they went to Whistler. Lucia ended up staying with her father while her mother and brother went rafting. She helped out with the rent when she lived with them and she pays for the family's cell phone bills.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Shortly after the accident, she said her father was in a lot of pain. He does not complain a lot but she could see from his face that he was in substantial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Tomas Kralik testified that his father used to do many things with the family before the accident. They skied together for years, both in Canada and in Slovakia. They used to throw the football around together. His relationship with his father is not the same. He said his father no longer has the same enthusiasm as he had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Tomas also had to give up his plans to go to university right away. He graduated grade 12 this past June and had planned to go to UBC. He then changed his plans to go to Langara College however the family could not afford Langara College either. Instead, Tomas took a job and is saving his money for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Tarazi is an orthopaedic surgeon. He first saw Mr. Kralik shortly after the accident on March 19, 2003. Dr. Tarazi diagnosed a displaced greater tuberosity humerus fracture which required surgery to repair. The surgery was done on March 21, 2003. A rotator cuff tear was also repaired with sutures. Mr. Kralik was discharged the next day. He attended physiotherapy at the hospital. He recovered well from his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By August 18, 2003, Mr. Kralik had full range of motion in his arm. The fracture was solidly united. Mr. Kralik was advised he could continue with activities as tolerated. He was last seen by Dr. Tarazi in May 2004. He reported difficulties with repetitive overhead arm movement and heavy lifting. As a result, Mr. Kralik told Dr. Tarazi that he was retraining in computers and that he did not have any shoulder pain working on computers.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Tarazi opined that Mr. Kralik will have ongoing problems with overhead repetitive movement and that his ability to work as a painter will be compromised. This will likely be a permanent condition in his opinion. He anticipated another 12 to 24 months before Mr. Kralik would be able to play badminton again. He opined that Mr. Kralik was totally disabled for six months and partially disabled for another six months. His symptoms for the first two months were severe, moderate for the next two months, and his symptoms have been mild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Newmann is Mr. Kralik's family physician. She reports that Mr. Kralik was in excellent health before the accident on March 16, 2003. Mr. Kralik attended to Lion's Gate Hospital and had an x-ray showing that he fractured his right humerus. His arm was operated on by Dr. Tarazi, the orthopaedic surgeon. The fracture was repaired with three screws and the tear to his rotator cuff was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Kralik told Dr. Newmann that he could not use his arm at all for several months. He did attend physiotherapy. She recommended light therapy and provided him with a therapeutic lamp to use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By May 17, 2005, she reports that his range of motion was almost back to normal, although he told her that he still had intermittent pain. She noted in 2005 that he had mild to moderate shoulder droop and a mild to moderate atrophy of the shoulder girdle. She opined that he had reached the maximum expected recovery and has permanent functional impairment relating to his right shoulder and arm use. She opined that he had been off work for eighteen months due to the injury and that he had not been able to enjoy leisure activities for the same period of time. She recommended massage therapy once or twice per week for another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Newmann prepared a second report dated October 15, 2006, wherein she opined that Mr. Kralik's injury had worsened. He had pain in his right shoulder area, the right side of his neck was stiff, and he had headaches. He had a spasm of the cervical muscle group and on the lumbar spine area. She ordered x-rays of his entire back and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By August 30, 2006, his drooping shoulder was now elevated two centimetres above his left shoulder for a change of five centimetres. She said there was visible asymmetry of the skin folds on his back. She opined that these deformities were caused by remodelling and compensatory spinal muscle spasm related to the fractured right shoulder and was very likely to cause continuing pain in his back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 final report was prepared November 6, 2006 after she viewed the x-rays which had been ordered earlier. The spine showed extensive degenerative changes of the cervical spine. There are also osteoporotic changes, which are unusual, in her view, for a male of his age. She opined that these changes were caused by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This opinion was explored further in cross-examination. She testified that the changes in the spine were due to the muscle spasm. She testified the muscular spasm is a powerful force that could break bone. Dr. Newmann has a specialty in neuropathology which relates to disease of the brain, nerves, muscles, spine and spinal cord. She has no specialty training or certification in orthopaedics.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Ellis was called by the defendants to provide an opinion regarding Mr. Kralik's progress. Dr. Ellis is an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 opined that Mr. Kralik has a permanent weakness and wasting about the right shoulder as a result of his injury which will compromise his ability to return to work and in particular work that involves over-the-shoulder height use of his right arm. Returning to his career as a painter is not feasible. He recommended further pool and strengthening treatment. He will also suffer intermittent flare-ups of his right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Ellis also commented on Dr. Newmann's opinion that the recent degenerative changes in the cervical spine are caused by the accident. He opined that this is an unreasonable conclusion as there is no medical evidence to support any injury to the cervical spine from this accident and that these degenerative changes are common in someone of Mr. Kralik's age. Further, he disagreed with her opinion regarding the thoracic spine. He points out the flaw in her opinion is that the x-rays were taken while standing, and that there is often asymmetry with standing x-rays. The shoulder injury, in his opinion, is well healed and the surgery done by Dr. Tarazi was well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accept the opinion of Dr. Ellis with respect to the issue of cervical and thoracic spine over that of Dr. Newmann. Dr. Ellis is far more qualified to give the opinion on the spine and the degenerative aspects of the spine than Dr. Newmann.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Kralik's wife as noted is a medical doctor. She specializes in occupational health. She has not qualified to practice medicine in Canada however she was able to give Mr. Kralik considerable assistance with his physiotherapy and his treatment. The family could not afford private physiotherapy so she worked with him doing exercises, physiotherapy and massage.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Occupational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Three opinions were filed with respect to Mr. Kralik's ability to continue working in the painting field and his potential for retraining: one vocational expert and two occupational health experts. One of the experts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bottom line is that Mr. Kralik cannot continue painting as a career. He needs to retrain.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Kralik suffered a serious fracture to his arm. He had to undergo surgery. He was in considerable pain and was completely disabled for six months. He attempted to return to work and could not. He is not penalized for attempting to work when he should have been disabled, given his financial situation. He tried retraining, but could not find sufficient work in the computer industry to support his family. He is permanently disabled from working as a painter and in any occupation that will require overhead reaching with his right arm. His present job requires such activity and he is in constant pain. Mr. Kralik's lifestyle has changed entirely from an active, happy, family man to an introverted and unhappy man who has lost his optimistic vision of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have outlined in detail the difficulties he has and is facing above. I accept the evidence of his family and Mr. Kralik in this regard and will not repeat it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Both the plaintiff and defendants have given me a number of cases and have made submissions regarding the appropriate range of non-pecuniary damages. I do not purport to review each case in detail as each case turns on its own facts. I will however state the cases which were referred to me from each side to demonstrate the range of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plaintiff cites the following cases: </w:t>
      </w:r>
      <w:r>
        <w:rPr>
          <w:rFonts w:ascii="arial" w:eastAsia="arial" w:hAnsi="arial" w:cs="arial"/>
          <w:b/>
          <w:i/>
          <w:color w:val="000000"/>
          <w:sz w:val="20"/>
          <w:lang w:val="en-US" w:eastAsia="en-US" w:bidi="ar-SA"/>
        </w:rPr>
        <w:t>Driscoll v. Thagard</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[1999] B.C.J. No. 283</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Goglin v. Lightheart</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[1992] B.C.J. No. 2416</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2005 BCSC 1812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Soligo v. Turner</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2002 BCCA 73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Fox v. Danis</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upheld </w:t>
      </w:r>
      <w:hyperlink r:id="rId200"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Prince-Wright v. Copeman</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2005 BCSC 1306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Driscoll v. Thagard</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the non-pecuniary damages were $100,000.00 for circumstances which in my view were far worse than Mr. Kralik's. Similarly, in </w:t>
      </w:r>
      <w:r>
        <w:rPr>
          <w:rFonts w:ascii="arial" w:eastAsia="arial" w:hAnsi="arial" w:cs="arial"/>
          <w:b/>
          <w:i/>
          <w:color w:val="000000"/>
          <w:sz w:val="20"/>
          <w:lang w:val="en-US" w:eastAsia="en-US" w:bidi="ar-SA"/>
        </w:rPr>
        <w:t>Goglin v. Lightheart</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the award was $100,000.00 and again in my view the circumstances were far worse than Mr. Kralik's. In </w:t>
      </w:r>
      <w:r>
        <w:rPr>
          <w:rFonts w:ascii="arial" w:eastAsia="arial" w:hAnsi="arial" w:cs="arial"/>
          <w:b/>
          <w:i/>
          <w:color w:val="000000"/>
          <w:sz w:val="20"/>
          <w:lang w:val="en-US" w:eastAsia="en-US" w:bidi="ar-SA"/>
        </w:rPr>
        <w:t>Steward v. Berezan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the award was $90,000.00 and again a worse situation than that faced by Mr. Kralik. In </w:t>
      </w:r>
      <w:r>
        <w:rPr>
          <w:rFonts w:ascii="arial" w:eastAsia="arial" w:hAnsi="arial" w:cs="arial"/>
          <w:b/>
          <w:i/>
          <w:color w:val="000000"/>
          <w:sz w:val="20"/>
          <w:lang w:val="en-US" w:eastAsia="en-US" w:bidi="ar-SA"/>
        </w:rPr>
        <w:t>Soligo v. Turner</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again the non-pecuniary damages were $150,000.00 and again worse than Mr. Kralik's situation. The plaintiff in </w:t>
      </w:r>
      <w:r>
        <w:rPr>
          <w:rFonts w:ascii="arial" w:eastAsia="arial" w:hAnsi="arial" w:cs="arial"/>
          <w:b/>
          <w:i/>
          <w:color w:val="000000"/>
          <w:sz w:val="20"/>
          <w:lang w:val="en-US" w:eastAsia="en-US" w:bidi="ar-SA"/>
        </w:rPr>
        <w:t>Fox v. Danis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was awarded $100,000.00 and the case appeared to be more serious than that of Mr. Kralik. In </w:t>
      </w:r>
      <w:r>
        <w:rPr>
          <w:rFonts w:ascii="arial" w:eastAsia="arial" w:hAnsi="arial" w:cs="arial"/>
          <w:b/>
          <w:i/>
          <w:color w:val="000000"/>
          <w:sz w:val="20"/>
          <w:lang w:val="en-US" w:eastAsia="en-US" w:bidi="ar-SA"/>
        </w:rPr>
        <w:t>Prince-Wright v. Copeman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an award of $100,000.00 was granted, and again based on injuries that appeared more serious than Mr. Kralik's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There are certainly similarities in each case to that of Mr. Kralik. However with respect to the final damage award, the plaintiff seeks damages of $100,000.00 and in my view the cases do not support an award of that nature for these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defendants have also cited a number of cases: </w:t>
      </w:r>
      <w:r>
        <w:rPr>
          <w:rFonts w:ascii="arial" w:eastAsia="arial" w:hAnsi="arial" w:cs="arial"/>
          <w:b/>
          <w:i/>
          <w:color w:val="000000"/>
          <w:sz w:val="20"/>
          <w:lang w:val="en-US" w:eastAsia="en-US" w:bidi="ar-SA"/>
        </w:rPr>
        <w:t>Carlow v. Johnston</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[2000] B.C.J. No. 1862</w:t>
        </w:r>
      </w:hyperlink>
      <w:r>
        <w:rPr>
          <w:rFonts w:ascii="arial" w:eastAsia="arial" w:hAnsi="arial" w:cs="arial"/>
          <w:color w:val="000000"/>
          <w:sz w:val="20"/>
          <w:lang w:val="en-US" w:eastAsia="en-US" w:bidi="ar-SA"/>
        </w:rPr>
        <w:t xml:space="preserve"> (S.C.), where a $30,000.00 award was granted in circumstances less serious than that of Mr. Kralik. In </w:t>
      </w:r>
      <w:r>
        <w:rPr>
          <w:rFonts w:ascii="arial" w:eastAsia="arial" w:hAnsi="arial" w:cs="arial"/>
          <w:b/>
          <w:i/>
          <w:color w:val="000000"/>
          <w:sz w:val="20"/>
          <w:lang w:val="en-US" w:eastAsia="en-US" w:bidi="ar-SA"/>
        </w:rPr>
        <w:t>Prasad v. Wepruk</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2004 BCSC 578</w:t>
        </w:r>
      </w:hyperlink>
      <w:r>
        <w:rPr>
          <w:rFonts w:ascii="arial" w:eastAsia="arial" w:hAnsi="arial" w:cs="arial"/>
          <w:color w:val="000000"/>
          <w:sz w:val="20"/>
          <w:lang w:val="en-US" w:eastAsia="en-US" w:bidi="ar-SA"/>
        </w:rPr>
        <w:t xml:space="preserve">, a $35,000.00 award was granted for injuries less serious than Mr. Kralik's. In </w:t>
      </w:r>
      <w:r>
        <w:rPr>
          <w:rFonts w:ascii="arial" w:eastAsia="arial" w:hAnsi="arial" w:cs="arial"/>
          <w:b/>
          <w:i/>
          <w:color w:val="000000"/>
          <w:sz w:val="20"/>
          <w:lang w:val="en-US" w:eastAsia="en-US" w:bidi="ar-SA"/>
        </w:rPr>
        <w:t>Johnston v. Day</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2002 BCSC 480</w:t>
        </w:r>
      </w:hyperlink>
      <w:r>
        <w:rPr>
          <w:rFonts w:ascii="arial" w:eastAsia="arial" w:hAnsi="arial" w:cs="arial"/>
          <w:color w:val="000000"/>
          <w:sz w:val="20"/>
          <w:lang w:val="en-US" w:eastAsia="en-US" w:bidi="ar-SA"/>
        </w:rPr>
        <w:t xml:space="preserve"> an award of $32,500.00 was granted, again in circumstances less serious than Mr. Kralik's. In </w:t>
      </w:r>
      <w:r>
        <w:rPr>
          <w:rFonts w:ascii="arial" w:eastAsia="arial" w:hAnsi="arial" w:cs="arial"/>
          <w:b/>
          <w:i/>
          <w:color w:val="000000"/>
          <w:sz w:val="20"/>
          <w:lang w:val="en-US" w:eastAsia="en-US" w:bidi="ar-SA"/>
        </w:rPr>
        <w:t>Jenkins v. Bourcier</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2003 BCSC 388</w:t>
        </w:r>
      </w:hyperlink>
      <w:r>
        <w:rPr>
          <w:rFonts w:ascii="arial" w:eastAsia="arial" w:hAnsi="arial" w:cs="arial"/>
          <w:color w:val="000000"/>
          <w:sz w:val="20"/>
          <w:lang w:val="en-US" w:eastAsia="en-US" w:bidi="ar-SA"/>
        </w:rPr>
        <w:t xml:space="preserve"> an award of $35,000.00 was granted in circumstances less serious than Mr. Kralik. In </w:t>
      </w:r>
      <w:r>
        <w:rPr>
          <w:rFonts w:ascii="arial" w:eastAsia="arial" w:hAnsi="arial" w:cs="arial"/>
          <w:b/>
          <w:i/>
          <w:color w:val="000000"/>
          <w:sz w:val="20"/>
          <w:lang w:val="en-US" w:eastAsia="en-US" w:bidi="ar-SA"/>
        </w:rPr>
        <w:t>Anderson v. Mill Town Trucking</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[2001] B.C.J. No. 767</w:t>
        </w:r>
      </w:hyperlink>
      <w:r>
        <w:rPr>
          <w:rFonts w:ascii="arial" w:eastAsia="arial" w:hAnsi="arial" w:cs="arial"/>
          <w:color w:val="000000"/>
          <w:sz w:val="20"/>
          <w:lang w:val="en-US" w:eastAsia="en-US" w:bidi="ar-SA"/>
        </w:rPr>
        <w:t xml:space="preserve"> (C.A.), an award of $45,000.00 was granted and again in considerably less serious circumstances than Mr. Kralik. In </w:t>
      </w:r>
      <w:r>
        <w:rPr>
          <w:rFonts w:ascii="arial" w:eastAsia="arial" w:hAnsi="arial" w:cs="arial"/>
          <w:b/>
          <w:i/>
          <w:color w:val="000000"/>
          <w:sz w:val="20"/>
          <w:lang w:val="en-US" w:eastAsia="en-US" w:bidi="ar-SA"/>
        </w:rPr>
        <w:t>Heyes v. Lanphier</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[2003] B.C.J. No. 1798</w:t>
        </w:r>
      </w:hyperlink>
      <w:r>
        <w:rPr>
          <w:rFonts w:ascii="arial" w:eastAsia="arial" w:hAnsi="arial" w:cs="arial"/>
          <w:color w:val="000000"/>
          <w:sz w:val="20"/>
          <w:lang w:val="en-US" w:eastAsia="en-US" w:bidi="ar-SA"/>
        </w:rPr>
        <w:t xml:space="preserve"> (S.C.) a $50,000.00 award was granted where there was a fracture of the shoulder blade but no rotator cuff injury and again a less serious injury than that of Mr. Kralik. In </w:t>
      </w:r>
      <w:r>
        <w:rPr>
          <w:rFonts w:ascii="arial" w:eastAsia="arial" w:hAnsi="arial" w:cs="arial"/>
          <w:b/>
          <w:i/>
          <w:color w:val="000000"/>
          <w:sz w:val="20"/>
          <w:lang w:val="en-US" w:eastAsia="en-US" w:bidi="ar-SA"/>
        </w:rPr>
        <w:t>Dee v. Lessard</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2003 BCSC 182</w:t>
        </w:r>
      </w:hyperlink>
      <w:r>
        <w:rPr>
          <w:rFonts w:ascii="arial" w:eastAsia="arial" w:hAnsi="arial" w:cs="arial"/>
          <w:color w:val="000000"/>
          <w:sz w:val="20"/>
          <w:lang w:val="en-US" w:eastAsia="en-US" w:bidi="ar-SA"/>
        </w:rPr>
        <w:t xml:space="preserve">, an award of $50,000.00 was granted, again where there was a less serious injury than that of Mr. Kralik. In </w:t>
      </w:r>
      <w:r>
        <w:rPr>
          <w:rFonts w:ascii="arial" w:eastAsia="arial" w:hAnsi="arial" w:cs="arial"/>
          <w:b/>
          <w:i/>
          <w:color w:val="000000"/>
          <w:sz w:val="20"/>
          <w:lang w:val="en-US" w:eastAsia="en-US" w:bidi="ar-SA"/>
        </w:rPr>
        <w:t>Perez v. Vancouver (City)</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2002 BCSC 1773</w:t>
        </w:r>
      </w:hyperlink>
      <w:r>
        <w:rPr>
          <w:rFonts w:ascii="arial" w:eastAsia="arial" w:hAnsi="arial" w:cs="arial"/>
          <w:color w:val="000000"/>
          <w:sz w:val="20"/>
          <w:lang w:val="en-US" w:eastAsia="en-US" w:bidi="ar-SA"/>
        </w:rPr>
        <w:t xml:space="preserve"> an award of $50,000.00 was granted and the injuries were less serious than that of Mr. Kralik. In </w:t>
      </w:r>
      <w:r>
        <w:rPr>
          <w:rFonts w:ascii="arial" w:eastAsia="arial" w:hAnsi="arial" w:cs="arial"/>
          <w:b/>
          <w:i/>
          <w:color w:val="000000"/>
          <w:sz w:val="20"/>
          <w:lang w:val="en-US" w:eastAsia="en-US" w:bidi="ar-SA"/>
        </w:rPr>
        <w:t>Cheung v. MacDonald</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2004 BCSC 222</w:t>
        </w:r>
      </w:hyperlink>
      <w:r>
        <w:rPr>
          <w:rFonts w:ascii="arial" w:eastAsia="arial" w:hAnsi="arial" w:cs="arial"/>
          <w:color w:val="000000"/>
          <w:sz w:val="20"/>
          <w:lang w:val="en-US" w:eastAsia="en-US" w:bidi="ar-SA"/>
        </w:rPr>
        <w:t xml:space="preserve">, a $60,000.00 award was granted with serious injuries but not as serious as those endured by Mr. Kralik. In </w:t>
      </w:r>
      <w:r>
        <w:rPr>
          <w:rFonts w:ascii="arial" w:eastAsia="arial" w:hAnsi="arial" w:cs="arial"/>
          <w:b/>
          <w:i/>
          <w:color w:val="000000"/>
          <w:sz w:val="20"/>
          <w:lang w:val="en-US" w:eastAsia="en-US" w:bidi="ar-SA"/>
        </w:rPr>
        <w:t>Chong v. Tran</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2001 BCSC 1417</w:t>
        </w:r>
      </w:hyperlink>
      <w:r>
        <w:rPr>
          <w:rFonts w:ascii="arial" w:eastAsia="arial" w:hAnsi="arial" w:cs="arial"/>
          <w:color w:val="000000"/>
          <w:sz w:val="20"/>
          <w:lang w:val="en-US" w:eastAsia="en-US" w:bidi="ar-SA"/>
        </w:rPr>
        <w:t xml:space="preserve">, $60,000.00 was awarded with serious injuries, but again in my view not as serious as those experienced by Mr. Kralik. In </w:t>
      </w:r>
      <w:r>
        <w:rPr>
          <w:rFonts w:ascii="arial" w:eastAsia="arial" w:hAnsi="arial" w:cs="arial"/>
          <w:b/>
          <w:i/>
          <w:color w:val="000000"/>
          <w:sz w:val="20"/>
          <w:lang w:val="en-US" w:eastAsia="en-US" w:bidi="ar-SA"/>
        </w:rPr>
        <w:t>Klassen (Guardian ad Litem of) v. Canada (Attorney General)</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2004 BCSC 479</w:t>
        </w:r>
      </w:hyperlink>
      <w:r>
        <w:rPr>
          <w:rFonts w:ascii="arial" w:eastAsia="arial" w:hAnsi="arial" w:cs="arial"/>
          <w:color w:val="000000"/>
          <w:sz w:val="20"/>
          <w:lang w:val="en-US" w:eastAsia="en-US" w:bidi="ar-SA"/>
        </w:rPr>
        <w:t>, a 14-year-old boy was knocked unconscious, broke his right clavicle, separated his shoulder, had a broken wrist, broken leg, scalp lacerations and internal bruising. He was disabled for two weeks and needed to use a wheelchair for three months. He missed three months of school. Four years post-accident he could not perform heavy lifting and still had residual shoulder pain. It was likely that he would have some permanent weakness. He was awarded $70,000.00. The circumstances of this case approach the injuries and permanent disability experienced by Mr. Kralik.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defendants also submitted the </w:t>
      </w:r>
      <w:r>
        <w:rPr>
          <w:rFonts w:ascii="arial" w:eastAsia="arial" w:hAnsi="arial" w:cs="arial"/>
          <w:b/>
          <w:i/>
          <w:color w:val="000000"/>
          <w:sz w:val="20"/>
          <w:lang w:val="en-US" w:eastAsia="en-US" w:bidi="ar-SA"/>
        </w:rPr>
        <w:t>Steward v. Berezan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decision as did the plaintiff to show what may be a more serious event than Mr. Kralik and in my view was more serious than Mr. Kralik's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have dealt with these cases in a very summary fashion because, as I indicated, each case will turn on its own facts. The cases are helpful to assess where in the range of awards that Mr. Kralik's injuries fall. A review of the cases provided a balance, and considering Mr. Kralik's injury, his pain and suffering, the time he was disabled and his significant lifestyle changes I conclude that an award of $75,000.00 for non-pecuniary damages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Kralik was permanently disabled according to Dr. Tarazi for six months. He did go to work a bit earlier but not for very long and he suffered as a result. As noted, Mr. Kralik was earning approximately $2,000.00 to $3,000.00 per month painting. Counsel submitted that he was earning more than this, however, based on the evidence tendered, and Mr. Kralik's evidence, this is the appropriate range for his monthly income. I think it likely that Mr. Kralik would have worked as much as possible and I consider the higher end of that range as the appropriate figure to calculate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He was also partially disabled and unable to work at his employment because he could not longer reach over his head. He attempted to retrain and earn some income over the past couple of years. His inability to successfully retrain has caused him to return to the construction field and work in an area that he is not really physically suited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find that Mr. Kralik would likely have earned $36,000.00 per year for 2003 and 2004. It is also likely he would have received an increase based on Mr. Valchar's evidence that Mr. Kralik was a good worker and would continue working hard and would likely have earned $40,000.00 from painting for 2005 and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have the figures for the amounts that Mr. Kralik earned for 2003 and 2005. I do not have a figure for 2006. The amount that Mr. Kralik would have earned had he not been disabled will be adjusted either by agreement with counsel, by a hearing before the Registrar, or further hearing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other words, the amount of $152,000.00 for past wage loss is to be reduced by the income that he in fact earned post-accident. He is entitled to interest on that amount of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Opportunity and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Kralik has, in the future, the ability to earn income at a higher wage than he was as a painter. He has a Ph.D. in mathematics. He will need to retrain in a field that will provide him with suitable employment. Mr. Kralik has language barriers, however his testimony at trial was understandable, and he understood the proceedings. He occasionally required clarification, but not often. I also recognize that he has age barriers. He is seeking employment in a field occupied by young people. However, there are many jobs available currently, including many jobs in construction, that would not necessarily involve overhead reaching, and many other jobs other than computers for which Mr. Kralik may become qualified. Unfortunately this was not canvassed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plaintiff points out the two methods of making a calculation under this heading. The </w:t>
      </w:r>
      <w:r>
        <w:rPr>
          <w:rFonts w:ascii="arial" w:eastAsia="arial" w:hAnsi="arial" w:cs="arial"/>
          <w:b/>
          <w:i/>
          <w:color w:val="000000"/>
          <w:sz w:val="20"/>
          <w:lang w:val="en-US" w:eastAsia="en-US" w:bidi="ar-SA"/>
        </w:rPr>
        <w:t>Steenblok</w:t>
      </w:r>
      <w:r>
        <w:rPr>
          <w:rFonts w:ascii="arial" w:eastAsia="arial" w:hAnsi="arial" w:cs="arial"/>
          <w:color w:val="000000"/>
          <w:sz w:val="20"/>
          <w:lang w:val="en-US" w:eastAsia="en-US" w:bidi="ar-SA"/>
        </w:rPr>
        <w:t xml:space="preserve"> approach, referring to </w:t>
      </w:r>
      <w:r>
        <w:rPr>
          <w:rFonts w:ascii="arial" w:eastAsia="arial" w:hAnsi="arial" w:cs="arial"/>
          <w:b/>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and the </w:t>
      </w:r>
      <w:r>
        <w:rPr>
          <w:rFonts w:ascii="arial" w:eastAsia="arial" w:hAnsi="arial" w:cs="arial"/>
          <w:b/>
          <w:i/>
          <w:color w:val="000000"/>
          <w:sz w:val="20"/>
          <w:lang w:val="en-US" w:eastAsia="en-US" w:bidi="ar-SA"/>
        </w:rPr>
        <w:t>Pallos</w:t>
      </w:r>
      <w:r>
        <w:rPr>
          <w:rFonts w:ascii="arial" w:eastAsia="arial" w:hAnsi="arial" w:cs="arial"/>
          <w:color w:val="000000"/>
          <w:sz w:val="20"/>
          <w:lang w:val="en-US" w:eastAsia="en-US" w:bidi="ar-SA"/>
        </w:rPr>
        <w:t xml:space="preserve"> approach referring to </w:t>
      </w:r>
      <w:r>
        <w:rPr>
          <w:rFonts w:ascii="arial" w:eastAsia="arial" w:hAnsi="arial" w:cs="arial"/>
          <w:b/>
          <w:i/>
          <w:color w:val="000000"/>
          <w:sz w:val="20"/>
          <w:lang w:val="en-US" w:eastAsia="en-US" w:bidi="ar-SA"/>
        </w:rPr>
        <w:t>Pallos v. ICBC</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The first looks at the reasonable possibility of earning income in the future and the second looks at the loss of a capital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argued that there is a reasonable possibility that Mr. Kralik would earn what Mr. Valchar earned at painting. Mr. Kralik had never earned what Mr. Valchar earned and I am not prepared to make that finding as noted above. Mr. Kralik had made a minimal amount in the past, however there is no reason why he could not, with further training, obtain better employment. Mr. Kralik as I have also found, would not have had the ability, even without the injury, to go into the real estate investment field with Mr. Valchar. There is really no evidence to support that Mr. Kralik would, as a sub-contractor, have earned upwards to $70,000.00 or more annually, from painting.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retraining issue is canvassed fully in the vocational report submitted by the plaintiff. I am not prepared to find that Mr. Kralik is able to make now, or reasonably in the future, only $17,000.00 as submitted by counsel. Mr. Kralik is very interested in real estate, yet there was no evidence provided on what would be necessary for him to obtain a real estate sales licence. The evidence falls far short from showing that Mr. Kralik's loss of opportunity is anywhere near what he has claimed based on the </w:t>
      </w:r>
      <w:r>
        <w:rPr>
          <w:rFonts w:ascii="arial" w:eastAsia="arial" w:hAnsi="arial" w:cs="arial"/>
          <w:b/>
          <w:i/>
          <w:color w:val="000000"/>
          <w:sz w:val="20"/>
          <w:lang w:val="en-US" w:eastAsia="en-US" w:bidi="ar-SA"/>
        </w:rPr>
        <w:t>Steenblok</w:t>
      </w:r>
      <w:r>
        <w:rPr>
          <w:rFonts w:ascii="arial" w:eastAsia="arial" w:hAnsi="arial" w:cs="arial"/>
          <w:color w:val="000000"/>
          <w:sz w:val="20"/>
          <w:lang w:val="en-US" w:eastAsia="en-US" w:bidi="ar-SA"/>
        </w:rPr>
        <w:t xml:space="preserve"> analysis. He is partially disabled from doing one aspect of heavy physical work. He is quite capable of working at employment that is less strenuous.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He has, however, lost a capital asset in that he cannot do work which requires reaching or heavy lifting. Therefore, the </w:t>
      </w:r>
      <w:r>
        <w:rPr>
          <w:rFonts w:ascii="arial" w:eastAsia="arial" w:hAnsi="arial" w:cs="arial"/>
          <w:b/>
          <w:i/>
          <w:color w:val="000000"/>
          <w:sz w:val="20"/>
          <w:lang w:val="en-US" w:eastAsia="en-US" w:bidi="ar-SA"/>
        </w:rPr>
        <w:t>Pallos</w:t>
      </w:r>
      <w:r>
        <w:rPr>
          <w:rFonts w:ascii="arial" w:eastAsia="arial" w:hAnsi="arial" w:cs="arial"/>
          <w:color w:val="000000"/>
          <w:sz w:val="20"/>
          <w:lang w:val="en-US" w:eastAsia="en-US" w:bidi="ar-SA"/>
        </w:rPr>
        <w:t xml:space="preserve"> approach to the loss of this asset is applicable. I quote from the </w:t>
      </w:r>
      <w:r>
        <w:rPr>
          <w:rFonts w:ascii="arial" w:eastAsia="arial" w:hAnsi="arial" w:cs="arial"/>
          <w:b/>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decision which sets out the test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addition to those cases cited by counsel, I would also refer to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There Mr. Justice Taggart quoted with approval from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as follows (at p. 399):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In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[1991] B.C.J. No. 16</w:t>
        </w:r>
      </w:hyperlink>
      <w:r>
        <w:rPr>
          <w:rFonts w:ascii="arial" w:eastAsia="arial" w:hAnsi="arial" w:cs="arial"/>
          <w:color w:val="000000"/>
          <w:sz w:val="20"/>
          <w:lang w:val="en-US" w:eastAsia="en-US" w:bidi="ar-SA"/>
        </w:rPr>
        <w:t>, Madam Justice Southin said at p. 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calculation for such a loss is found at para. 43 of the </w:t>
      </w:r>
      <w:r>
        <w:rPr>
          <w:rFonts w:ascii="arial" w:eastAsia="arial" w:hAnsi="arial" w:cs="arial"/>
          <w:b/>
          <w:i/>
          <w:color w:val="000000"/>
          <w:sz w:val="20"/>
          <w:lang w:val="en-US" w:eastAsia="en-US" w:bidi="ar-SA"/>
        </w:rPr>
        <w:t>Pallos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decision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The cases to which we were referred suggest various means of assigning a dollar value to the loss of capacity to earn income. One method is to postulate a minimum annual income loss for the plaintiff's remaining years of work, to multiply the annual projected loss times the number of year remaining, and to calculate a present value of this sum. Another is to award the plaintiff's entire annual income for one or more years. Another is to award the present value of some nominal percentage loss per annum applied against the plaintiff's expected annual income. In the end, all of these methods seem equally arbitrary. It has, however, often been said that the difficulty of making a fair assessment of damages cannot relieve the court of its duty to do so. In all the circumstances, I would regard a fair award under this head to be the sum of $40,000.00.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 have also reviewed the decisions of </w:t>
      </w:r>
      <w:r>
        <w:rPr>
          <w:rFonts w:ascii="arial" w:eastAsia="arial" w:hAnsi="arial" w:cs="arial"/>
          <w:b/>
          <w:i/>
          <w:color w:val="000000"/>
          <w:sz w:val="20"/>
          <w:lang w:val="en-US" w:eastAsia="en-US" w:bidi="ar-SA"/>
        </w:rPr>
        <w:t>Heyes v. Lanphier</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where the plaintiffs were each awarded $300,000.00 for the loss of opportunity. The court in those cases and in particular </w:t>
      </w:r>
      <w:r>
        <w:rPr>
          <w:rFonts w:ascii="arial" w:eastAsia="arial" w:hAnsi="arial" w:cs="arial"/>
          <w:b/>
          <w:i/>
          <w:color w:val="000000"/>
          <w:sz w:val="20"/>
          <w:lang w:val="en-US" w:eastAsia="en-US" w:bidi="ar-SA"/>
        </w:rPr>
        <w:t>Rosvold</w:t>
      </w:r>
      <w:r>
        <w:rPr>
          <w:rFonts w:ascii="arial" w:eastAsia="arial" w:hAnsi="arial" w:cs="arial"/>
          <w:color w:val="000000"/>
          <w:sz w:val="20"/>
          <w:lang w:val="en-US" w:eastAsia="en-US" w:bidi="ar-SA"/>
        </w:rPr>
        <w:t xml:space="preserve"> considered how long it would take the plaintiff to find employment and also the possibility that employment might not work out for him. Mr. Kralik is willing to retrain and upgrade his language skills which he will need to do since he can no longer paint.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defendant submitted that Mr. Kralik has to upgrade his language skills regardless of whether he was injured. That is not so. He was working in the construction industry with people from his own country where his language skills were adequate in order to earn income from that business. In order to work at another job in Canada, he must be given the opportunity to upgrade those skills. He may also upgrade his computer skills or he may try something entirely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His loss of capacity over his working life is similar to that of </w:t>
      </w:r>
      <w:r>
        <w:rPr>
          <w:rFonts w:ascii="arial" w:eastAsia="arial" w:hAnsi="arial" w:cs="arial"/>
          <w:b/>
          <w:i/>
          <w:color w:val="000000"/>
          <w:sz w:val="20"/>
          <w:lang w:val="en-US" w:eastAsia="en-US" w:bidi="ar-SA"/>
        </w:rPr>
        <w:t>Rosvold</w:t>
      </w:r>
      <w:r>
        <w:rPr>
          <w:rFonts w:ascii="arial" w:eastAsia="arial" w:hAnsi="arial" w:cs="arial"/>
          <w:color w:val="000000"/>
          <w:sz w:val="20"/>
          <w:lang w:val="en-US" w:eastAsia="en-US" w:bidi="ar-SA"/>
        </w:rPr>
        <w:t xml:space="preserve"> and his age is also similar. Although any figure the court arrives at is somewhat arbitrary, I looked at the $36,000.00 that Mr. Kralik was earning at the time the accident occurred, and applying the analysis of the </w:t>
      </w:r>
      <w:r>
        <w:rPr>
          <w:rFonts w:ascii="arial" w:eastAsia="arial" w:hAnsi="arial" w:cs="arial"/>
          <w:b/>
          <w:i/>
          <w:color w:val="000000"/>
          <w:sz w:val="20"/>
          <w:lang w:val="en-US" w:eastAsia="en-US" w:bidi="ar-SA"/>
        </w:rPr>
        <w:t>Rosvold</w:t>
      </w:r>
      <w:r>
        <w:rPr>
          <w:rFonts w:ascii="arial" w:eastAsia="arial" w:hAnsi="arial" w:cs="arial"/>
          <w:color w:val="000000"/>
          <w:sz w:val="20"/>
          <w:lang w:val="en-US" w:eastAsia="en-US" w:bidi="ar-SA"/>
        </w:rPr>
        <w:t xml:space="preserve"> decision, I conclude that $300,000.00 is an appropriate award for loss of capacity over his working life which will likely be sometime past the age of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 claimed $300.00 in mileage expenses. While it seems like a small amount, there is not a tremendous amount of evidence to support the claim. There was not considerable opposition to the amount of special damages claimed, however it appears to be frankly more of a guess on the part of Mr. Kralik. This is not an award that I can make based on the lack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turn to cost of future care and I frankly hope I have not missed something because the evidence of two of the doctors, including Dr. Newmann, suggest massage therapy for Mr. Kralik, and Dr. Ellis recommended pool and strength training. There was no claim in counsel's argument that I saw requesting funds to support this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Kralik does claim $1,000.00 per year to compensate him for performing household chores, yard maintenance and repairs if he buys a house with his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Kralik does not own a house although he would like to own one. Certainly one can receive an award for future expenses as claimed. For example, often vacuuming and gardening awards are given. However there is not sufficient evidence in this case to support such an award. Mr. Kralik did not talk much about his inability to do household chores. Ms. Kralikova indicated that he was not doing as many household chores but that appeared to be in relation to when the accident first occurred. Mr. Kralik does not own a house and as indicated, while there was evidence for the first few months that he could not help around their apartment, there is really no evidence with respect to what he was doing around the house or what he cannot do at this stage. Therefore, I am dismissing the claim for $1,000.00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This head of damages was not pleaded. The plaintiff relies on </w:t>
      </w:r>
      <w:r>
        <w:rPr>
          <w:rFonts w:ascii="arial" w:eastAsia="arial" w:hAnsi="arial" w:cs="arial"/>
          <w:b/>
          <w:i/>
          <w:color w:val="000000"/>
          <w:sz w:val="20"/>
          <w:lang w:val="en-US" w:eastAsia="en-US" w:bidi="ar-SA"/>
        </w:rPr>
        <w:t>Boe v. Hamilton</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[1990] B.C.J. No. 330</w:t>
        </w:r>
      </w:hyperlink>
      <w:r>
        <w:rPr>
          <w:rFonts w:ascii="arial" w:eastAsia="arial" w:hAnsi="arial" w:cs="arial"/>
          <w:color w:val="000000"/>
          <w:sz w:val="20"/>
          <w:lang w:val="en-US" w:eastAsia="en-US" w:bidi="ar-SA"/>
        </w:rPr>
        <w:t xml:space="preserve"> (S.C.) for the proposition that he should be entitled to raise the issue on the basis that he was aware of the evidence supporting the claim for the first time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Whiten v. Pilot Insurance Company</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the court held that punitive damages need to be pleaded or at least amendments need to be made to the pleadings. However, the defendant did not object to the issue being raised, so rather than deal with the issue on the point of pleadings, I will address the substantive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 submits that the conduct of the defendants was so bad that they should be entitled to punitive damages. The plaintiff submits that punitive damages are justified on the basis as follows, and I am simply going to read from the plaintiff's argument because there are a number of issues the plaintiff raises:</w:t>
      </w:r>
      <w:r>
        <w:rPr>
          <w:rFonts w:ascii="arial" w:eastAsia="arial" w:hAnsi="arial" w:cs="arial"/>
          <w:sz w:val="20"/>
          <w:lang w:val="en-US" w:eastAsia="en-US" w:bidi="ar-SA"/>
        </w:rPr>
        <w:cr/>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manual (referring to the Mount Seymour Resorts Lift Operations Manual) at page 34 requires a passenger ropeway incident report to be completed and sent off to the Ministry immediately and supervisors must attend the accident scene.</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representative of the defendant Mount Seymour Ms. Carlson testified that there was no Ministry report in existence.</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Railway Act</w:t>
      </w:r>
      <w:r>
        <w:rPr>
          <w:rFonts w:ascii="arial" w:eastAsia="arial" w:hAnsi="arial" w:cs="arial"/>
          <w:color w:val="000000"/>
          <w:sz w:val="20"/>
          <w:lang w:val="en-US" w:eastAsia="en-US" w:bidi="ar-SA"/>
        </w:rPr>
        <w:t xml:space="preserve"> and its regulations as in place on March 16, 2003 require that a report be filed with the Ministry. In particular, at section 104.01 of the regulation, it states that every railway must inform the Minister of each accident. Section 102.02 requires accidents involving injury to be investigated. At section 104.06 it states that every railway must initiate corrective action without undue delay to prevent similar occurrences to those accidents which involve injury and are required to be reported.</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has been done by Mount Seymour to rectify the Ministry reporting problem and no report has been filed.</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 witness testified that if at his ski hill he found out sometime after an accident that it had not been reported to the Ministry, he would rectify the situation.</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expert witness testified that the manual was incorrect with respect to the emergency brake stopping distance but this error had not been corrected in the manual.</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knowing about this accident for over three years nothing has been done by Mount Seymour to increase the ramp length or to provide for a gentler slope in case of a misload.</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Nick Coles and Dave Shaughnessy both testified that people have been pushed off the end of the ramp before. In particular, Nick Coles was asked, "It doesn't matter who they are, people do get pushed off the end" and his response was, "If they don't load properly, yeah, it can happen". Dave Shaughnessy was asked, "People do get pushed off the chairlift if they don't sit down in time, you've seen that happen", and his response was, "People getting pushed off, people not doing what they're supposed to do and then falling off, yes I've seen that". And when asked, "You've seen that at Mystery Chair?" he replied "Yes I have".</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supervisor on duty Kavan Smith at the time of the incident was never called to the situation although she testified that she absolutely should have been there.</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Melsness was never disciplined nor was the issue of improper reporting in the log book ever raised to her by the defendant Mount Seymour or its employees or agents.</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Carlson testified that ice on a chair was not a safety issue and that it would not be hazardous for anyone including children and disabled people.</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Smith, a former lift supervisor, testified that squeegees are used to clear the seats continually, not only for safety but for complaints.</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Carlson testified that Mr. Kralik's accident was, despite his broken shoulder, not a serious injury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Then further, the following is argued as supporting a claim for punitive damages:</w:t>
      </w:r>
      <w:r>
        <w:rPr>
          <w:rFonts w:ascii="arial" w:eastAsia="arial" w:hAnsi="arial" w:cs="arial"/>
          <w:sz w:val="20"/>
          <w:lang w:val="en-US" w:eastAsia="en-US" w:bidi="ar-SA"/>
        </w:rPr>
        <w:cr/>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Lisa Carlson, the defendant Mount Seymour's representative, swore an affidavit verifying the list of documents of the defendants and deposing that there were no further documents to be produced in this action.</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lift stop codes which are posted on a metal bindle were not produced.</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Pam Melsness's employment record and personnel file in the possession of the defendant Mount Seymour were not produced.</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Z98 document on safety was not produced.</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Videos used to train lift operators were not produced.</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requests from plaintiff's counsel for the original of the affidavit of Lisa Carlson, the original affidavit was never produced.</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solicitor for the defendant stated that in respect of correspondence between the expert John Gow and his own office there were four emails and nothing else.</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emails is from the solicitor's office and refers to an email from John Gow but no such email was produced.</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solicitor for the defendant stated that he made no notes of any conversation with Mr. Gow and had no notes for any conversations with Mr. Gow regarding the 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add, parenthetically, that counsel has asked for an adverse inference to be drawn with respect to this evidence. As noted, Mr. Gow's report was more helpful to the plaintiff than the defendant. I do not think that drawing an adverse inference is necessary.</w:t>
      </w:r>
      <w:r>
        <w:rPr>
          <w:rFonts w:ascii="arial" w:eastAsia="arial" w:hAnsi="arial" w:cs="arial"/>
          <w:sz w:val="20"/>
          <w:lang w:val="en-US" w:eastAsia="en-US" w:bidi="ar-SA"/>
        </w:rPr>
        <w:cr/>
      </w:r>
    </w:p>
    <w:p>
      <w:pPr>
        <w:numPr>
          <w:numId w:val="3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Gow testified that he remembered the solicitor for the defendants making notes at various times including when they were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add that Mr. Kennedy indicated that he did have notes from the site and that they were simply his notes of what was going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 said that the conduct of the defendants and implicitly counsel was misleading. Indeed, while he retreated from using the word deceptive which appears in his argument, he comes very close to making the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Punitive damages are the exception and not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defendant submits that none of the matters raised have anything to do with the cause of action which is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w:t>
      </w:r>
      <w:r>
        <w:rPr>
          <w:rFonts w:ascii="arial" w:eastAsia="arial" w:hAnsi="arial" w:cs="arial"/>
          <w:b/>
          <w:i/>
          <w:color w:val="000000"/>
          <w:sz w:val="20"/>
          <w:lang w:val="en-US" w:eastAsia="en-US" w:bidi="ar-SA"/>
        </w:rPr>
        <w:t>Robitaille v. The Vancouver Hockey Club</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(1981), 124 D.L.R. (3d) 228</w:t>
        </w:r>
      </w:hyperlink>
      <w:r>
        <w:rPr>
          <w:rFonts w:ascii="arial" w:eastAsia="arial" w:hAnsi="arial" w:cs="arial"/>
          <w:color w:val="000000"/>
          <w:sz w:val="20"/>
          <w:lang w:val="en-US" w:eastAsia="en-US" w:bidi="ar-SA"/>
        </w:rPr>
        <w:t xml:space="preserve"> (B.C.C.A.) at 250-51,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reason why awards of exemplary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are rare is because in most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the conduct of the defendants, apart from lack of care, has not been blameworthy. In the case on appeal,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flowed from, and was directly linked with, the arrogant and high-handed conduct of the officers and servants of the defendant. The course of conduct of the representatives of the defendant, as found by the learned trial Judge, can be traced to a point several months before January 19, 1977, and continued for at least several months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other words, the conduct for which punitive damages were awarded in that case was linked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Whiten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the court said this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This, as noted, is a breach of contract case. In </w:t>
      </w:r>
      <w:r>
        <w:rPr>
          <w:rFonts w:ascii="arial" w:eastAsia="arial" w:hAnsi="arial" w:cs="arial"/>
          <w:b/>
          <w:i/>
          <w:color w:val="000000"/>
          <w:sz w:val="20"/>
          <w:lang w:val="en-US" w:eastAsia="en-US" w:bidi="ar-SA"/>
        </w:rPr>
        <w:t>Vorvis</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this Court held that punitive damages are recoverable in such cases provided the defendant's conduct said to give rise to the claim is itself "an actionable wrong" (p. 1106). The scope to be given this expression is the threshold question in this case, i.e., is a breach of an insurer's duty to act in good faith an actionable wrong independent of the loss claim under the fire insurance policy? </w:t>
      </w:r>
      <w:r>
        <w:rPr>
          <w:rFonts w:ascii="arial" w:eastAsia="arial" w:hAnsi="arial" w:cs="arial"/>
          <w:b/>
          <w:i/>
          <w:color w:val="000000"/>
          <w:sz w:val="20"/>
          <w:lang w:val="en-US" w:eastAsia="en-US" w:bidi="ar-SA"/>
        </w:rPr>
        <w:t>Vorvis</w:t>
      </w:r>
      <w:r>
        <w:rPr>
          <w:rFonts w:ascii="arial" w:eastAsia="arial" w:hAnsi="arial" w:cs="arial"/>
          <w:color w:val="000000"/>
          <w:sz w:val="20"/>
          <w:lang w:val="en-US" w:eastAsia="en-US" w:bidi="ar-SA"/>
        </w:rPr>
        <w:t xml:space="preserve"> itself was a case about the employer's breach of an employment contract. This is how McIntyre J. framed the rule at pp. 1105-6: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then can punitive damages be awarded? It must never be forgotten that when awarded by a judge or jury, a punishment is imposed upon a person by a Court by the operation of the judicial process. What is it that is punished? It surely cannot be merely conduct of which the Court disapproves, however strongly the judge may feel. Punishment may not be imposed in a civilized community without a justification in law. The only basis for the imposition of such punishment must be a finding of the commission of an actionable wrong which caused the injury complained of by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view, McIntyre J. said (at p. 1106), "has found approval in the Restatement on the Law of Contracts 2d in the United States", which reads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not recoverable for a breach of contract unless the conduct constituting the breach is also a tort for which punitive damages are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conduct of the defendants relied on by the plaintiff did not give rise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claimed by the plaintiff. It did not give rise to an independent actionable wrong. However, for the purpose of these reasons, assuming that the conduct did give rise to an actionable wrong, the court in </w:t>
      </w:r>
      <w:r>
        <w:rPr>
          <w:rFonts w:ascii="arial" w:eastAsia="arial" w:hAnsi="arial" w:cs="arial"/>
          <w:b/>
          <w:i/>
          <w:color w:val="000000"/>
          <w:sz w:val="20"/>
          <w:lang w:val="en-US" w:eastAsia="en-US" w:bidi="ar-SA"/>
        </w:rPr>
        <w:t>Whiten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said the following when assessing the issues of punitive damages at para. 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 To this end, not only should the pleadings of punitive damages be more rigorous in the future than in the past (see para. 87 above), but it would be helpful if the trial judge's charge to the jury included words to convey an understanding of the following points, even at the risk of some repetition for emphasis. (1) Punitive damages are very much the exception rather than the rule, (2) imposed only if there has been high-handed, malicious, arbitrary or highly reprehensible misconduct that departs to a marked degree from ordinary standards of decent behaviour. (3) Where they are awarded, punitive damages should be assessed in an amount reasonably proportionate to such factors as the harm caused, the degree of the misconduct, the relative vulnerability of the plaintiff and any advantage or profit gained by the defendant, (4) having regard to any other fines or penalties suffered by the defendant for the misconduct in question. (5) Punitive damages are generally given only where the misconduct would otherwise be unpunished or where other penalties are or are likely to be inadequate to achieve the objectives of retribution, deterrence and denunciation. (6) Their purpose is not to compensate the plaintiff, but (7) to give a defendant his or her just desert (retribution), to deter the defendant and others from similar misconduct in the future (deterrence), and to mark the community's collective condemnation (denunciation) of what has happened. (8) Punitive damages are awarded only where compensatory damages, which to some extent are punitive, are insufficient to accomplish these objectives, and (9) they are given in an amount that is no greater than necessary to rationally accomplish their purpose. (10) While normally the state would be the recipient of any fine or penalty for misconduct, the plaintiff will keep punitive damages as a "windfall" in addition to compensatory damages. (11) Judges and juries in our system have usually found that moderate awards of punitive damages, which inevitably carry a stigma in the broader community, are generally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turn then to the issues raised by the plaintiff. Some of these I will do in groupings, some I will address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first is the failure of sending a report to the Ministry. As noted above I found that there was no conspiracy to hide this incident from the Ministry. It would have been done had Ms. Smith been notified, however it was overlooked after the fact. Although the matter should have been reported, this is not conduct which would attract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next is the failure to modify the manual with respect to the emergency brake stopping distance. That does not give rise to conduct necessary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Next is the issue of the modification of the ramp. I have already found as a fact that the ramp length itself was not a risk to most skiers and failure to modify the ramp is not an issue. The plaintiff refers to the evidence of Nick Coles and Dave Shaughnessy regarding people being pushed off the end of the ramp. Mr. Coles said it could happen; but he has not seen it happen at Mystery Chair. Common sense dictates that it can happen. Indeed, Ms. Smith said she has fallen off chairs before. Mr. Shaughnessy said that if people do not sit down properly, he has seen people fall off the chairs, including the Mystery Chair. Again, the fact some people do not load properly does not mean that the ramp was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supervisor on duty, Ms. Kavan Smith, was not called to the Mystery Chair when the incident happened. I have already indicated that that should have been done, but that does not give rise to any conduct which would fall within the question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Melsness was not disciplined. Again, that in itself does not give rise to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Ms. Carlson said the ice on the chair was not a safety issue. I found as a fact that the ice as described by Mr. Kralik was not a safety issue. Obviously, snow and ice on a chair is generally going to be a safety matter if it is piled up, but the chairs are cleaned every morning as noted by Ms. Smith and Ms. Carlson.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Carlson said Mr. Kralik's accident was not a serious injury accident. I think most people would consider his accident a serious injury, however Ms. Carlson was comparing it to people who have, for example, a spinal cord injury and are paralysed or perhaps even death resulting.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None of those incidents raised by the plaintiff give rise to the conduct that has been described in </w:t>
      </w:r>
      <w:r>
        <w:rPr>
          <w:rFonts w:ascii="arial" w:eastAsia="arial" w:hAnsi="arial" w:cs="arial"/>
          <w:b/>
          <w:i/>
          <w:color w:val="000000"/>
          <w:sz w:val="20"/>
          <w:lang w:val="en-US" w:eastAsia="en-US" w:bidi="ar-SA"/>
        </w:rPr>
        <w:t>Whiten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as "high-handed, malicious, arbitrary or highly reprehensible that departs from a marked degree from the ordinary decent standards of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next claim for punitive damages arises from matters that affected the trial itself. These relate first of all with respect to the production of documents. The witnesses were cross-examined at length about things that they had not produced. There is little evidence to indicate that had these documents been produced they would have affected the plaintiff's case in any way, including the original affidavit of Lisa Carlson. These may be arguments with respect to questions of costs, but I do not see how they could possibly result in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There is a question about email between Mr. Gow and Mr. Kennedy, and an issue about Mr. Kennedy not having any notes of his conversations with Mr. Gow. When I first heard that, I thought that was unusual for counsel not to have notes. However, having now thoroughly read the report of Mr. Gow, it is frankly not surprising that there were no notes. Mr. Gow's report was basically fact-driven with respect to measurements of distance and speeds of the chairlifts, plus his views on whether what Ms. Melsness did was proper and his views on what Mr. Kralik should have done. Given the content of Mr. Gow's reports, the fact that Mr. Kennedy did not have notes in my view makes sense. Mr. Kennedy indicated he had notes from being at the scene, but those were his notes of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There is no absolutely no substance to the claim for punitive damages. Having reviewed all of the matters, had I been asked to amend the pleadings based on this argument and this evidence, I would have refused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Therefore, in summary with respect to the claim for damages, the non-pecuniary award loss is $75,000.00; the past wage loss is $152,000.00 less income earned over that period of time, plus court-ordered interest; his loss of future opportunity award is $300,000.00, and there is no award with respect to the remaining heads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was advised after giving these reasons in Court that on November 30, 2006, the plaintiff offered to settle for $200,000. The plaintiff seeks double costs on Scale B. There is a disagreement between counsel with respect to the scope of the Rule relating to double costs. I am not asked, at this point, to resolve the disagreement.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have ordered double costs on Scale B and leave it to counsel to resolve their dispute over the Rule, as requested. If they cannot resolve it, they may return to see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plaintiff withdrew his request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May 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Oral Reasons for Judgment of Madam Justice E. Bennett dated January 19, 2007 have been edited. Paragraph 149 is amended to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the figures for the amounts that Mr. Kralik earned earned for 2003 and 2005."</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0"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Lau v. Ogilvie, [2010] B.C.J. No. 2192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25-27, 2010; written submissions, February 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11,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S34689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2192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1589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194 A.C.W.S. (3d) 1001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3006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Suk Kam Lau and Aptex Canada Corporation, Plaintiffs, and Charles Ogilvie,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1"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0" w:name="Keywords_7"/>
      <w:bookmarkEnd w:id="140"/>
      <w:r>
        <w:rPr>
          <w:rFonts w:ascii="arial" w:eastAsia="arial" w:hAnsi="arial" w:cs="arial"/>
          <w:b/>
          <w:color w:val="000000"/>
          <w:sz w:val="20"/>
          <w:lang w:val="en-US" w:eastAsia="en-US" w:bidi="ar-SA"/>
        </w:rPr>
        <w:t xml:space="preserve">Legal profession — Barristers and solicitors — Liability — Real estate transactions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 real estate transactions — Planning and zoning — Relationship with client — Duty of competence — Duty to follow instructions — Action by purchaser in non-completed real estate transaction for damages for solicitor's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In plaintiff's unsuccessful claim against vendor, judge concluded Agreement between plaintiff and vendor was not binding contract — Plaintiff argued defendant solicitor was negligent in drafting less than binding contract — No written retainer of exactly what defendant undertook to do and, following stroke, defendant had no memory of events — Evidence clearly established vendor would not have agreed to sale without final subdivision approval, which plaintiff could not obtain — No fault of defendant's that vendor refused to execute agreement without subdivision approval.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1" w:name="Case Summary_7"/>
            <w:bookmarkEnd w:id="1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purchaser in a non-completed real estate transaction for damages from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was unsuccessful in her claim against the vendor, in which the judge ruled that the agreement between the plaintiff and vendor was not a binding contract. The plaintiff now argued that the defendant solicitor was negligent in drafting a less-than binding contract. The plaintiff was experienced in buying and selling property for development purposes. The agreement between the plaintiff and vendor was the result of hard negotiation and was subject to the plaintiff obtaining subdivision approval. The Village provided preliminary approval but the conditions for final approval were not satisfied and the agreement was not completed. At the time of the agreement, the plaintiff was in a 50/50 partnership. The defendant argued that the plaintiff could only pursue the action for her half of the partnership.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2" w:name="Holdings of Court_5"/>
            <w:bookmarkEnd w:id="14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and her partner had originally brought the action together and there was never an order eliminating the partner's claim. The partner was now deceased and the plaintiff had paid valid consideration for her partner's interest to the estate so the plaintiff was free to bring action for entire interest. There was not a written retainer of exactly what the defendant undertook to do. The defendant had suffered a major stroke and had no memory of the events surrounding the agreement, or of anything else of significance. However, the plaintiff admitted that she reviewed all drafts of the agreement and discussed concerns with the defendant before signing the agreement. The evidence was clear that the vendor wanted to maximize his profit and would not have agreed to complete the sale without final subdivision approval. It was no fault of the defendant's that the vendor refused to remove this condition precedent and refused to close when the plaintiff failed to obtain final approval. There was no evidence that the defendant was anything but skilled and careful and followed the plaintiff's instructions. The plaintiff had even admitted that the defendant did a good job on her behalf.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3" w:name="Legislation Cited_8"/>
      <w:bookmarkEnd w:id="1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2"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Limitations Act, </w:t>
      </w:r>
      <w:hyperlink r:id="rId227" w:history="1">
        <w:r>
          <w:rPr>
            <w:rFonts w:ascii="arial" w:eastAsia="arial" w:hAnsi="arial" w:cs="arial"/>
            <w:i/>
            <w:color w:val="0077CC"/>
            <w:sz w:val="20"/>
            <w:u w:val="single"/>
            <w:shd w:val="clear" w:color="auto" w:fill="FFFFFF"/>
            <w:lang w:val="en-US" w:eastAsia="en-US" w:bidi="ar-SA"/>
          </w:rPr>
          <w:t>RSBC 1996, CHAPTER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18A, Rule 40(4)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4" w:name="Counsel_8"/>
      <w:bookmarkEnd w:id="1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3"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R.J. Argue.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his own behalf: J. Webster,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5" w:name="Judgment_8"/>
      <w:bookmarkEnd w:id="145"/>
      <w:r>
        <w:pict>
          <v:line id="_x0000_s1074"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6" w:name="D.M. MASUHARA J._0"/>
            <w:bookmarkEnd w:id="146"/>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claim in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a failed real estate transaction occurring in the Village of Anmore some 20 years ago. The plaintiffs were unsuccessful in an action against the vendor of the failed real estate transaction, and now bring an action against the defendant, claiming he was negligent in drafting the agreement of purchase and sale and that he was negligent in advising them as to the agreement. As a result, the plaintiffs claim that the defendant is liable in damages for the lost opportunity to profit from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proceedings have been conducted under the old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action relates to the failed purchase and sale of a 15.7-acre parcel of land located in the Village of Anmore, British Columbia (the "Property"). The purchase and sale agreement (the "Agreement") was negotiated in the latter part of 1991 and the early part of 1992 between Gary William Eeckhout ("Eeckhout") together with the plaintiff Suk Kam Lau ("Lau") as potential purchasers, and Gerald Robert Karran ("Karran") as potential vendor. The Agreement was signed by those parties on February 28,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in this action, Lau, was at the time of the transaction a self-employed business woman and investor who was experienced in buying and selling real property for development purposes. Eeckhout was a real estate salesman who died in November 1998. The two had been involved together in joint ventures in real estate. Charles Ogilvie ("Ogilvie"), the defendant in this action, was the solicitor who acted for Eeckhout and Lau on their transaction with Karran. Richard Begin ("Begin") was the solicitor acting for Karran in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Agreement consists of a standard contract of purchase and sale issued by the Real Estate Board of Greater Vancouver appended with a 20-page typewritten agreement relating to the subdivision of the Property and the price to be paid. The Agreement was the product of hard and difficult negotiation between the parties. Several drafts were exchanged between their solicitors. The transaction can be characterized as complex. The Agreement contained several "subject to" clauses, notably for our purposes clauses 6 and 7:</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the Purchasers obtaining and approving a conditional subdivision Survey Plan acceptable to the Village of Anmore on not less than TEN (10) lots (the "adjusted lots") on or before April 30, 1992.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subject is for the sole benefit of the Purchasers.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mutually agree that this Agreement is subject to the Purchaser receiving approval from the Village of Anmore for a maximum 15 lot and minimum 10 lot subdivision on or before [June 30]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July 31, 1992. In the event the approval of the said village is for a subdivision of less than 10 lots either party pay terminate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subject is for the benefit of both parties and the Vendor shall not be obligated to sell nor the Purchaser to purchase if the approved sub-division is less than 10 lots. ["June 30" struck out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Agreement was amended several times to extend the closing dates in clauses 6 and 7, amongst others. Eventually, the parties amended the Agreement in October 1992 to extend the final completion date to July 2, 1993, provided the potential purchasers agreed to pay $5,000 each month to keep the Agreement alive, which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May 20, 1993, the Village of Anmore provided preliminary layout approval ("PLA") for the subdivision on the Property. The letter specified a number of conditions that had to be satisfied before final approval would be granted. Those conditions were not satisfied at the time relevant to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Agreement did not complete as required on July 2, 1993. Karran formally took the position in writing that the agreement was at an end by no later than July 2, 1993. Eeckhout, Lau, and the corporate plaintiff Aptex, (found at trial by Mr. Justice Rowan J. to be an assignee of Eeckhout and Lau's interest in that land), commenced an action against Karran on March 7, 1994 (the "original action"), seeking, among other things, specific performance of the Agreement or, alternatively, damages in lieu of specific performance. That action was heard in February 2000 before Mr. Justice Rowan. His Reasons for Judgment can be found at </w:t>
      </w:r>
      <w:r>
        <w:rPr>
          <w:rFonts w:ascii="arial" w:eastAsia="arial" w:hAnsi="arial" w:cs="arial"/>
          <w:i/>
          <w:color w:val="000000"/>
          <w:sz w:val="20"/>
          <w:lang w:val="en-US" w:eastAsia="en-US" w:bidi="ar-SA"/>
        </w:rPr>
        <w:t>Eeckhout v. Karran</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2000 BCSC 1012</w:t>
        </w:r>
      </w:hyperlink>
      <w:r>
        <w:rPr>
          <w:rFonts w:ascii="arial" w:eastAsia="arial" w:hAnsi="arial" w:cs="arial"/>
          <w:color w:val="000000"/>
          <w:sz w:val="20"/>
          <w:lang w:val="en-US" w:eastAsia="en-US" w:bidi="ar-SA"/>
        </w:rPr>
        <w:t xml:space="preserve"> ("Rowan J.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Ogilvie suffered a major stroke in 1995 and sustained permanent brain damage as a result. As noted in the Rowan J. Reasons at para. 11, Ogilvie withdrew from the practice of law after the stroke. He testified as a witness for the plaintiffs at trial in the original action but was only able to explain the simpler clauses in the Agreement. He was not a party to those proceedings, nor did he have counsel. He died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issue in the original action was whether the Agreement was a contract. If it was a contract, then it was in issue whether the subject matter of the Agreement was a sale of the entire 15.7-acre Property or whether the subject matter of the Agreement was a number of parcels of land to be created upon the subdivision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Karran in that action denied that the Agreement was a contract. He argued that the Agreement was vague and uncertain and could not suffice as a contract for the sale and purchase of land. Karran also said that if the Agreement sufficed to be a contract, it was subject to a condition precedent that never occurred. That condition precedent was said to be the one contained in clause 7 of the Agreement: approval from the Village of Anmore for a subdivision of the 15.7-acre parcel into no less than ten lots and no more than fifteen lots. The plaintiffs argued that the condition precedent was substantially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Justice Rowan found at para. 49 that the Agreement was not a contract but something less than a contract. It failed for lack of precision as to the parcels of land being sold and as to the prices being paid for parcels of land. The Agreement was declared void, and judgment was entered for the defendant. Importantly, Mr. Justice Rowan also held that if the Agreement was a contract, then it was subject to the prior condition that the 15.7-acre parcel of land be subdivided. Only when the Property was subdivided could the price or prices be determined, and subdivision would have required Karran's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Justice Rowan ordered that all of the monies paid to Eeckhout and Lau, $80,000 under the Agreement, be returned. It appears that this sum was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Lau, having been unsuccessful in the original action against Karran, now claims breach of contract or breach of duty against Ogilvie for failure to exercise the due care, skill or diligence required of a solicitor in advising the potential purchasers and in negotiating, drafting, revising and settling the Agreement. The action was commenced in October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issues to be determined in this action are: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Lau or Aptex pursue Eeckhout's claim in this action?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Ogilvie negligent?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Ogilvie breach the standard of care in drafting the Agreement and advising the plaintiffs?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Ogilvie did breach the standard of care, was he the cause of the plaintiff's loss?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Ogilvie was negligent, what are the appropriate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Continuation of Eeckhout's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Agreement was signed by Eeckhout and Lau in 1992. Lau and Eeckhout were in a 50/50 partnership for this transaction. It is not alleged that Aptex was involved in the negotiations or that Aptex retained Ogilvie for this purpose. There is no signature from an authorized agent of Aptex on the Agreement. Nothing in the materials presented to the Court supports an inference that the parties to the negotiations or the Agreement on the purchaser's side were other than Eeckhout and Lau or that Ogilvie owed any duty to anyone but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October 20, 2008, the plaintiff obtained an order to delete Eeckhout from this proceeding. As a result, the plaintiffs in this action are Lau and Aptex Canada. The defendant asserts that Eeckhout's claim was discontinued and not properly assigned to the plaintiffs, and that the plaintiffs can only bring an action for 50% of the claim against Ogilvie.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submit that by agreements dated January 31, 1999, and June 24, 2008, Joanne Eeckhout, the executrix and sole beneficiary of Eeckhout's estate, assigned all her right, title and interest and the right, title and interest of the Estate in these proceedings to 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assignment agreement of January 31, 1999 (the "1999 Assignment") appears to relate the issues at trial that were brought before Mr. Justice Rowan. The key terms are as follows: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wish to make an Agreement with respect to the Anmore Property that is the subject matter of British Columbia Supreme Court Action No. SO 16936, New Westminster Registry (hereinafter referred to as the "Action"), with respect to the following matters: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outstanding legal fees;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further legal and other fees;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Distribution of proceeds upon settlement or completion of the claim after a Trial and any subsequent appeal(s);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Discontinuing the involvement of Joanne Eeckhout as the beneficiary of the estate of Gary Eeckhout in the Anmore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THEREFORE the parties agree as follows: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execution of the Agreement by the Parties, Joanne Eeckhout will not supply any further funds regarding the Anmore Property for legal fees, disbursements, taxes and the like;</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legal fees, disbursements and taxes up to and including October 31, 1998, JOANNE EECKHOUT shall be responsible for payment of $674.11 of the outstanding balance, which sum shall be loaned, interest free, to JOANNE EECKHOUT by SUK KAM LAU and JOANNE EECKHOUT shall pay back the loan to SUK KAM LAU after settlement or a Trial of the action.</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further legal fees, disbursements and taxes and any and all further expenses regarding the Action incurred after the execution of this Agreement by the Parties, will be paid by SUK KAM LAU and/or APTEX CANADA CORPORATION.</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further agreed that upon settlement or Judgment after a Trial and if monies are paid by the Defendant to the Plaintiffs, including the deposit monies that were paid by the Plaintiffs to purchase the Anmore Property, the monies shall be paid in the manner following, firstly, to SUK KAM LAU and JOANNE EECKHOUT for the legal fees, disbursements, taxes and other costs associated with respect to the Action; secondly, JOANNE EECKHOUT will be paid one-half (1/2) of the $80,000.00 deposit plus one-half (1/2) of any accrued interest thereon, if there are any funds in surplus after payment of all legal fees, disbursements, taxes and other costs associated with the Action; and thirdly, all further funds will be paid to SUK KAM LAU, subject to paragraphs 5 and 6.</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further agreed that if GARY EECKHOUT's sales commission is paid by the Defendant to the Plaintiffs by way of any settlement or after a Trial, then the amount of the sales commission plus any interest, if any, will be paid to JOANNE EECKHOUT.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JOANNE EECKHOUT will waive any and all interest in and to the Anmore Property, save and except for the payment of monies to her set out in paragraphs 4 and 5 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submits that the terms of the 1999 Assignment do not encompass the current litigation and refers further to the affidavit of Mrs. Eeckhout who deposes to that effect. The plaintiff, however, submits that para. 6 of the assignment, whereby Mrs. Eeckhout waived "any and all interest in and to the Anmore Property, save and except the payment of monies to her ...", granted Lau Eeckhout's interest in this suit against Ogilvie. This is by virtue that the interest in the Anmore Property was clearly an asset of the Lau/Eeckhout partnership. It consisted of the Agreement for the purchase of lands; and when Lau was unsuccessful in the trial before Mr. Justice Rowan to enforce the contract, she was left with whatever rights the partnership had in its contract with Ogilvie which is the instant suit. I am not persuaded by the plaintiff's submission that this is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Turning then to the Assignment Agreement between Eeckhout and Lau of June 24, 2008 (the "2008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submits that the 2008 Assignment is not effective on the basis that there was a lack of consideration provided to the Eeckhout Estate. The defendant further submits that it offends the rule against maintenance and champerty.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also submits that the 2008 Assignment is not effective as there was no lawfully extant action at the time for Eeckhout to assign. The defendant notes the fact that delivery of the June 2008 assignment to counsel for Ogilvie occurred after the plaintiff had obtained leave that Eeckhout cease to be a party to the extant action. The defendant submits that to perfect an assignment, service upon the defendant was necessary. The defendant says that since the claim of Eeckhout had been discontinued and service of the notice of assignment occurred later the same day, no judgment can be given based on the duties that were owed to Eeckhout or damages he incurred as his cause of action had not been properly assigned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Furthermore, the defendant notes that an amended statement of claim was filed September 17, 2009, which states that Eeckhout's cause of action had been assigned to Lau by virtue of the June 2008 Assignment. The defendant says that this amendment amounts to the assertion of an entirely new cause of action. As a result, the defendant submits that Lau's claim with respect to a breach of duty by Ogilvie to Eeckhout is statute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given that the alleged breach occurred in the summer of 1993 when the transaction failed to close. The defendant says that even if the cause of action was postponed by Mr. Justice Rowan's judgment, delivered June 28, 2000, the applicable six-year limitation period has expired. In sum, the defendant submits that even if successful, Lau is only entitled to 50% of any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of the view, as submitted by counsel for the plaintiff, that the applied for removal of Eeckhout as a plaintiff by Lau did not constitute a discontinuation of the claim of Eeckhout in its entirety. There is no term of the order that eliminates the claim of Eeckhout. The amendment to the statement of claim reflects the assignment agreement and sets out the reason why Eeckhout is not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regard to the validity of the 2008 Assignment, I am satisfied that the evidence supports that Lau paid sufficient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am also satisfied that the 2008 Assignment does not offend the rule against champerty and maintenance. Eeckhout and Lau were in a joint venture to purchase and develop lands. Their business objective, or more accurately, their failure to achieve it, was at the core of the trial held before Mr. Justice Rowan. The present action relates to the legal services provided by Ogilvie to Eeckhout and Lau in regard to that business objective. The two commenced this action in October 1996. It is apparent that in the circumstances, Lau possesses "a sufficient interest in the action assigned to support the assignment", consistent in the manner set out in </w:t>
      </w:r>
      <w:r>
        <w:rPr>
          <w:rFonts w:ascii="arial" w:eastAsia="arial" w:hAnsi="arial" w:cs="arial"/>
          <w:i/>
          <w:color w:val="000000"/>
          <w:sz w:val="20"/>
          <w:lang w:val="en-US" w:eastAsia="en-US" w:bidi="ar-SA"/>
        </w:rPr>
        <w:t>Fredrickson v. Insurance Corporation of British Columbia</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(1986), 3 B.C.L.R. (2d) 145</w:t>
        </w:r>
      </w:hyperlink>
      <w:r>
        <w:rPr>
          <w:rFonts w:ascii="arial" w:eastAsia="arial" w:hAnsi="arial" w:cs="arial"/>
          <w:color w:val="000000"/>
          <w:sz w:val="20"/>
          <w:lang w:val="en-US" w:eastAsia="en-US" w:bidi="ar-SA"/>
        </w:rPr>
        <w:t xml:space="preserve"> (C.A.), aff'd </w:t>
      </w:r>
      <w:hyperlink r:id="rId230" w:history="1">
        <w:r>
          <w:rPr>
            <w:rFonts w:ascii="arial" w:eastAsia="arial" w:hAnsi="arial" w:cs="arial"/>
            <w:i/>
            <w:color w:val="0077CC"/>
            <w:sz w:val="20"/>
            <w:u w:val="single"/>
            <w:shd w:val="clear" w:color="auto" w:fill="FFFFFF"/>
            <w:lang w:val="en-US" w:eastAsia="en-US" w:bidi="ar-SA"/>
          </w:rPr>
          <w:t>[1988] 1 S.C.R. 1089</w:t>
        </w:r>
      </w:hyperlink>
      <w:r>
        <w:rPr>
          <w:rFonts w:ascii="arial" w:eastAsia="arial" w:hAnsi="arial" w:cs="arial"/>
          <w:color w:val="000000"/>
          <w:sz w:val="20"/>
          <w:lang w:val="en-US" w:eastAsia="en-US" w:bidi="ar-SA"/>
        </w:rPr>
        <w:t xml:space="preserve">. As well, Lau cannot be said to have engaged in champerty or maintenance when assessed against the indicia identified in the judgment of Warren J. in </w:t>
      </w:r>
      <w:r>
        <w:rPr>
          <w:rFonts w:ascii="arial" w:eastAsia="arial" w:hAnsi="arial" w:cs="arial"/>
          <w:i/>
          <w:color w:val="000000"/>
          <w:sz w:val="20"/>
          <w:lang w:val="en-US" w:eastAsia="en-US" w:bidi="ar-SA"/>
        </w:rPr>
        <w:t>NRS Block Bros. Realty Ltd. v. Minerva Technology Inc.</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(1997), 145 D.L.R. (4th) 448</w:t>
        </w:r>
      </w:hyperlink>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[1997] B.C.J. No. 929</w:t>
        </w:r>
      </w:hyperlink>
      <w:r>
        <w:rPr>
          <w:rFonts w:ascii="arial" w:eastAsia="arial" w:hAnsi="arial" w:cs="arial"/>
          <w:color w:val="000000"/>
          <w:sz w:val="20"/>
          <w:lang w:val="en-US" w:eastAsia="en-US" w:bidi="ar-SA"/>
        </w:rPr>
        <w:t xml:space="preserve"> at para. 10 (S.C.),:</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Element of officious intermeddling,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previous commercial connection,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assignee is speculating on a personal gain from the lawsuit,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stirring up of strife,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assignee initiates or promotes the commencement of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terms of the issue raised regarding service of the notice of assignment upon the defendant, notice of an assignment is not required to perfect an equitable assignment: Cheshire, Fifoot &amp; Furmston Law of Contract, 14th ed. (London: Butterworths, 2001) at p. 571.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Given the foregoing, I find that the 2008 Assignment agreed is a valid equitable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Was Ogilvie negligent?</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This case has been pleaded both in contract and in tort. However, it has been argued principally in tort as a case of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R.E.A.D. Enterprises Ltd. v. Picadilly Investments Ltd.</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[1997] B.C.J. No. 1806</w:t>
        </w:r>
      </w:hyperlink>
      <w:r>
        <w:rPr>
          <w:rFonts w:ascii="arial" w:eastAsia="arial" w:hAnsi="arial" w:cs="arial"/>
          <w:color w:val="000000"/>
          <w:sz w:val="20"/>
          <w:lang w:val="en-US" w:eastAsia="en-US" w:bidi="ar-SA"/>
        </w:rPr>
        <w:t xml:space="preserve"> (S.C.), this is a case where the common law duty of care is co-extensive with that which arises as an implied term of the contract of retainer. The retainer defines the extent of a lawyer's duties, and any implied duty of care must be related to what the lawyer is instructed to do: </w:t>
      </w:r>
      <w:r>
        <w:rPr>
          <w:rFonts w:ascii="arial" w:eastAsia="arial" w:hAnsi="arial" w:cs="arial"/>
          <w:i/>
          <w:color w:val="000000"/>
          <w:sz w:val="20"/>
          <w:lang w:val="en-US" w:eastAsia="en-US" w:bidi="ar-SA"/>
        </w:rPr>
        <w:t>Shiokawa v. Tohyama</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2005 BCCA 95</w:t>
        </w:r>
      </w:hyperlink>
      <w:r>
        <w:rPr>
          <w:rFonts w:ascii="arial" w:eastAsia="arial" w:hAnsi="arial" w:cs="arial"/>
          <w:color w:val="000000"/>
          <w:sz w:val="20"/>
          <w:lang w:val="en-US" w:eastAsia="en-US" w:bidi="ar-SA"/>
        </w:rPr>
        <w:t xml:space="preserve"> at para. 32. A lawyer is also under a duty in tort to exercise reasonable skill and care in undertaking the work to which the retainer relates: </w:t>
      </w:r>
      <w:r>
        <w:rPr>
          <w:rFonts w:ascii="arial" w:eastAsia="arial" w:hAnsi="arial" w:cs="arial"/>
          <w:i/>
          <w:color w:val="000000"/>
          <w:sz w:val="20"/>
          <w:lang w:val="en-US" w:eastAsia="en-US" w:bidi="ar-SA"/>
        </w:rPr>
        <w:t>Shiokawa</w:t>
      </w:r>
      <w:r>
        <w:rPr>
          <w:rFonts w:ascii="arial" w:eastAsia="arial" w:hAnsi="arial" w:cs="arial"/>
          <w:color w:val="000000"/>
          <w:sz w:val="20"/>
          <w:lang w:val="en-US" w:eastAsia="en-US" w:bidi="ar-SA"/>
        </w:rPr>
        <w:t xml:space="preserve"> at para. 34. In the absence of special terms in the retainer determining the nature and scope of the duty in a particular case, the duties of care in contract and in tort are the same: </w:t>
      </w:r>
      <w:r>
        <w:rPr>
          <w:rFonts w:ascii="arial" w:eastAsia="arial" w:hAnsi="arial" w:cs="arial"/>
          <w:i/>
          <w:color w:val="000000"/>
          <w:sz w:val="20"/>
          <w:lang w:val="en-US" w:eastAsia="en-US" w:bidi="ar-SA"/>
        </w:rPr>
        <w:t>Central Trust Co. v. Rafuse</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(1986), 31 D.L.R. (4th) 481</w:t>
        </w:r>
      </w:hyperlink>
      <w:r>
        <w:rPr>
          <w:rFonts w:ascii="arial" w:eastAsia="arial" w:hAnsi="arial" w:cs="arial"/>
          <w:color w:val="000000"/>
          <w:sz w:val="20"/>
          <w:lang w:val="en-US" w:eastAsia="en-US" w:bidi="ar-SA"/>
        </w:rPr>
        <w:t xml:space="preserve"> at 525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That Ogilvie owed a duty of care to Lau in this matter and that Lau relied on Ogilvie is not contested. What is at issue is the standard of care and whether that standard was breached.</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obligations of a lawyer were defined in </w:t>
      </w:r>
      <w:r>
        <w:rPr>
          <w:rFonts w:ascii="arial" w:eastAsia="arial" w:hAnsi="arial" w:cs="arial"/>
          <w:i/>
          <w:color w:val="000000"/>
          <w:sz w:val="20"/>
          <w:lang w:val="en-US" w:eastAsia="en-US" w:bidi="ar-SA"/>
        </w:rPr>
        <w:t>Tiffin Holdings Ltd. v. Millican</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(1964), 49 D.L.R. (2d) 216</w:t>
        </w:r>
      </w:hyperlink>
      <w:r>
        <w:rPr>
          <w:rFonts w:ascii="arial" w:eastAsia="arial" w:hAnsi="arial" w:cs="arial"/>
          <w:color w:val="000000"/>
          <w:sz w:val="20"/>
          <w:lang w:val="en-US" w:eastAsia="en-US" w:bidi="ar-SA"/>
        </w:rPr>
        <w:t xml:space="preserve"> at 219, </w:t>
      </w:r>
      <w:hyperlink r:id="rId235" w:history="1">
        <w:r>
          <w:rPr>
            <w:rFonts w:ascii="arial" w:eastAsia="arial" w:hAnsi="arial" w:cs="arial"/>
            <w:i/>
            <w:color w:val="0077CC"/>
            <w:sz w:val="20"/>
            <w:u w:val="single"/>
            <w:shd w:val="clear" w:color="auto" w:fill="FFFFFF"/>
            <w:lang w:val="en-US" w:eastAsia="en-US" w:bidi="ar-SA"/>
          </w:rPr>
          <w:t>50 W.W.R. 673</w:t>
        </w:r>
      </w:hyperlink>
      <w:r>
        <w:rPr>
          <w:rFonts w:ascii="arial" w:eastAsia="arial" w:hAnsi="arial" w:cs="arial"/>
          <w:color w:val="000000"/>
          <w:sz w:val="20"/>
          <w:lang w:val="en-US" w:eastAsia="en-US" w:bidi="ar-SA"/>
        </w:rPr>
        <w:t xml:space="preserve"> (Alta. S.C.), aff'd </w:t>
      </w:r>
      <w:hyperlink r:id="rId236" w:history="1">
        <w:r>
          <w:rPr>
            <w:rFonts w:ascii="arial" w:eastAsia="arial" w:hAnsi="arial" w:cs="arial"/>
            <w:i/>
            <w:color w:val="0077CC"/>
            <w:sz w:val="20"/>
            <w:u w:val="single"/>
            <w:shd w:val="clear" w:color="auto" w:fill="FFFFFF"/>
            <w:lang w:val="en-US" w:eastAsia="en-US" w:bidi="ar-SA"/>
          </w:rPr>
          <w:t>[1967] S.C.R. 183</w:t>
        </w:r>
      </w:hyperlink>
      <w:r>
        <w:rPr>
          <w:rFonts w:ascii="arial" w:eastAsia="arial" w:hAnsi="arial" w:cs="arial"/>
          <w:color w:val="000000"/>
          <w:sz w:val="20"/>
          <w:lang w:val="en-US" w:eastAsia="en-US" w:bidi="ar-SA"/>
        </w:rPr>
        <w:t xml:space="preserve">, and have been adopted by many decisions in this province: </w:t>
      </w:r>
      <w:r>
        <w:rPr>
          <w:rFonts w:ascii="arial" w:eastAsia="arial" w:hAnsi="arial" w:cs="arial"/>
          <w:i/>
          <w:color w:val="000000"/>
          <w:sz w:val="20"/>
          <w:lang w:val="en-US" w:eastAsia="en-US" w:bidi="ar-SA"/>
        </w:rPr>
        <w:t>Zink v. Adrian</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2005 BCCA 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Chaster (Guardian ad Litem of) v. LeBlanc</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2007 BCSC 1250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Olenga v. Sisett &amp; Co.</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BCSC 271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skilful and careful;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advise the client on all matters relevant to the retainer, so far as may be reasonably necessary;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the interest of the client;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carry out the client's instructions by all proper means;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consult with the client on all questions of doubt which do not fall within the express or implied discretion left to the lawyer;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keep the client informed to such an extent as reasonably necessary, according to the same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Tiffin</w:t>
      </w:r>
      <w:r>
        <w:rPr>
          <w:rFonts w:ascii="arial" w:eastAsia="arial" w:hAnsi="arial" w:cs="arial"/>
          <w:color w:val="000000"/>
          <w:sz w:val="20"/>
          <w:lang w:val="en-US" w:eastAsia="en-US" w:bidi="ar-SA"/>
        </w:rPr>
        <w:t>, it was also said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enough to prove that the lawyer has made an error of judgment or shown ignorance of some particular part of the law; it must be shown that the error or ignorance was such that an ordinarily competent lawyer would not have made or shown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Banyay v. Christie and Co.</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2001 BCSC 1165</w:t>
        </w:r>
      </w:hyperlink>
      <w:r>
        <w:rPr>
          <w:rFonts w:ascii="arial" w:eastAsia="arial" w:hAnsi="arial" w:cs="arial"/>
          <w:color w:val="000000"/>
          <w:sz w:val="20"/>
          <w:lang w:val="en-US" w:eastAsia="en-US" w:bidi="ar-SA"/>
        </w:rPr>
        <w:t xml:space="preserve"> at para. 24, citing </w:t>
      </w:r>
      <w:r>
        <w:rPr>
          <w:rFonts w:ascii="arial" w:eastAsia="arial" w:hAnsi="arial" w:cs="arial"/>
          <w:i/>
          <w:color w:val="000000"/>
          <w:sz w:val="20"/>
          <w:lang w:val="en-US" w:eastAsia="en-US" w:bidi="ar-SA"/>
        </w:rPr>
        <w:t>Brenner v. Gregory</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[1973] 1 O.R. 252</w:t>
        </w:r>
      </w:hyperlink>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30 D.L.R. (3d) 672</w:t>
        </w:r>
      </w:hyperlink>
      <w:r>
        <w:rPr>
          <w:rFonts w:ascii="arial" w:eastAsia="arial" w:hAnsi="arial" w:cs="arial"/>
          <w:color w:val="000000"/>
          <w:sz w:val="20"/>
          <w:lang w:val="en-US" w:eastAsia="en-US" w:bidi="ar-SA"/>
        </w:rPr>
        <w:t xml:space="preserve"> at 677 (H.C.J.).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standard of care of a competent solicitor was set out in </w:t>
      </w:r>
      <w:r>
        <w:rPr>
          <w:rFonts w:ascii="arial" w:eastAsia="arial" w:hAnsi="arial" w:cs="arial"/>
          <w:i/>
          <w:color w:val="000000"/>
          <w:sz w:val="20"/>
          <w:lang w:val="en-US" w:eastAsia="en-US" w:bidi="ar-SA"/>
        </w:rPr>
        <w:t>Central Trust</w:t>
      </w:r>
      <w:r>
        <w:rPr>
          <w:rFonts w:ascii="arial" w:eastAsia="arial" w:hAnsi="arial" w:cs="arial"/>
          <w:color w:val="000000"/>
          <w:sz w:val="20"/>
          <w:lang w:val="en-US" w:eastAsia="en-US" w:bidi="ar-SA"/>
        </w:rPr>
        <w:t xml:space="preserve"> at para.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solicitor is required to bring reasonable care, skill and knowledge to the performance of the professional service which he has undertaken ... The requisite standard of care has been variously referred to as that of the reasonably competent solicitor, the ordinary competent solicitor and the ordinary prudent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standard of care is not to be judged with the benefit of hindsight, but is to be judged in light of the knowledge that the solicitor possessed, or reasonably ought to have possessed, at the time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w:t>
      </w:r>
      <w:r>
        <w:rPr>
          <w:rFonts w:ascii="arial" w:eastAsia="arial" w:hAnsi="arial" w:cs="arial"/>
          <w:i/>
          <w:color w:val="000000"/>
          <w:sz w:val="20"/>
          <w:lang w:val="en-US" w:eastAsia="en-US" w:bidi="ar-SA"/>
        </w:rPr>
        <w:t>Chaster</w:t>
      </w:r>
      <w:r>
        <w:rPr>
          <w:rFonts w:ascii="arial" w:eastAsia="arial" w:hAnsi="arial" w:cs="arial"/>
          <w:color w:val="000000"/>
          <w:sz w:val="20"/>
          <w:lang w:val="en-US" w:eastAsia="en-US" w:bidi="ar-SA"/>
        </w:rPr>
        <w:t xml:space="preserve"> at para. 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plaintiff says that Ogilvie's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established in two ways: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negotiating, drafting and settling the Agreement which was later found by Mr. Justice Rowan to have been "... something less than a contract ...", Ogilvie was negligent in not exercising the reasonable care, skill, and knowledge a solicitor would bring to drafting of a contract.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failing to warn the plaintiffs that the Agreement might be found legally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say that the standard of care applicable to the defendant in this case is that of a specialist in real estate transactions, and that the standard of care expected of him in this matter included an obligation to be aware of the plaintiff's ultimate goals, which included purchasing the Property on the basis that it could be subdivided into at least 10 one-acre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While the Court in </w:t>
      </w:r>
      <w:r>
        <w:rPr>
          <w:rFonts w:ascii="arial" w:eastAsia="arial" w:hAnsi="arial" w:cs="arial"/>
          <w:i/>
          <w:color w:val="000000"/>
          <w:sz w:val="20"/>
          <w:lang w:val="en-US" w:eastAsia="en-US" w:bidi="ar-SA"/>
        </w:rPr>
        <w:t>Central Trust</w:t>
      </w:r>
      <w:r>
        <w:rPr>
          <w:rFonts w:ascii="arial" w:eastAsia="arial" w:hAnsi="arial" w:cs="arial"/>
          <w:color w:val="000000"/>
          <w:sz w:val="20"/>
          <w:lang w:val="en-US" w:eastAsia="en-US" w:bidi="ar-SA"/>
        </w:rPr>
        <w:t xml:space="preserve"> did note that there may be a distinction between the standard of care required of the reasonably competent general practitioner and that which may be expected of the specialist, the Court did not need to decide whether a specialist standard should be applied. The plaintiffs have not presented me with authority from this jurisdiction where the standard of a reasonably competent specialist has been applied in a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Even if it was open to me to apply a standard other than that of the reasonably competent solicitor, the evidence in this case does not convince me to apply that standard.</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Drafting of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submit that in negotiating, drafting and settling the Agreement, which was later found to be "... something less than a contract ...", the defendant was negligent, and that liability should follow. They submit, largely based on Ogilvie's evidence at trial, that Ogilvie believed he had drafted a valid, binding and enforceable agreement for the plaintiffs with respect to their purchase of the Property, and that the plaintiffs relied on that to their detriment. The defendant says that there is no evidence that Ogilvie was instructed to do anything other than what he in fact did, which was to document the business deal the parties had negotiated based on hard bargaining, and to try to complete the transaction based on the factual position that his clients later found themselves in as a result of their failure to obtain subdivision on the Property. There is no evidence to show that Ogilvie's instructions were to draft an agreement that would ensure a sale on the basis of a PLA. In the absence of evidence that Ogilvie did anything other than what he was instructed to do to effect the deal cut by the clients through hard bargaining with Karran, the plaintiffs cannot succeed in their claim that the defendant negligently drafted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is no written retainer in this case that specifies what the defendant was instructed to do for the plaintiffs. There is a statement of account, rendered by Ogilvie and addressed to Eeckhout, which includes a description of at least some of the services Ogilvie provided in this matter, including acting on behalf of Eeckhout to draft, negotiate, and settle the Agreement and the Addenda thereto. There is no mention of whether Ogilvie undertook the obligation to create a binding contract that would have completed on the basis of obtaining a PLA. Ogilvie's file has been reviewed and there is no documentation to support the plaintiffs'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seeks to rely on the evidence of Ogilvie given at trial before Mr. Justice Rowan to establish that the defendant understood that the deal was to close before the PLA was completed, that he drafted the agreement with this in mind, and that he believed he had created a valid contract to this effect. In the proceedings before Madam Justice Stromberg-Stein in October 2008, the plaintiff obtained an order to admit this evidence under the old Rule 40(4). Similarly, the defendant obtained an order to admit the evidence of Karran from the previous trial. The orders, however, deal only with admissibility and not with weight. Obviously, the testimony of a person as a witness in an action may have a different complexion to it than that of a defendant accused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say this recognizing that such an action had be initiated against Ogilvie by the time the matter was before Mr. Justice Rowan.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difficulty with Ogilvie's evidence is that he had suffered a serious hemorrhagic stroke in or about August 1995, from which he said he sustained serious and continuing brain damage. He had little memory of the events that were the subject of the trial. He stated in direct 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essentially, I have very little memory of most things that occurred prior to my stroke.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situation I would describe it is as though my memory has been broken. If I apply sufficient concentration, I can bring things back into focus, you know, but if -- essentially, my doctor tells me - I don't know it personally but I'm advised by doctor - it's something like 60 or 70 percent of the area of my brain has been damaged. Okay? And the effect is that I am not capable of carrying out normal reactions to most situations. My reactions are slow and uncertain ... When I look about this room, my field of vision is not as I remember it being previously in that I am focused only on one very small area and when I move about, I have to re-focus my attention on that particular area. So I have a very definite deficit of consciousness persistently.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Later, the transcript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with respect to the transaction that we're in court about, how would you say your memory about the event from the outset to -- and all events subsequent?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I focus my mind on a particular area, I can recall it fairly well.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that's my opinion.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Apart from these indications of unreliability, the balance of Ogilvie's evidence at trial contains other indicators of unreliability. For example, on cross-examination as to credibility, Ogilvie inexplicably denied that he was disbarred by the Law Society for fraudulent accounting matters dating before the stroke to 1993 and 1994. One would expect that a competent witness would be able to recall such a major event. Later in the transcript, when asked by the court about some of the more difficult clauses in the agreement, Ogilvie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Well, unfortunately, My Lord, I'm only interpreting it as I read it, okay, and like I really am not thinking of it in relation to the transaction as a whole.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Like I must say, as I sit here, these are matters that are coming into my consciousness for the first time, okay? These are not things that I have really thought out or really have any experience that I still recall. So if I was to sit down and take a day, I could probably come up with an explanation of it, but in my present state of mind, I really don't know. Like I don't really understand it as it stands at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That Mr. Justice Rowan did not find Ogilvie's evidence to be reliable is implicit from para. 11 of his Reasons, where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Charles Ogilvie, the lawyer who had acted for the plaintiffs in 1992 and 1993, gave evidence at trial. Since the transaction Mr. Ogilvie has had a stroke and has withdrawn from the practice of law. He explained the simpler clauses but could not explain some of the more complex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should not go unmentioned that the trial before Mr. Justice Rowan occurred almost seven years after the subject transaction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Michael Lawrence, Ogilvie's treating physician from April 1998 until his death on August 6, 2005, recorded in his clinical notes that Ogilvie reported to him that since his stroke his mental capacity was "seriously retarded", and that he could "think straight, but cannot think about more than one thing at a time" and that "he gets confused very fast, and flustered". However, in Dr. Lawrence's affidavit sworn in 2006, he deposed that Ogilvie had a high mental capacity before the stroke and that up until the time that Ogilvie's health seriously deteriorated in early 2005, he maintained his ability to think straight, instruct the physician with respect to problems he was experiencing, and comprehend the advice and counselling he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apparent that Ogilvie had, at the very least, serious memory and cognitive issues at the time of trial. I would note that there was some degree of leading in Ogilvie's direct examination as well. While I would not discount his evidence entirely, I would, as it appears Mr. Justice Rowan did, place limited weight on his evidence as to his understanding of the transaction. Mr. Justice Rowan had the benefit of observing Ogilvie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extracts from Lau's examination for discovery, conducted on January 23, 2007, do not establish that Eeckhout or Lau instructed Ogilvie to draft an agreement that would allow for completion of the agreement prior to actual subdivision. During the negotiations between Ogilvie and Begin, which involved the exchange of several drafts between the two solicitors, Ogilvie would send draft contracts to Lau and Eeckhout for their approval and discussed the various provisions of the Agreement with them before the Agreement was signed. Lau confirmed that she reviewed the document carefully before she signed it. She also stated that she did not have any difficulty discussing things with Ogilvie. She stated that Ogilvie was very bright and agreed that he did a really good job for her. All this is important when one considers that Lau confirms that she found clause 7 of the Agreement to be acceptable to her when she signed the Agreement and that she understood clause 7 of the Agreement to mean that final subdivision approval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evidence is inconsistent with the plaintiffs' theory that they instructed Ogilvie to draft an Agreement that required only a PLA before closing. Had Lau not found the Agreement to be acceptable or found clause 7 to be contrary to her instructions, she had every opportunity to clarify this with Ogilvie before signing. There is nothing on the evidence that suggests she did so. Nor does the evidence suggest that she instructed Ogilvie to do anything other than what he did on her behalf. She also confirmed that she had authorized Eeckhout to give Ogilvie instructions on her behalf. As earlier noted, Ms. Lau was experienced in buying and selling real estate for development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also apparent that Begin, the lawyer for Karran, was the author of many changes to the Agreement, not Ogilvie. It appears that the price adjustment provisions in the Agreement were all drafted by Begin. Karran's evidence at the trial before Mr. Justice Rowan makes it clear that subdivision was essential before the sale of the property closed. I note that Begin's evidence to this point in this proceeding was not challenged. His affidavit makes this point clearly, beginning at para. 6:</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Karran was very involved and personally active in the negotiations with Mr. Eeckhout. Mr. Karran and Mr. Eeckhout negotiated the Agreement privately and Mr. Eeckhout brought it to Mr. Ogilvie to be reduced to writing. Thereafter it was sent to me for review with Mr. Karran and it went through further negotiation and revision. Mr. Karran instructed me that he was adamant that the subdivision contemplated by Addendum "B" be unequivocally advanced to a state of final certainty in the number and zoning of lots in the proposed subdivision, so that the financial outcomes that he bargained for, and as set forth in Addendum "B", would flow to him. Certainly he said he would not proceed to the completion without this.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Mr Karran's position, the final version of Addendum "B", which Mr. Karran was satisfied properly reflected the business agreement between him and Mr. Eeckhout, provided at para. 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parties mutually agree that this Agreement is subject to the Purchaser receiving approval for a maximum 15 lot and minimum 10 lot sub-division on or before July 31, 1992. In the event the approval of the said village is for a subdivision of less than 10 lots either party may terminate this Agreement.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subject is for the benefit of both parties and the Vendor shall not be obligated to sell nor the Purchaser to purchase if the approved subdivision is less then 10 lots.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Karran told me on numerous times, and his instructions always were, that he was only willing to sell the Property if subdivision arrangements satisfactory to him were part of the deal. He told me that any plan that did not tie down with certainty the actual subdivision that would occur, including the number and size of lots for future purchase, and the nature of the type of dwelling to be constructed on each sub-divided lot, being single family or duplex, was simply not acceptable to him.</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understood from Mr. Karran that subdivision certainty was required by him as a matter of business in order to ascertain the purchase price, which in turn was based on the variable formula he negotiated with Mr. Eeckhout and as contained in clause 1 of Addendum "B". I understood Mr. Karran intended this formula to compensate him based on the number and type of lots that were to be actually obtained from the subdivision of the Property.</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instructions that I received from Mr. Karran and what he had told me, I verily believe that he would not have accepted any agreement that did not include certainty from the municipal authorities as to actual subdivision that would be permitted.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nothing that I can recall that leads me to believe that any change or relaxation of the subdivision requirements bargained for by Mr. Karran and enshrined in the Agreement would have been available had Mr Ogilvie done anything different than what he in fact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Karran was universally described as driving a hard bargain and there is no evidence to show that he would have agreed to sell without final subdivision approval. A PLA was not acceptable to Karran. Given their experience with Karran, who Lau described as difficult, there is no indication that Eeckhout or Lau believed that they could have closed the transaction without first receiving final subdivision approval. Further, as noted earlier, it was Begin it seems who drafted the price adjustment mechanism in the agreement. Again, given the description of the approach of Karran and Begin relative to the purchasers, it appears from a business perspective the drafting by Begin was accepted by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points to several letters sent from Ogilvie to Begin in late June and early July 1993, which she says establish that the defendant understood the Agreement to be a valid contract that required only PLA. The letters were delivered shortly after the Village of Anmore granted PLA. They state, in part, "this is to confirm our client's intention to complete the above transaction by July 2nd on the basis of the conditionally approved subdivision plan", "[t]he transaction is being completed on the basis of the 13 Lot Subdivision provisionally approved", and, in a letter stating that it was issued on a "without prejudice" basis, "on reviewing the Agreement it is clear to me that completion was to proceed upon the basis of a '</w:t>
      </w:r>
      <w:r>
        <w:rPr>
          <w:rFonts w:ascii="arial" w:eastAsia="arial" w:hAnsi="arial" w:cs="arial"/>
          <w:b/>
          <w:color w:val="000000"/>
          <w:sz w:val="20"/>
          <w:u w:val="single"/>
          <w:lang w:val="en-US" w:eastAsia="en-US" w:bidi="ar-SA"/>
        </w:rPr>
        <w:t>conditional</w:t>
      </w:r>
      <w:r>
        <w:rPr>
          <w:rFonts w:ascii="arial" w:eastAsia="arial" w:hAnsi="arial" w:cs="arial"/>
          <w:color w:val="000000"/>
          <w:sz w:val="20"/>
          <w:lang w:val="en-US" w:eastAsia="en-US" w:bidi="ar-SA"/>
        </w:rPr>
        <w:t xml:space="preserve"> subdivision survey plan'" [emphasis in original]. There is no indication that either the plaintiff or the defendant believed that the PLA would be sufficient to close the transaction at any time before the letter from the village of Anmore granting the PLA was received. It was only then, well after the Agreement had been drafted, that the plaintiff's theory that only a PLA was required began to develop.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Quite apart from the evidence of the defendant's belief as to whether actual subdivision was required before closing, I interpret the letters as Ogilvie doing his best to assert Eeckhout and Lau's late-found position that subdivision was not required pre-closing so as to cajole Karran into completing. It is through no fault of Ogilvie that Karran was adamant and would not complete without subdivision approval. Ogilvie's late-found statements that he now believed that the Agreement could close on PLA is contrary to the overwhelming evidence otherwise, and I interpret them as mere puffery and as part of a strategy to entice Karran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 better view of the circumstances, as they existed around the time the deal failed to complete, is that Eeckhout and Lau agreed to the terms of the Agreement because it was the best that could be obtained in light of their belief that Karran was difficult and wanted to maximize his financial return with certainty. I note that it appears that it was Eeckhout who did the negotiating with Karran. The plaintiffs knew very well that Karran would not complete without subdivision, and when they obtained only the conditional PLA from the Village of Anmore, they desperately tried to close on a deal that had already been extended several times. Lau admitted that she was not prepared to spend the money to have the subdivision work completed by July 2, 1993. The purchasers could have, but did not, take the steps to obtain the requisite subdivision approval so as to allow determination of the purchase price, and, thereafter, completion of the purchase. That they did not do so was a risk of the business arrangement they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also relies upon on an expert opinion of Mr. Anthony Knight, a Vancouver real-estate lawyer, for the purpose of establishing that the Agreement could have been drafted in a manner that would have made it an enforceable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Knight says that an enforceable contract could have been drafted and provided with his report an agreement, based on his assumptions of the business transaction reached, that he says is enforceable. The defendant submits that his report reflects a legal conclusion and as such is inadmissible. The defendant also says the report is not admissible as it is disguised advocacy. The defendant says this flows from the instructions given to Mr. Knight by plaintiff's counsel at the outset of the retainer; instead of seeking Mr. Knight's views on the subject, the plaintiffs sought "an opinion that the deal that the parties thought they had struck could have been documented in a binding and enforceable agreement by a reasonably competent solicitor." To reinforce the point, the defendant refers to the exchanges between plaintiff's counsel and Mr. Knight in which counsel gives Mr. Knight various points for insertion into the content of the work produced by Mr. Knight.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also submits that Mr. Knight's report should not be admitted as it does not appear that certain of the assumptions he made were not from counsel for the plaintiffs, nor were they gleaned from the reason for judgment of Mr. Justice Rowan; and further that in a number of respects the assumptions are inconsistent with the judgment of Mr. Justice Rowan, such as assuming that the sub-division condition should have been triggered by PLA.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a final point, the defendant identifies an unusual fee arrangement agreed to between the plaintiffs, through counsel, and Mr. Knight that brings into question the impartiality and independence requirement for an expert and as a result taints Mr. Knight's evidence sufficiently to render it inadmissible. Mr. Knight's file identifies that he billed the plaintiffs $7,391.94 for providing his opinion in this matter. On August 4, 2009, the plaintiff made a partial payment of $3,701.94 to Mr. Knight, and stated that "[i]f I receive the judgement [sic] in favour of my side, I will pay you the account balance showing on the bill". In a reply letter of August 10, 2009, Mr. Knight refused this arrangement, stating "[a]s there was no arrangement for contingency payment of our account, we will expect payment of the remainder of our account ..." Mr. Argue then wrote to Mr. Knight on August 18, 2009, proposing: "are you interested at all in risking the balance on a double or nothing basis based on the outcome of the matter?" Mr. Knight responded almost immediately, stating, "sure double or nothing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appears from these communications that Mr. Knight, after having already completed the report, agreed to a "double or nothing" contingency fee agreement wherein he would be paid double his outstanding fees should the plaintiffs succeed. This was not disclosed in this report. Had this agreement been struck upon the commissioning of the report, I would not hesitate to brand such conduct as odious and falling well short of the expert's duty of impartiality to the court. Had I been convinced that Mr. Knight gave serious thought to this arrangement before issuing his report, I would certainly have excluded his report on that basis alone. I am not, however, convinced that either Mr. Knight in accepting the arrangement or Mr. Argue in proposing the arrangement considered the gravity of his respective actions in this case, I therefore decline to make a finding of inadmissibility on this basis. Suffice it to say that, where established, the practice of "double-or-nothing" contingency fee arrangements in the preparation of expert reports severely taints the impartiality of an expert witness and is unlikely to result in the admission of such reports into evidence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While there are persuasive arguments to exclude the evidence of Mr. Knight, I am not of the view that it should be. Rather, I conclude that the evidence should be accorded little to no weight. Mr. Knight's assumption that PLA was sufficient to satisfy the condition precedent to the transaction is irreconcilable with the finding by Mr. Justice Rowan and the clear reading of article 7 of the agreement. I am also concerned by the involvement of plaintiff's counsel in the crafting of the opinion and the underlying sample contract. Moreover, the opinion that an enforceable contract could have been drafted is not particularly helpful as virtually any written transaction that falls short of being an enforceable contract can be transformed into an enforceable contract with redrafting. Neither is it helpful given that the drafting of the contract was entirely from the perspective of the purchaser. Based on the evidence, it is apparent that there is little basis to accept that the purchaser's perspective of drafting would have been acceptable to Karran or his solicitor. Mr. Knight agreed at trial that the interests of vendor and purchaser are not necessarily co-extensive. The evidence is that the negotiations were hard. I also note the considerable thought and deliberation on the part of Mr. Knight, a real estate specialist, and the suggestions from Mr. Argue to finalize an agreement which were needed to draft an agreement just from the perspective of a purchaser. All of which suggests to me that the level of skill for the exercise engaged in by Mr. Knight was not of a reasonably competent solicitor but a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circumstances, I find that the parties had negotiated and agreed that the Agreement was subject to subdivision of the property for a maximum of 15 lots and a minimum of 10 lots. Ogilvie's evidence in the trial of the original action has reliability concerns (particularly when one reviews clause 7) which militate against the case of the plaintiffs sufficient to find, in all the circumstances, that the evidential burden has not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While the nature of the solicitor's obligation is to take reasonable care and skill in the management of the business entrusted to him, he is not an insurer of his client's commercial success: </w:t>
      </w:r>
      <w:r>
        <w:rPr>
          <w:rFonts w:ascii="arial" w:eastAsia="arial" w:hAnsi="arial" w:cs="arial"/>
          <w:i/>
          <w:color w:val="000000"/>
          <w:sz w:val="20"/>
          <w:lang w:val="en-US" w:eastAsia="en-US" w:bidi="ar-SA"/>
        </w:rPr>
        <w:t>Midland Mortgage Corp. v. Jawl &amp; Bundon</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1999 BCCA 183</w:t>
        </w:r>
      </w:hyperlink>
      <w:r>
        <w:rPr>
          <w:rFonts w:ascii="arial" w:eastAsia="arial" w:hAnsi="arial" w:cs="arial"/>
          <w:color w:val="000000"/>
          <w:sz w:val="20"/>
          <w:lang w:val="en-US" w:eastAsia="en-US" w:bidi="ar-SA"/>
        </w:rPr>
        <w:t xml:space="preserve"> at para. 13. Ogilvie could not have ensured that the deal would go through. That was dependent on obtaining subdivision approval, something upon which Karran insisted. In other words, Karran insisted that subdivision be a condition precedent to the Agreement. That the defendant was not able to obtain a concession from Karran to this effect is not negligent. I find the following principles from </w:t>
      </w:r>
      <w:r>
        <w:rPr>
          <w:rFonts w:ascii="arial" w:eastAsia="arial" w:hAnsi="arial" w:cs="arial"/>
          <w:i/>
          <w:color w:val="000000"/>
          <w:sz w:val="20"/>
          <w:lang w:val="en-US" w:eastAsia="en-US" w:bidi="ar-SA"/>
        </w:rPr>
        <w:t>Sports Pool Distributors Inc. v. Dangerfield</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2009 BCCA 483</w:t>
        </w:r>
      </w:hyperlink>
      <w:r>
        <w:rPr>
          <w:rFonts w:ascii="arial" w:eastAsia="arial" w:hAnsi="arial" w:cs="arial"/>
          <w:color w:val="000000"/>
          <w:sz w:val="20"/>
          <w:lang w:val="en-US" w:eastAsia="en-US" w:bidi="ar-SA"/>
        </w:rPr>
        <w:t>, to be applicable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 solicitor who accepts instructions to negotiate an agreement, even where, as here, he is expressly instructed to maximize his client's protection, cannot give any assurance the terms he will be able to obtain will necessarily achieve the level of protection the client wishes to have. As Mr. Murdoch observed in his testimony, negotiations are by their nature always a matter of give and take. A solicitor can only attempt through his negotiating skill to minimize his client's risk. But the extent to which he can do so will invariably depend on the terms he is able to obtain. Some solicitors are, of course, better negotiators than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 do not consider a solicitor can be held to have been negligent in the conduct of negotiations because he did not obtain a term that, at a later time, is said may have been available. It is not necessary to consider what the solicitor's position would have been here if the term had been available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Ogilvie cannot be taken to have insured against his client's failure to obtain what was required under the Agreement, which his client understood and assented to. I find that Ogilvie was not negligent in drafting the contract pursuant to his client's instructions. There is no evidence that he was not skilful or careful, that he did not carry out his client's instructions, or that he did not properly consult with his client. Again, I note that Lau stated that Ogilvie had done a good job for her. After continuing negotiations between the purchasers and vendors, Ogilvie drafted the Agreement with a condition precedent which was insisted upon by Karran, and the plaintiffs knew this. There is no evidence to show that Ogilvie did not exercise the reasonable care, skill, and knowledge that a solicitor would bring to drafting an agreement of that kind.</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her written argument, the plaintiff submits that if the defendant believed that the Agreement as settled might be considered too vague as to either the description of the Property or the prices to be paid so as to render it non-binding and/or unenforceable, he had a duty to warn the plaintiffs of the risks involved in their reliance upon the Agreement and to explain the nature and effect of any unusual provisions in the Agreement which may have affected his clients' position. The plaintiff appears to have abandoned this argument at the hearing. Nevertheless, I will briefly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 solicitor has a duty to warn a client of any risk involved in any course of action contemplated by the client or by the solicitor, and to exercise reasonable care and skill in advising the client: </w:t>
      </w:r>
      <w:r>
        <w:rPr>
          <w:rFonts w:ascii="arial" w:eastAsia="arial" w:hAnsi="arial" w:cs="arial"/>
          <w:i/>
          <w:color w:val="000000"/>
          <w:sz w:val="20"/>
          <w:lang w:val="en-US" w:eastAsia="en-US" w:bidi="ar-SA"/>
        </w:rPr>
        <w:t>Zink</w:t>
      </w:r>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De Cotiis v. McLellan</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2009 BCCA 596</w:t>
        </w:r>
      </w:hyperlink>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Graybriar Industries Ltd. v. Davis &amp; Co.</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(1990), 46 B.C.L.R. (2d) 164</w:t>
        </w:r>
      </w:hyperlink>
      <w:r>
        <w:rPr>
          <w:rFonts w:ascii="arial" w:eastAsia="arial" w:hAnsi="arial" w:cs="arial"/>
          <w:color w:val="000000"/>
          <w:sz w:val="20"/>
          <w:lang w:val="en-US" w:eastAsia="en-US" w:bidi="ar-SA"/>
        </w:rPr>
        <w:t xml:space="preserve"> (S.C.), aff'd </w:t>
      </w:r>
      <w:hyperlink r:id="rId246" w:history="1">
        <w:r>
          <w:rPr>
            <w:rFonts w:ascii="arial" w:eastAsia="arial" w:hAnsi="arial" w:cs="arial"/>
            <w:i/>
            <w:color w:val="0077CC"/>
            <w:sz w:val="20"/>
            <w:u w:val="single"/>
            <w:shd w:val="clear" w:color="auto" w:fill="FFFFFF"/>
            <w:lang w:val="en-US" w:eastAsia="en-US" w:bidi="ar-SA"/>
          </w:rPr>
          <w:t>(1992) 72 B.C.L.R. (2d) 190</w:t>
        </w:r>
      </w:hyperlink>
      <w:r>
        <w:rPr>
          <w:rFonts w:ascii="arial" w:eastAsia="arial" w:hAnsi="arial" w:cs="arial"/>
          <w:color w:val="000000"/>
          <w:sz w:val="20"/>
          <w:lang w:val="en-US" w:eastAsia="en-US" w:bidi="ar-SA"/>
        </w:rPr>
        <w:t xml:space="preserve"> (C.A.). Where, however, that risk has been disclosed to the client and the client instructs the solicitor to proceed with knowledge of the risk, that duty is fulfilled. In </w:t>
      </w:r>
      <w:r>
        <w:rPr>
          <w:rFonts w:ascii="arial" w:eastAsia="arial" w:hAnsi="arial" w:cs="arial"/>
          <w:i/>
          <w:color w:val="000000"/>
          <w:sz w:val="20"/>
          <w:lang w:val="en-US" w:eastAsia="en-US" w:bidi="ar-SA"/>
        </w:rPr>
        <w:t>Zink</w:t>
      </w:r>
      <w:r>
        <w:rPr>
          <w:rFonts w:ascii="arial" w:eastAsia="arial" w:hAnsi="arial" w:cs="arial"/>
          <w:color w:val="000000"/>
          <w:sz w:val="20"/>
          <w:lang w:val="en-US" w:eastAsia="en-US" w:bidi="ar-SA"/>
        </w:rPr>
        <w:t>, it was negligent for the solicitor not to disclose to the client the risk that a part of the contract the lawyer drafted might not be enforceable. The situation here is different. As discussed above, it is clear that the plaintiffs knew that Karran would require subdivision before closing. Lau was aware of the effect of the provisions in the Agreement which ultimately led to the deal's failure to close. There is no evidence that Ogilvie withheld anything from the plaintiffs. I cannot accede to this line of reasoning in the plaintiffs' argument.</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To succeed in this case, the plaintiff must not only show that the defendant breached the standard of care owed to the plaintiff, but also that the plaintiff suffered some loss as a result of the defendant's conduct. In </w:t>
      </w:r>
      <w:r>
        <w:rPr>
          <w:rFonts w:ascii="arial" w:eastAsia="arial" w:hAnsi="arial" w:cs="arial"/>
          <w:i/>
          <w:color w:val="000000"/>
          <w:sz w:val="20"/>
          <w:lang w:val="en-US" w:eastAsia="en-US" w:bidi="ar-SA"/>
        </w:rPr>
        <w:t>Graybriar</w:t>
      </w:r>
      <w:r>
        <w:rPr>
          <w:rFonts w:ascii="arial" w:eastAsia="arial" w:hAnsi="arial" w:cs="arial"/>
          <w:color w:val="000000"/>
          <w:sz w:val="20"/>
          <w:lang w:val="en-US" w:eastAsia="en-US" w:bidi="ar-SA"/>
        </w:rPr>
        <w:t>, Thackray J stated at 181: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 who proves duty, breach of the standard of care and damage will still be unsuccessful in the action unless it is proved that there is a causal link between the breach of the standard of care and the damage. The causal link is tested in two ways, the defendant's conduct must be both the actual cause, or cause in fact and the legal cause or proximate cause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have already decided that the defendant met the standard of care required of him in this case. As such, it is unnecessary to consider causation; but for the sake of completeness, I will consider it here. My conclusions on this point, in any event, largely flow from the factual findings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underlying action, Rowan J. found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agreement was a contract, contrary to my findings that it was not, it was subject to the prior condition that the 15.7 acre parcel be subdivided. Only when the property was subdivided could the price or prices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submits that it is open to this Court to revisit the issue as to whether the Agreement required the Property to be actually subdivided as a condition precedent to completion. Lau submits that this was a collateral finding, and that this finding can be displaced without disturbing the finding that the Agreement was not a contract. Lau submits that the doctrine of issue estoppel does not apply here, and even if it does, I should exercise my residual discretion to refuse to apply issue estoppel when to do so would cause an injustice. The defendant submits that given a proper reading of the Agreement within the factual matrix of this case, there is no room for the plaintiff to reargue her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agree with the plaintiff that issue estoppel does not apply in this case. The requirements for issue estoppel are well established. For issue estoppel to apply, three preconditions must be met: (1) the issue must be the same as the one decided in the prior decision; (2) the prior judicial decision must have been final; and (3) the parties to both proceedings must be the same, or their privies: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at para. 25. The parties to this proceeding are not the same as in the proceeding before Mr. Justice Rowan. The final requirement of mutuality of parties has not been met. It is clear that Karran and Ogilvie were not privies; indeed, they were far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However, my finding on issue estoppel does not mean that the plaintiffs can prevail on the causation issue here. Assuming without deciding that I could revisit facts found by Mr. Justice Rowan, relitigation of this issue before me would not yield a better result for the plaintiffs. To be clear, if it was open to me to revisit Mr. Justice Rowan's finding, I would come to the same conclusion (that he did) that sale was conditional on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Agreement is described above. For ease of reference, paragraph 7 of Addendum "B" is set out here again: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mutually agree that this Agreement is subject to the Purchaser receiving approval from the Village of Anmore for a maximum 15 lot and minimum 10 lot sub-division on or before July 31, 1992. In the event the approval of the said village is for a sub-division of less than 10 lots either party may terminate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subject is for the benefit of both parties and the Vendor shall not be obligated to sell nor the Purchaser to purchase if the approved sub-division is less than 10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 says that there is nothing in this clause to suggest that subdivision was a condition precedent to completion. I do not agree. Paragraph 7 is unambiguous. It is clear from a plain reading of clause 7 that "approval", not conditional approval, PLA, or anything less, was required for completion. The plaintiff also says that neither Begin nor Ogilvie intended subdivision to be necessary. However, for the purposes of contractual interpretation, it does not matter what the plaintiff says the parties' subjective intentions were upon entry into the contract: </w:t>
      </w:r>
      <w:r>
        <w:rPr>
          <w:rFonts w:ascii="arial" w:eastAsia="arial" w:hAnsi="arial" w:cs="arial"/>
          <w:i/>
          <w:color w:val="000000"/>
          <w:sz w:val="20"/>
          <w:lang w:val="en-US" w:eastAsia="en-US" w:bidi="ar-SA"/>
        </w:rPr>
        <w:t>Delisle v. Bulman Group Ltd.</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(1991), 54 B.C.L.R. (2d) 343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De Cotiis v. Viam Holdings Ltd.</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2009 BCSC 692</w:t>
        </w:r>
      </w:hyperlink>
      <w:r>
        <w:rPr>
          <w:rFonts w:ascii="arial" w:eastAsia="arial" w:hAnsi="arial" w:cs="arial"/>
          <w:color w:val="000000"/>
          <w:sz w:val="20"/>
          <w:lang w:val="en-US" w:eastAsia="en-US" w:bidi="ar-SA"/>
        </w:rPr>
        <w:t xml:space="preserve"> at para. 32. I find that subdivision was a condition precedent to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Subdivision was not achieved by the scheduled date for closing. The plaintiffs have not asserted that it was Ogilvie who was responsible for subdivision. There is no evidence to show that failure to obtain subdivision was through any fault of Ogilvie. On the contrary, as discussed above, the plaintiffs made a deliberate choice not to spend the money necessary to complete the subdivision work outlined in the May 20, 1993 letter from the Village of Anmore. It was the plaintiffs who made this choice, not the defendant. Therefore, even if Ogilvie had failed to meet the standard of care in drafting the Agreement, the plaintiffs cannot succeed in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they have not shown that they suffered some loss as a result of the defendant's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claim against Ogilvie is dismissed. The defendant is entitled to costs of this action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5"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Lim v. Kanyon Ridge Traffic Control Ltd., [2014] B.C.J. No. 865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Golden,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T.J. 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4494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Golden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865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770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Karen Louise Lim, Appellant, and Kanyon Ridge Traffic Control Ltd.,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6"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7" w:name="Keywords_8"/>
      <w:bookmarkEnd w:id="147"/>
      <w:r>
        <w:rPr>
          <w:rFonts w:ascii="arial" w:eastAsia="arial" w:hAnsi="arial" w:cs="arial"/>
          <w:b/>
          <w:color w:val="000000"/>
          <w:sz w:val="20"/>
          <w:lang w:val="en-US" w:eastAsia="en-US" w:bidi="ar-SA"/>
        </w:rPr>
        <w:t>Civil litigation — Civil procedure — Appeals — Grounds for review — Appeal by defendant bookkeeper from trial court decision that she was negligent dismissed — Plaintiff alleged that defendant filed plaintiff's year-end statements and tax returns late, causing penalties and interest — Defendant merely re-argued that plaintiff did not prove actual damage or causation — Defendant did not explicitly state what trial judge's errors were and did not provide authority for assertion that bill from Canada Revenue Agency did not qualify as proof of damage or that plaintiff's financial status affected duty to file on time.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Evidence and proof — Appeal by defendant bookkeeper from trial court decision that she was negligent dismissed — Plaintiff alleged that defendant filed plaintiff's year-end statements and tax returns late, causing penalties and interest — Defendant merely re-argued that plaintiff did not prove actual damage or causation — Defendant did not explicitly state what trial judge's errors were and did not provide authority for assertion that bill from Canada Revenue Agency did not qualify as proof of damage or that plaintiff's financial status affected duty to file on time.</w:t>
      </w:r>
    </w:p>
    <w:p>
      <w:pPr>
        <w:jc w:val="both"/>
        <w:rPr>
          <w:rFonts w:ascii="arial" w:eastAsia="arial" w:hAnsi="arial" w:cs="arial"/>
          <w:sz w:val="20"/>
          <w:lang w:val="en-US" w:eastAsia="en-US" w:bidi="ar-SA"/>
        </w:rPr>
      </w:pPr>
      <w:bookmarkStart w:id="148" w:name="Legislation Cited_9"/>
      <w:bookmarkEnd w:id="1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7"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Rule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Small Claims Court Act, </w:t>
      </w:r>
      <w:hyperlink r:id="rId257" w:history="1">
        <w:r>
          <w:rPr>
            <w:rFonts w:ascii="arial" w:eastAsia="arial" w:hAnsi="arial" w:cs="arial"/>
            <w:i/>
            <w:color w:val="0077CC"/>
            <w:sz w:val="20"/>
            <w:u w:val="single"/>
            <w:shd w:val="clear" w:color="auto" w:fill="FFFFFF"/>
            <w:lang w:val="en-US" w:eastAsia="en-US" w:bidi="ar-SA"/>
          </w:rPr>
          <w:t>RSBC 1996, CHAPTER 430, s. 12</w:t>
        </w:r>
      </w:hyperlink>
      <w:r>
        <w:rPr>
          <w:rFonts w:ascii="arial" w:eastAsia="arial" w:hAnsi="arial" w:cs="arial"/>
          <w:color w:val="000000"/>
          <w:sz w:val="20"/>
          <w:lang w:val="en-US" w:eastAsia="en-US" w:bidi="ar-SA"/>
        </w:rPr>
        <w:t>, s. 12(b), s. 13</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bookmarkStart w:id="149" w:name="Case Summary_8"/>
            <w:bookmarkEnd w:id="149"/>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appeal from an order of the Provincial Court of British Columbia, dated December 4, 2013 (</w:t>
            </w:r>
            <w:r>
              <w:rPr>
                <w:rFonts w:ascii="arial" w:eastAsia="arial" w:hAnsi="arial" w:cs="arial"/>
                <w:i/>
                <w:color w:val="000000"/>
                <w:sz w:val="20"/>
                <w:lang w:val="en-US" w:eastAsia="en-US" w:bidi="ar-SA"/>
              </w:rPr>
              <w:t>Kanyon Ridge Traffic Control Ltd. v. Karen Louise Lim</w:t>
            </w:r>
            <w:r>
              <w:rPr>
                <w:rFonts w:ascii="arial" w:eastAsia="arial" w:hAnsi="arial" w:cs="arial"/>
                <w:color w:val="000000"/>
                <w:sz w:val="20"/>
                <w:lang w:val="en-US" w:eastAsia="en-US" w:bidi="ar-SA"/>
              </w:rPr>
              <w:t xml:space="preserve">, Docket 4325).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0" w:name="Counsel_9"/>
      <w:bookmarkEnd w:id="1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8"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R. Lundberg.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M. Melnychuk.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1" w:name="Judgment_9"/>
      <w:bookmarkEnd w:id="151"/>
      <w:r>
        <w:pict>
          <v:line id="_x0000_s1079"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2" w:name="T.J. MELNICK J."/>
            <w:bookmarkEnd w:id="152"/>
            <w:r>
              <w:rPr>
                <w:rFonts w:ascii="arial" w:eastAsia="arial" w:hAnsi="arial" w:cs="arial"/>
                <w:b/>
                <w:color w:val="000000"/>
                <w:sz w:val="30"/>
                <w:lang w:val="en-US" w:eastAsia="en-US" w:bidi="ar-SA"/>
              </w:rPr>
              <w:t>T.J. 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from the decision of a small claims court judge. For the reasons that follow I would not disturb the findings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respondent/plaintiff corporation, Kanyon Ridge Traffic Control Ltd. ("KRTC"), brought a claim for damages against the appellant/defendant, Karen Louise Lim ("Ms. Lim"), in the sum of $25,000. KRTC alleged that Ms. Lim failed in the performance of her bookkeeping duties, and as a result caused loss to KRTC in the form of tax filing penalties and interest, lost income and expenses to correct deficient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notice of claim did not list the cause of action, which is consistent with the rules in small claims matters. However, at the beginning of the trial the judge asked counsel for KRTC whether the case turned on an issue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Lim, and counsel responded that it did. No objection or other framing of the issue was provided by either counsel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Lim offers bookkeeping services in Golden. On September 22, 2006, Ms. Lim was hired by KRTC, as an independent contractor, to take over the bookkeeping services for the company. Ms. Lim was responsible for delivering the company's year-end statement to their accountant, Kevin Cox ("Mr. Cox"), who would then prepare the corporate income tax return based on that statement. The income tax returns were due on June 30th for the preceding year; e.g. the 2007 income tax return was due by June 30,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trial judge accepted the testimony of Mr. Cox that he received all of the year-end statements late from Ms. Lim for the years 2006 - 2009, inclusive. In particular, the trial judge found that Ms. Lim did not get the 2006 year-end statement to Mr. Cox before January 1, 2009. None of this is disputed. This resulted in a large penalty from the Canada Revenue Agency ("CRA"), as well as interest on that penalty. KRTC submitted the assessment from CRA as evidence of this penalty, as well as a statement of interest from CRA with regards to that penalty.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Lim also failed to file GST and HST returns on time prior to her dismissal on April 12, 2010. The trial judge found that KRTC had cash flow problems during the periods in question, but that those problems only explained the failure to pay the penalties, not the failure to file the returns on time. Again, KRTC filed an assessment from the CRA as evidence of the penalty and interest resulting from the late filing.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result, the judge found Ms. Lim negligent with regards to the late filing of the 2006 year-end statement, as well as the failure to file the GST and HST returns on time. He awarded KRTC the full amount of the penalty for failure to file the 2006 tax return, $3,050.82, half of the interest arrears from that penalty, $1,641.68, and penalties and interest from the late quarterly filing of the GST/HST up to September 30, 2009, $196.85. This made for a total award of $4,889.35, to which was added $210 for filing and service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APPELLANT'S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his submissions on behalf of Ms. Lim, her counsel did not address the standard of review or legislation regarding an appeal of a decision of the Provincial Court. Ms. Lim further does not clarify whether the issue on appeal is one of an error of law, fact or mixed fact or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Ms. Lim begins by laying out the legal basis for the proposition that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proof of actual damages, and that this damage was caused by her. However, there is no actual claim that the trial judge made an error of law with regards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majority of the submission by Ms. Lim is simply a re-argument of the case at trial that KRTC failed to provide sufficient evidence that it incurred actual damage or that this damage was caused by Ms. Lim. The only explicit statement that the trial judge erred is at para. 12 of Ms. Lim's submission where it is alleged that the court's finding that Ms. Lim was responsible for the interest on the late filing penalty for the GST returns is incorrect. The basis for this claim seems to be that the funds were not available from the company to pay the GST, which was not the fault of Ms. Lim.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Based on these submissions it appears that Ms. Lim is claiming that the trial judge erred in fact or perhaps mixed fact and law, in finding that the evidence tendered established that the actions of Ms. Lim caused actual damage to KRTC. There is no dispute that Ms. Lim had a duty of care, and that she breached that duty by not performing to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RESPONDENT'S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KRTC concedes that its claim was framed in breach of contract and resulting damages, but that the cause of action was made out in either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It is submitted that no error of fact or law was made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KRTC argues that proof of penalties incurred by it was submitted, and never disputed by Ms. Lim, and that proof of payment is irrelevant to the fact that the penalties were in fact incurred. It argues that Ms. Lim did not submit any authority that states that proof of payment is required for proof of damages. It is to be noted, however, that KRTC did not submit any case law showing that proof of incurred debt qualifies as proof of damages either. The trial judge, and this Court, were left very much on their own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KRTC further submits that no evidence was tendered by Ms. Lim that showed that a company must first have sufficient funds in an account before a bookkeeper may submit year-end statements to an accountant. Nor was any evidence provided by Ms. Lim that a bookkeeper must be able to ascertain a company's ability to pay anticipated taxes before submitting year-end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Based on Ms. Lim's submissions, the issue is whether the trial judge made an error of fact, or mixed fact and law, in finding, first, that the CRA assessments constituted actual damage, and second, that Ms. Lim caused that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provides for the right to appeal to the Supreme Court, and the powers of this Court on such an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Hearing of appeal</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12 An appeal to the Supreme Court under this Act $* &lt;/QL:LISTLEVEL2&gt; $*</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be brought to review the order under appeal on questions of fact and on questions of law, 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be heard as a new trial unless the Supreme Court orders that the appeal be heard in that court as a new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 (1) On an appeal, the Supreme Court may do one or more of the following:</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order that could be made by the Provincial Court;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reasonable terms and conditions in an order;</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additional order that it considers just;</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order award costs to any party to the appeal in accordance with the Supreme Court Rules.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appeal from an order made by the Supreme Court under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appeal is not to be heard as a new trial (s. 12(b)), but s. 13 does give this Court considerable latitude with respect to what it may order on appeal. However, that latitude does not include the ability to order a new trial back in Provincial Court (</w:t>
      </w:r>
      <w:r>
        <w:rPr>
          <w:rFonts w:ascii="arial" w:eastAsia="arial" w:hAnsi="arial" w:cs="arial"/>
          <w:i/>
          <w:color w:val="000000"/>
          <w:sz w:val="20"/>
          <w:lang w:val="en-US" w:eastAsia="en-US" w:bidi="ar-SA"/>
        </w:rPr>
        <w:t>Vancouver (City) v. Wilson</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2013 BCSC 92</w:t>
        </w:r>
      </w:hyperlink>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standard of review for an appeal from a decision of small claims court is akin to the standards governing an appeal from this Court to the Court of Appeal; that is, findings of fact should not be reversed unless the trial judge made a palpable and overriding error, but errors of law are reviewed on a standard of correctness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 xml:space="preserve"> the Supreme Court of Canada held that questions of mixed fact and law must be assessed to determine whether, on further reflection, they are more akin to pure errors of law and thus are subject to a correctness standard. If not, however, the trial judge deserves significant deference in his or her application of the law to the facts (at paras. 27-28).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 xml:space="preserve"> explicitly discussed questions of mixed fact and law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finding that in such cases,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trial judge should be deferred to by appellate courts" (at para. 29). Thus, "in the absence of a legal error or a palpable and overriding error,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 trial judge should not be interfered with"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is well established law that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proof of actual damage in order to complete the cause of action (</w:t>
      </w:r>
      <w:r>
        <w:rPr>
          <w:rFonts w:ascii="arial" w:eastAsia="arial" w:hAnsi="arial" w:cs="arial"/>
          <w:i/>
          <w:color w:val="000000"/>
          <w:sz w:val="20"/>
          <w:lang w:val="en-US" w:eastAsia="en-US" w:bidi="ar-SA"/>
        </w:rPr>
        <w:t>Pfeifer v. Morrison</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(1973), 42 D.L.R. (3d) 314</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Pfeifer</w:t>
      </w:r>
      <w:r>
        <w:rPr>
          <w:rFonts w:ascii="arial" w:eastAsia="arial" w:hAnsi="arial" w:cs="arial"/>
          <w:color w:val="000000"/>
          <w:sz w:val="20"/>
          <w:lang w:val="en-US" w:eastAsia="en-US" w:bidi="ar-SA"/>
        </w:rPr>
        <w:t xml:space="preserve">]). What is meant by "damage" is "some head of loss for which compensation will be awarded", and can consist of many things including medical expenses and hospital bills (see Allen M. Linden and Bruce Feldthusen, </w:t>
      </w:r>
      <w:r>
        <w:rPr>
          <w:rFonts w:ascii="arial" w:eastAsia="arial" w:hAnsi="arial" w:cs="arial"/>
          <w:i/>
          <w:color w:val="000000"/>
          <w:sz w:val="20"/>
          <w:lang w:val="en-US" w:eastAsia="en-US" w:bidi="ar-SA"/>
        </w:rPr>
        <w:t>Canadian Tort Law, 9th ed.</w:t>
      </w:r>
      <w:r>
        <w:rPr>
          <w:rFonts w:ascii="arial" w:eastAsia="arial" w:hAnsi="arial" w:cs="arial"/>
          <w:color w:val="000000"/>
          <w:sz w:val="20"/>
          <w:lang w:val="en-US" w:eastAsia="en-US" w:bidi="ar-SA"/>
        </w:rPr>
        <w:t xml:space="preserve"> (Markham: LexisNexis Canada Inc, 2011) at 117; </w:t>
      </w:r>
      <w:r>
        <w:rPr>
          <w:rFonts w:ascii="arial" w:eastAsia="arial" w:hAnsi="arial" w:cs="arial"/>
          <w:i/>
          <w:color w:val="000000"/>
          <w:sz w:val="20"/>
          <w:lang w:val="en-US" w:eastAsia="en-US" w:bidi="ar-SA"/>
        </w:rPr>
        <w:t>Vile v. Von Wendt</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(1979), 26 O.R. (2d) 513</w:t>
        </w:r>
      </w:hyperlink>
      <w:r>
        <w:rPr>
          <w:rFonts w:ascii="arial" w:eastAsia="arial" w:hAnsi="arial" w:cs="arial"/>
          <w:color w:val="000000"/>
          <w:sz w:val="20"/>
          <w:lang w:val="en-US" w:eastAsia="en-US" w:bidi="ar-SA"/>
        </w:rPr>
        <w:t xml:space="preserve"> (H.C.)) There is also some authority for the proposition that hospital bills are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proof of special damage incurred by the plaintiff and they must only show that it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order to establish the cause of action. In order to dispute this proof, the defendant must show that that cost did not arise from their actions (see </w:t>
      </w:r>
      <w:r>
        <w:rPr>
          <w:rFonts w:ascii="arial" w:eastAsia="arial" w:hAnsi="arial" w:cs="arial"/>
          <w:i/>
          <w:color w:val="000000"/>
          <w:sz w:val="20"/>
          <w:lang w:val="en-US" w:eastAsia="en-US" w:bidi="ar-SA"/>
        </w:rPr>
        <w:t>Land v. Canada Permanent Toronto General Trust Co.</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(1964), 47 D.L.R. (2d) 448</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Notwithstanding that the claim appears to have been framed in breach of contract, this case was clearly decided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is, however, no stated cause of action in the original notice of claim, and no alleged error of law in the trial judge's reasons by either party. In the transcript, the trial judge asked counsel for KRTC whether the issue was one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its counsel replied in the affirmative. No objection was then taken by counsel for Ms. Lim on the basis of the pleadings as framed. That is perhaps because the rules respecting pleadings in the small claims court are understandably forgiving, the directions couched in plain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Rule 1(1):</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"Completing a notice of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make a claim, a person must complete a notice of claim (Form 1) following the instructions on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These instructions direct the claimant to place, under the heading, "What Happened?", the basis of his or her claim. The instructions direct the claimant that: "You do not need to tell everything about your case here. You must tell just enough to let the defendant know what the case is about. Keep your description brief. You will have a full opportunity to present all the facts and provide supporting documents at a settlement conference 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Given that the claim was apparently drafted by counsel, one would reasonably have expected that it would have better reflected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said, it did meet the low standard expected by the rules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that it gave Ms. Lim sufficient notice to know what KRTC's claim was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trial judge found Ms. Lim "negligent", and does not mention any finding regarding breach of contract. In any event, it should also be noted that Ms. Lim's submissions are only plausible if this is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as proof of actual damages is not required in contract law cases (see </w:t>
      </w:r>
      <w:r>
        <w:rPr>
          <w:rFonts w:ascii="arial" w:eastAsia="arial" w:hAnsi="arial" w:cs="arial"/>
          <w:i/>
          <w:color w:val="000000"/>
          <w:sz w:val="20"/>
          <w:lang w:val="en-US" w:eastAsia="en-US" w:bidi="ar-SA"/>
        </w:rPr>
        <w:t>Pfeifer)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Lim's submissions never explicitly stated what the palpable and overriding errors in the decision were. Rather, she merely re-argues her original case at trial, that KRTC had not proven actual damage or causation. No authority was given for the assertion that a bill from the CRA does not qualify as proof of actual damages, and given the authorities I have seen, it is certainly not clear to me that the trial judge made a palpable and overriding error in finding such a bill as sufficient proof of damage. There are few things more certain, it seems to me, than the fact that the CRA will attempt to collect the money it has determined it is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Turning to the issue of whether or not the judge made an error in finding that the damage was caused by Ms. Lim, I cannot agree with her submissions. On hearing all the evidence, the trial judge found that some of the damage claimed, but not all, was caused by Ms. Lim's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has taken no issue with the finding that a duty of care was owed, or that the standard of care required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Lim argues that she should not be seen as the cause of damage, in the form of interest owed on the penalties, as the company's lack of funds could also have been responsible for the accumulated interest, because otherwise the company could simply have paid the taxes and penalty. However, but for the negligent conduct of Ms. Lim, the penalty would not have been incurred, the interest on that penalty would not have begun accumulating, and the lack of funds would not have been an issue. The tort-feasor must take their victim as they find them, including their financial capacity, and is thus liable even if the losses are more than they would be for the average person (or corporation)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[1996] S.C.J. No. 102</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case supplied by counsel for Ms. Lim, </w:t>
      </w:r>
      <w:r>
        <w:rPr>
          <w:rFonts w:ascii="arial" w:eastAsia="arial" w:hAnsi="arial" w:cs="arial"/>
          <w:i/>
          <w:color w:val="000000"/>
          <w:sz w:val="20"/>
          <w:lang w:val="en-US" w:eastAsia="en-US" w:bidi="ar-SA"/>
        </w:rPr>
        <w:t>Allan's Lock and Door Co. v. Reynolds</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[2004] O.J. No. 3748</w:t>
        </w:r>
      </w:hyperlink>
      <w:r>
        <w:rPr>
          <w:rFonts w:ascii="arial" w:eastAsia="arial" w:hAnsi="arial" w:cs="arial"/>
          <w:color w:val="000000"/>
          <w:sz w:val="20"/>
          <w:lang w:val="en-US" w:eastAsia="en-US" w:bidi="ar-SA"/>
        </w:rPr>
        <w:t xml:space="preserve"> (S.C.J.) [</w:t>
      </w:r>
      <w:r>
        <w:rPr>
          <w:rFonts w:ascii="arial" w:eastAsia="arial" w:hAnsi="arial" w:cs="arial"/>
          <w:i/>
          <w:color w:val="000000"/>
          <w:sz w:val="20"/>
          <w:lang w:val="en-US" w:eastAsia="en-US" w:bidi="ar-SA"/>
        </w:rPr>
        <w:t>Allan's</w:t>
      </w:r>
      <w:r>
        <w:rPr>
          <w:rFonts w:ascii="arial" w:eastAsia="arial" w:hAnsi="arial" w:cs="arial"/>
          <w:color w:val="000000"/>
          <w:sz w:val="20"/>
          <w:lang w:val="en-US" w:eastAsia="en-US" w:bidi="ar-SA"/>
        </w:rPr>
        <w:t xml:space="preserve">], is not helpful with regard to the interest and penalties on the GST returns. In </w:t>
      </w:r>
      <w:r>
        <w:rPr>
          <w:rFonts w:ascii="arial" w:eastAsia="arial" w:hAnsi="arial" w:cs="arial"/>
          <w:i/>
          <w:color w:val="000000"/>
          <w:sz w:val="20"/>
          <w:lang w:val="en-US" w:eastAsia="en-US" w:bidi="ar-SA"/>
        </w:rPr>
        <w:t>Allan's</w:t>
      </w:r>
      <w:r>
        <w:rPr>
          <w:rFonts w:ascii="arial" w:eastAsia="arial" w:hAnsi="arial" w:cs="arial"/>
          <w:color w:val="000000"/>
          <w:sz w:val="20"/>
          <w:lang w:val="en-US" w:eastAsia="en-US" w:bidi="ar-SA"/>
        </w:rPr>
        <w:t xml:space="preserve"> the relationship between the company and the bookkeeper was casual, did not require invoices or records, and the duties were not well defined. This is unlike the case at bar where Ms. Lim had well defined duties including being responsible for providing finished statements to an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Allan's</w:t>
      </w:r>
      <w:r>
        <w:rPr>
          <w:rFonts w:ascii="arial" w:eastAsia="arial" w:hAnsi="arial" w:cs="arial"/>
          <w:color w:val="000000"/>
          <w:sz w:val="20"/>
          <w:lang w:val="en-US" w:eastAsia="en-US" w:bidi="ar-SA"/>
        </w:rPr>
        <w:t xml:space="preserve"> the judge found that the defendant had properly remitted the amounts required up to a certain point, and after that she did not pay the GST with the knowledge and consent of her employers (at para. 78). Thus, the judge found the defendant was not responsible for the penalties or interest. In this case, on the other hand, the trial judge did not accept the evidence of Ms. Lim on this issue and found that there was no knowledge or consent on the part of KRTC, and thus Ms. Lim was responsible for the penalty that resulted from her failure to adequately perform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can see no reason, on the evidence and law provided, to interfere with these findings of fact by the trial judge. I also agree with the submission of KRTC on this point, that Ms. Lim provided no authority for the proposition that the financial status of the company affects the duty or ability of a bookkeeper to file year-end statements, or other returns, on time. I thus cannot find that the trial judge made a palpable and overriding error in holding Ms. Lim caused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therefore dismiss the appeal. KRTC is entitled to its costs of the appeal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T.J. 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0"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Logan v. Dermatech, Intradermal Distribution Inc., [2010] B.C.J. No. 639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Sewell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S090937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639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481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598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859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Sharon Lynn Logan, Plaintiff, and Dermatech, Intradermal Distribution Inc. and Vivier Pharma Inc. Defendants, and The Attorney General of Canada, Her Majesty The Queen in Right of Canada as Represented by the Minister of Health and Dr. Harlow Hollis,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1"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3" w:name="Keywords_9"/>
      <w:bookmarkEnd w:id="153"/>
      <w:r>
        <w:rPr>
          <w:rFonts w:ascii="arial" w:eastAsia="arial" w:hAnsi="arial" w:cs="arial"/>
          <w:b/>
          <w:color w:val="000000"/>
          <w:sz w:val="20"/>
          <w:lang w:val="en-US" w:eastAsia="en-US" w:bidi="ar-SA"/>
        </w:rPr>
        <w:t xml:space="preserve">Civil litigation — Civil procedure — Parties — Third party procedure — Availability — Application by Health Canada to strike third party notice allowed — Plaintiffs sued pharmaceutical companies for damages caused by side effects of medical device — Third Party Notice alleged that Health Canada, by licensing it for use, represented that device met safety requirements — Third Party Notice alleged that any losses were caused by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breaches of duty by Health Canada — Court found it plain and obvious that Third Party Notice did not disclose a reasonable claim, as Health Canada, did not owe duty of care to plaintiff in exercising its regulatory and licensing powers.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Crown — Actions by and against Crown — Statutory defences, immunities and bars to actions — Application by Health Canada to strike third party notice allowed — Plaintiffs sued pharmaceutical companies for damages caused by side effects of medical device — Third Party Notice alleged that Health Canada, by licensing it for use, represented that device met safety requirements — Third Party Notice alleged that any losses were caused by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breaches of duty by Health Canada — Court found it plain and obvious that Third Party Notice did not disclose a reasonable claim, as Health Canada, did not owe duty of care to plaintiff in exercising its regulatory and licensing powers.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Health law — Public health — Food and drug safety — Practice and procedure — Application by Health Canada to strike third party notice allowed — Plaintiffs sued pharmaceutical companies for damages caused by side effects of medical device — Third Party Notice alleged that Health Canada, by licensing it for use, represented that device met safety requirements — Third Party Notice alleged that any losses were caused by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breaches of duty by Health Canada — Court found it plain and obvious that Third Party Notice did not disclose a reasonable claim, as Health Canada, did not owe duty of care to plaintiff in exercising its regulatory and licensing powers.</w:t>
      </w:r>
    </w:p>
    <w:p>
      <w:pPr>
        <w:jc w:val="both"/>
        <w:rPr>
          <w:rFonts w:ascii="arial" w:eastAsia="arial" w:hAnsi="arial" w:cs="arial"/>
          <w:sz w:val="20"/>
          <w:lang w:val="en-US" w:eastAsia="en-US" w:bidi="ar-SA"/>
        </w:rPr>
      </w:pPr>
      <w:bookmarkStart w:id="154" w:name="Legislation Cited_10"/>
      <w:bookmarkEnd w:id="1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2"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272" w:history="1">
        <w:r>
          <w:rPr>
            <w:rFonts w:ascii="arial" w:eastAsia="arial" w:hAnsi="arial" w:cs="arial"/>
            <w:i/>
            <w:color w:val="0077CC"/>
            <w:sz w:val="20"/>
            <w:u w:val="single"/>
            <w:shd w:val="clear" w:color="auto" w:fill="FFFFFF"/>
            <w:lang w:val="en-US" w:eastAsia="en-US" w:bidi="ar-SA"/>
          </w:rPr>
          <w:t>RSBC 1996, CHAPTER 50, s. 37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Food and Drugs Act, R.S.C. 1985, Ch. F.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Medical Devices Regulations, </w:t>
      </w:r>
      <w:hyperlink r:id="rId273" w:history="1">
        <w:r>
          <w:rPr>
            <w:rFonts w:ascii="arial" w:eastAsia="arial" w:hAnsi="arial" w:cs="arial"/>
            <w:i/>
            <w:color w:val="0077CC"/>
            <w:sz w:val="20"/>
            <w:u w:val="single"/>
            <w:shd w:val="clear" w:color="auto" w:fill="FFFFFF"/>
            <w:lang w:val="en-US" w:eastAsia="en-US" w:bidi="ar-SA"/>
          </w:rPr>
          <w:t>SOR/98-282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5" w:name="Counsel_10"/>
      <w:bookmarkEnd w:id="15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3"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David Rosenberg,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Intradermal Distribution Inc. and Vivier Pharma Inc.: John A. Vamplew.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Attorney General of Canada, HMTQ as represented by the Minister of Health: Malcolm Palmer and Brian Hay.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Dr. Harlow Hollis: Elder Cameron.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6" w:name="Judgment_10"/>
      <w:bookmarkEnd w:id="156"/>
      <w:r>
        <w:pict>
          <v:line id="_x0000_s1084"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7" w:name="R.J. SEWELL J."/>
            <w:bookmarkEnd w:id="157"/>
            <w:r>
              <w:rPr>
                <w:rFonts w:ascii="arial" w:eastAsia="arial" w:hAnsi="arial" w:cs="arial"/>
                <w:b/>
                <w:color w:val="000000"/>
                <w:sz w:val="30"/>
                <w:lang w:val="en-US" w:eastAsia="en-US" w:bidi="ar-SA"/>
              </w:rPr>
              <w:t>R.J. SEWELL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Attorney General of Canada and Her Majesty the Queen in Right of Canada, as represented by the Minister of Health, whom I will refer to as Health Canada, for an order striking out and dismissing an Amended Third Party Notice originally filed by the defendants Intradermal Distribution Inc. and Vivier Pharma Inc. on October 14, 2009, and amended on January 18, 2010. In these reasons I will use the term defendants to refer to Intradermal Distribution Inc. and Vivier Pharma Inc. Dermatech, although a nominal defendant, is bankrupt and took no part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action is brought pursuant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 50</w:t>
      </w:r>
      <w:r>
        <w:rPr>
          <w:rFonts w:ascii="arial" w:eastAsia="arial" w:hAnsi="arial" w:cs="arial"/>
          <w:color w:val="000000"/>
          <w:sz w:val="20"/>
          <w:lang w:val="en-US" w:eastAsia="en-US" w:bidi="ar-SA"/>
        </w:rPr>
        <w:t>, although there has not yet been a certification application. The plaintiff, Sharon Lynn Logan, suing on her own behalf and on behalf of a class of similarly situated persons resident in British Columbia and elsewhere in Canada, sues the defendants for damages suffered as a result of the use of Dermalive. The Statement of Claim alleges that the use of Dermalive has serious adverse side-effects and that the defendants knew or ought to have known that Dermalive and its use by the plaintiff and other consumers in Canada could cause harm to the plaintiff and those other consumers.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made no claim against Health Canada. However, in paragraph 22 of the Amended Statement of Claim the plaintiff does allege that she would not have agreed to being injected with Dermalive if she had been suitably warned by the defendants of the risks associated with Dermalive and Dermalive had not been available in Canada as a licensed medical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paragraph 6 of the Amended Third Party Notice the defendants allege that by licensing Dermalive Health Canada represented that Dermalive met the safety requirements set out in the </w:t>
      </w:r>
      <w:r>
        <w:rPr>
          <w:rFonts w:ascii="arial" w:eastAsia="arial" w:hAnsi="arial" w:cs="arial"/>
          <w:i/>
          <w:color w:val="000000"/>
          <w:sz w:val="20"/>
          <w:lang w:val="en-US" w:eastAsia="en-US" w:bidi="ar-SA"/>
        </w:rPr>
        <w:t>Food and Drugs Act</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R.S.C. 1985, Ch. F 27</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FDA)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Medical Devices Regulations,</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S.O.R./98-282</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allege that Health Canada has a duty to protect the health of residents of Canada by prohibiting the sale of medical devices, refusing to license medical devices that could cause injury, conducting adequate reviews of applications to license medical devices and establishing and controlling safety standards for medical devices. In paragraph 9 of the Amended Third Party Notice the defendants make a number of allegations dealing with inadequacies on the part of Health Canada in exercising its licensing and supervisory powers with respect to Dermalive.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By a January 18, 2010 amendment to the Amended Third Party Notice the defendants added a claim for a declaration that any loss, damage or expense suffered by the plaintiff by reason of the matters set out in the Amended Statement of Claim was caused to or contributed to by the fault,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duty and/or breaches of statutory duty of Health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central point of the submission made by Health Canada is that in its capacity as regulator and licensor under the </w:t>
      </w:r>
      <w:r>
        <w:rPr>
          <w:rFonts w:ascii="arial" w:eastAsia="arial" w:hAnsi="arial" w:cs="arial"/>
          <w:i/>
          <w:color w:val="000000"/>
          <w:sz w:val="20"/>
          <w:lang w:val="en-US" w:eastAsia="en-US" w:bidi="ar-SA"/>
        </w:rPr>
        <w:t>FDA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it did not owe a duty of care to the plaintiff. Health Canada argues that the sole allegation made against it relates to the manner in which it carried out its functions pursuant to the </w:t>
      </w:r>
      <w:r>
        <w:rPr>
          <w:rFonts w:ascii="arial" w:eastAsia="arial" w:hAnsi="arial" w:cs="arial"/>
          <w:i/>
          <w:color w:val="000000"/>
          <w:sz w:val="20"/>
          <w:lang w:val="en-US" w:eastAsia="en-US" w:bidi="ar-SA"/>
        </w:rPr>
        <w:t>FDA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and in particular its responsibility to issue licenses pursuant to the </w:t>
      </w:r>
      <w:r>
        <w:rPr>
          <w:rFonts w:ascii="arial" w:eastAsia="arial" w:hAnsi="arial" w:cs="arial"/>
          <w:i/>
          <w:color w:val="000000"/>
          <w:sz w:val="20"/>
          <w:lang w:val="en-US" w:eastAsia="en-US" w:bidi="ar-SA"/>
        </w:rPr>
        <w:t>FDA.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agreed that to succeed on this application Health Canada must establish that it is plain and obvious the Amended Third Party Notice does not disclose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Health Canada relies upon three decisions of the Ontario Courts to support its submission that it owes no duty of care when it is exercising its regulatory and licensing powers pursuant to the </w:t>
      </w:r>
      <w:r>
        <w:rPr>
          <w:rFonts w:ascii="arial" w:eastAsia="arial" w:hAnsi="arial" w:cs="arial"/>
          <w:i/>
          <w:color w:val="000000"/>
          <w:sz w:val="20"/>
          <w:lang w:val="en-US" w:eastAsia="en-US" w:bidi="ar-SA"/>
        </w:rPr>
        <w:t>FDA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Klein v. American Medical Systems Inc.</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(2007), 84 O.R. (3d) 217</w:t>
        </w:r>
      </w:hyperlink>
      <w:r>
        <w:rPr>
          <w:rFonts w:ascii="arial" w:eastAsia="arial" w:hAnsi="arial" w:cs="arial"/>
          <w:color w:val="000000"/>
          <w:sz w:val="20"/>
          <w:lang w:val="en-US" w:eastAsia="en-US" w:bidi="ar-SA"/>
        </w:rPr>
        <w:t xml:space="preserve"> (Divisional Court); </w:t>
      </w:r>
      <w:r>
        <w:rPr>
          <w:rFonts w:ascii="arial" w:eastAsia="arial" w:hAnsi="arial" w:cs="arial"/>
          <w:i/>
          <w:color w:val="000000"/>
          <w:sz w:val="20"/>
          <w:lang w:val="en-US" w:eastAsia="en-US" w:bidi="ar-SA"/>
        </w:rPr>
        <w:t>Drady v. Canada (Health)</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2008 ONCA 659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Attis v. Canada (Health)</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2008 ONCA 660</w:t>
        </w:r>
      </w:hyperlink>
      <w:r>
        <w:rPr>
          <w:rFonts w:ascii="arial" w:eastAsia="arial" w:hAnsi="arial" w:cs="arial"/>
          <w:color w:val="000000"/>
          <w:sz w:val="20"/>
          <w:lang w:val="en-US" w:eastAsia="en-US" w:bidi="ar-SA"/>
        </w:rPr>
        <w:t xml:space="preserve">. Counsel for Health Canada submits that these cases are indistinguishable from the case at bar and that they establish that Health Canada does not stand in a relationship of sufficient proximity to give rise to the alleged duty of care to the plaintiff either individually or as a class representative. Alternatively, Health Canada argues that an independent analysis of the two-stage test in </w:t>
      </w:r>
      <w:r>
        <w:rPr>
          <w:rFonts w:ascii="arial" w:eastAsia="arial" w:hAnsi="arial" w:cs="arial"/>
          <w:i/>
          <w:color w:val="000000"/>
          <w:sz w:val="20"/>
          <w:lang w:val="en-US" w:eastAsia="en-US" w:bidi="ar-SA"/>
        </w:rPr>
        <w:t>Anns v. Merton</w:t>
      </w:r>
      <w:r>
        <w:rPr>
          <w:rFonts w:ascii="arial" w:eastAsia="arial" w:hAnsi="arial" w:cs="arial"/>
          <w:color w:val="000000"/>
          <w:sz w:val="20"/>
          <w:lang w:val="en-US" w:eastAsia="en-US" w:bidi="ar-SA"/>
        </w:rPr>
        <w:t>, [1978] A.C. 728 leads to the conclusion that no duty of care exists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argue that the three Ontario cases referred to above are distinguishable from this case because they do not consider the question of whether the issuance of a license could constitute a representation by Health Canada that the subject matter of the license is safe for use. The defendants say that it is not plain and obvious that a claim by the plaintiff against Health Canada for negligent misrepresentation would fail. They rely on paragraph 22(b) of the Amended Statement of Claim in support of their assertion that the pleadings do allege that the plaintiff relied upon the licensing of Dermalive. The defendants say that that allegation, taken together with the allegations contained in the Amended Third Party Notice, are sufficient to raise the issue of negligent misrepresentation against Health Canada. As I understand the defendants' argument it is that the plaintiff has alleged reliance upon the licensing of Dermalive and the defendants have alleged that Health Canada negligently discharged its duties with respect to the licensing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the alternative the defendants seek to support a claim for declaratory relief in this case on the authority of the decision of the British Columbia Court of Appeal in </w:t>
      </w:r>
      <w:r>
        <w:rPr>
          <w:rFonts w:ascii="arial" w:eastAsia="arial" w:hAnsi="arial" w:cs="arial"/>
          <w:i/>
          <w:color w:val="000000"/>
          <w:sz w:val="20"/>
          <w:lang w:val="en-US" w:eastAsia="en-US" w:bidi="ar-SA"/>
        </w:rPr>
        <w:t>British Columbia Ferry Corp. v. T &amp; N plc.</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(1985), 16 B.C.L.R. (3d) 115</w:t>
        </w:r>
      </w:hyperlink>
      <w:r>
        <w:rPr>
          <w:rFonts w:ascii="arial" w:eastAsia="arial" w:hAnsi="arial" w:cs="arial"/>
          <w:color w:val="000000"/>
          <w:sz w:val="20"/>
          <w:lang w:val="en-US" w:eastAsia="en-US" w:bidi="ar-SA"/>
        </w:rPr>
        <w:t>. The defendants say that striking out the Amended Third Party Notice would deprive them of the opportunity of establishing that some fault lies on the part of Health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Health Canada has persuaded me that it is plain and obvious that the Amended Third Party Notice discloses no reasonable cause of action against it. In my view, the facts of this case are indistinguishable from the facts of the three Ontario appellate decisions of </w:t>
      </w:r>
      <w:r>
        <w:rPr>
          <w:rFonts w:ascii="arial" w:eastAsia="arial" w:hAnsi="arial" w:cs="arial"/>
          <w:i/>
          <w:color w:val="000000"/>
          <w:sz w:val="20"/>
          <w:lang w:val="en-US" w:eastAsia="en-US" w:bidi="ar-SA"/>
        </w:rPr>
        <w:t>Klein, Drady and Attis.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pointed out in </w:t>
      </w:r>
      <w:r>
        <w:rPr>
          <w:rFonts w:ascii="arial" w:eastAsia="arial" w:hAnsi="arial" w:cs="arial"/>
          <w:i/>
          <w:color w:val="000000"/>
          <w:sz w:val="20"/>
          <w:lang w:val="en-US" w:eastAsia="en-US" w:bidi="ar-SA"/>
        </w:rPr>
        <w:t>Attis</w:t>
      </w:r>
      <w:r>
        <w:rPr>
          <w:rFonts w:ascii="arial" w:eastAsia="arial" w:hAnsi="arial" w:cs="arial"/>
          <w:color w:val="000000"/>
          <w:sz w:val="20"/>
          <w:lang w:val="en-US" w:eastAsia="en-US" w:bidi="ar-SA"/>
        </w:rPr>
        <w:t>, an analysis of whether the alleged cause of action in this case fits within or is analogous to a recognized category of liability or immunity from liability begins with a careful review of the allegations contained in the pleadings. Once the pleadings have been analyzed it can be determined whether the authorities have decided whether the allegations in the pleadings are within a recognized category of liability or immunity with respect to the alleged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For the defendants, Mr. Vamplew places primary reliance on his submission that in this case, unlike in the trilogy of Ontario cases, there is an allegation of negligent misrepresentation against Health Canada. As indicated above, he relies in this regard on paragraph 22(b) of the Amended Statement of Claim which provides as follows:</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never would have agreed to being injected with Dermalive if:</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been suitably warned by the defendants of the risks associated with Dermalive;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 Dermalive had not been available in Canada as a licensed medical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Vamplew argues that this paragraph can properly be construed as an allegation that the plaintiff relied upon a representation by Health Canada that Dermalive was safe for use as directed.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do not agree with this analysis of the Amended Statement of Claim. It seems to me that paragraph 22(b) must be read together with paragraphs 9 to 14 of the Amended Statement of Claim. Those paragraphs make it clear that the plaintiff makes no claim against Health Canada and that the plaintiff is relying upon the statutory scheme contained in the </w:t>
      </w:r>
      <w:r>
        <w:rPr>
          <w:rFonts w:ascii="arial" w:eastAsia="arial" w:hAnsi="arial" w:cs="arial"/>
          <w:i/>
          <w:color w:val="000000"/>
          <w:sz w:val="20"/>
          <w:lang w:val="en-US" w:eastAsia="en-US" w:bidi="ar-SA"/>
        </w:rPr>
        <w:t>FDA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which makes the manufacturer and distributor of a medical device responsible for its safety. I note that the plaintiff has made none of the other allegations necessary to constitute a claim for misrepresentation set out in </w:t>
      </w:r>
      <w:r>
        <w:rPr>
          <w:rFonts w:ascii="arial" w:eastAsia="arial" w:hAnsi="arial" w:cs="arial"/>
          <w:i/>
          <w:color w:val="000000"/>
          <w:sz w:val="20"/>
          <w:lang w:val="en-US" w:eastAsia="en-US" w:bidi="ar-SA"/>
        </w:rPr>
        <w:t>Queen v. Cognos</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In addition, as I read paragraph 22(b) in the context of the whole of the Amended Statement of Claim the reference to licensing relates to a fact or circumstance brought about by the actions of the defendants and not to any representation by Health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do allege negligent misrepresentation in their Amended Third Party Notice. However, a review of the Amended Third Party Notice makes it clear that the only representation alleged is the issuance of a license for Dermalive. This is made clear in particular by paragraphs 6, 7, 8 and 9 of the Amended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my view, the authorities have established that the exercise of licensing power by Health Canada falls within a recognized category of immunity with respect to a duty of care, and that Health Canada therefore owed no duty of care with respect to its licensing of Dermalive. No useful purpose would be served by my repeating the analysis contained in the trilogy of Ontario cases and in particular in </w:t>
      </w:r>
      <w:r>
        <w:rPr>
          <w:rFonts w:ascii="arial" w:eastAsia="arial" w:hAnsi="arial" w:cs="arial"/>
          <w:i/>
          <w:color w:val="000000"/>
          <w:sz w:val="20"/>
          <w:lang w:val="en-US" w:eastAsia="en-US" w:bidi="ar-SA"/>
        </w:rPr>
        <w:t>Attis v. Canada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seeking to distinguish the trilogy of Ontario cases the defendants rely upon the decision of our Court of Appeal in </w:t>
      </w:r>
      <w:r>
        <w:rPr>
          <w:rFonts w:ascii="arial" w:eastAsia="arial" w:hAnsi="arial" w:cs="arial"/>
          <w:i/>
          <w:color w:val="000000"/>
          <w:sz w:val="20"/>
          <w:lang w:val="en-US" w:eastAsia="en-US" w:bidi="ar-SA"/>
        </w:rPr>
        <w:t>Knight v. Imperial Tobacco Canada Ltd.</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2009 BCCA 541</w:t>
        </w:r>
      </w:hyperlink>
      <w:r>
        <w:rPr>
          <w:rFonts w:ascii="arial" w:eastAsia="arial" w:hAnsi="arial" w:cs="arial"/>
          <w:color w:val="000000"/>
          <w:sz w:val="20"/>
          <w:lang w:val="en-US" w:eastAsia="en-US" w:bidi="ar-SA"/>
        </w:rPr>
        <w:t xml:space="preserve">. However, in my view, the claim that the Court allowed to stand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was based not on the activities of Health Canada as regulator but on its activities as a developer and promoter of a particular form of "light" tobacco. In paragraph 59 of Mr. Justice Tysoe's decision he distinguishes </w:t>
      </w:r>
      <w:r>
        <w:rPr>
          <w:rFonts w:ascii="arial" w:eastAsia="arial" w:hAnsi="arial" w:cs="arial"/>
          <w:i/>
          <w:color w:val="000000"/>
          <w:sz w:val="20"/>
          <w:lang w:val="en-US" w:eastAsia="en-US" w:bidi="ar-SA"/>
        </w:rPr>
        <w:t>Klein</w:t>
      </w:r>
      <w:r>
        <w:rPr>
          <w:rFonts w:ascii="arial" w:eastAsia="arial" w:hAnsi="arial" w:cs="arial"/>
          <w:color w:val="000000"/>
          <w:sz w:val="20"/>
          <w:lang w:val="en-US" w:eastAsia="en-US" w:bidi="ar-SA"/>
        </w:rPr>
        <w:t xml:space="preserve"> and</w:t>
      </w:r>
      <w:r>
        <w:rPr>
          <w:rFonts w:ascii="arial" w:eastAsia="arial" w:hAnsi="arial" w:cs="arial"/>
          <w:i/>
          <w:color w:val="000000"/>
          <w:sz w:val="20"/>
          <w:lang w:val="en-US" w:eastAsia="en-US" w:bidi="ar-SA"/>
        </w:rPr>
        <w:t xml:space="preserve"> Attis</w:t>
      </w:r>
      <w:r>
        <w:rPr>
          <w:rFonts w:ascii="arial" w:eastAsia="arial" w:hAnsi="arial" w:cs="arial"/>
          <w:color w:val="000000"/>
          <w:sz w:val="20"/>
          <w:lang w:val="en-US" w:eastAsia="en-US" w:bidi="ar-SA"/>
        </w:rPr>
        <w:t xml:space="preserve"> on the basis that in those cases the governmental body was acting solely in its capacity as regulator.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this case the allegations against Health Canada relate solely to its role as regulator. I also note that in summarizing the basis of his conclusion at paragraph 92 Mr. Justice Tysoe upheld the Third Party Notice on the basis that the </w:t>
      </w:r>
      <w:r>
        <w:rPr>
          <w:rFonts w:ascii="arial" w:eastAsia="arial" w:hAnsi="arial" w:cs="arial"/>
          <w:i/>
          <w:color w:val="000000"/>
          <w:sz w:val="20"/>
          <w:lang w:val="en-US" w:eastAsia="en-US" w:bidi="ar-SA"/>
        </w:rPr>
        <w:t>Trade Practices Act and Business Practices and Consumer Protection Act of British Columbia</w:t>
      </w:r>
      <w:r>
        <w:rPr>
          <w:rFonts w:ascii="arial" w:eastAsia="arial" w:hAnsi="arial" w:cs="arial"/>
          <w:color w:val="000000"/>
          <w:sz w:val="20"/>
          <w:lang w:val="en-US" w:eastAsia="en-US" w:bidi="ar-SA"/>
        </w:rPr>
        <w:t xml:space="preserve"> apply to Canada and that Canada owed a duty of care with respect to the design of the tobacco strains used in light and mild cigarettes. In this case there is no allegation that Health Canada participated in any way in the design or development of Dermalive.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appreciate that the defendants characterize the issuance of a license as a representation. However, I think I should look to the substance of the allegation made against Health Canada. The material fact alleged was that Health Canada issued a license without taking the steps necessary to satisfy itself that Dermalive was safe. This clearly relates to its licensing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Alternatively, the defendants submit that the third party claim for declaratory relief should be allowed to stand. Mr. Vamplew points out that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uses the word "fault" not "liability". He submits that it would be open to a court to determine that the actions of Health Canada did contribute to the plaintiff's injuries even though that Health Canada is not liable for that causation in the absence of a duty of care. Mr. Vamplew submits that the interests of justice require that the defendants be in a position to avail themselves of the discovery process against Health Canada in order to establish fault on its part. He points out that Intradermal and Vivier deny that they played any part in the manufacture or development of Dermalive and acted solely as its distributor. I take it that his submission in this regard is that they are thereby hampered in their defence of the claims made against them by lack of access to the documents and oral discovery of Health Canada. Dermatech is a bankrupt French corporation and unable to contribute to any damages to which the plaintiff or the class may be found entitled. It took no part in the proceedings before me and presumably could not be looked to for document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Mr. Vamplew submits that this is an appropriate case to make an order similar to that made in </w:t>
      </w:r>
      <w:r>
        <w:rPr>
          <w:rFonts w:ascii="arial" w:eastAsia="arial" w:hAnsi="arial" w:cs="arial"/>
          <w:i/>
          <w:color w:val="000000"/>
          <w:sz w:val="20"/>
          <w:lang w:val="en-US" w:eastAsia="en-US" w:bidi="ar-SA"/>
        </w:rPr>
        <w:t>British Columbia Ferry Corp.</w:t>
      </w:r>
      <w:r>
        <w:rPr>
          <w:rFonts w:ascii="arial" w:eastAsia="arial" w:hAnsi="arial" w:cs="arial"/>
          <w:color w:val="000000"/>
          <w:sz w:val="20"/>
          <w:lang w:val="en-US" w:eastAsia="en-US" w:bidi="ar-SA"/>
        </w:rPr>
        <w:t xml:space="preserve"> However, in my view, it would be inappropriate to make such an order. In </w:t>
      </w:r>
      <w:r>
        <w:rPr>
          <w:rFonts w:ascii="arial" w:eastAsia="arial" w:hAnsi="arial" w:cs="arial"/>
          <w:i/>
          <w:color w:val="000000"/>
          <w:sz w:val="20"/>
          <w:lang w:val="en-US" w:eastAsia="en-US" w:bidi="ar-SA"/>
        </w:rPr>
        <w:t>British Columbia Ferry Corp.</w:t>
      </w:r>
      <w:r>
        <w:rPr>
          <w:rFonts w:ascii="arial" w:eastAsia="arial" w:hAnsi="arial" w:cs="arial"/>
          <w:color w:val="000000"/>
          <w:sz w:val="20"/>
          <w:lang w:val="en-US" w:eastAsia="en-US" w:bidi="ar-SA"/>
        </w:rPr>
        <w:t xml:space="preserve"> a determination of the extent to which the third party's fault had contributed to the plaintiff's loss would have had a direct effect on the amount the plaintiff was entitled to recover from the remaining defendants. Thus, a finding with respect to the third party's fault would had a direct impact on the rights of the defendants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plaintiff. As I read the </w:t>
      </w:r>
      <w:r>
        <w:rPr>
          <w:rFonts w:ascii="arial" w:eastAsia="arial" w:hAnsi="arial" w:cs="arial"/>
          <w:i/>
          <w:color w:val="000000"/>
          <w:sz w:val="20"/>
          <w:lang w:val="en-US" w:eastAsia="en-US" w:bidi="ar-SA"/>
        </w:rPr>
        <w:t>British Columbia Ferry Corp.</w:t>
      </w:r>
      <w:r>
        <w:rPr>
          <w:rFonts w:ascii="arial" w:eastAsia="arial" w:hAnsi="arial" w:cs="arial"/>
          <w:color w:val="000000"/>
          <w:sz w:val="20"/>
          <w:lang w:val="en-US" w:eastAsia="en-US" w:bidi="ar-SA"/>
        </w:rPr>
        <w:t xml:space="preserve"> decision the mischief being addressed was the circumstance brought about by the settlement agreement which removed the settling defendant from the litigation, thereby materially prejudicing the remaining defendants' ability to establish the degree of fault attributable to that defendant and which the plaintiff had agreed not to seek against the remaining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this case, however, in the absence of any liability of Health Canada to the plaintiff a declaration with respect to the extent to which Health Canada's fault contributed to the plaintiff's loss would be of no practical utility because the remaining defendants would be jointly and severally liable for the whole of the plaintiff's loss. In addition I am satisfied that there are adequate remedies available to the defendants under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to obtain the necessary documentation and information from Health Canada to adequately defend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Accordingly I find that it is plain and obvious that the claims set out in the Amended Third Party Notice disclose no reasonable claim against Health Canada and order that the third party claim against Health Canada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parties will have liberty to make application with respect to costs, and in particular, with respect to applicability of s. 37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to the application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SEWELL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5"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MacDonald v. Stevens, [2008] B.C.J. No. 1450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A.W. 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3-4, 6, 9-13 and 17-19,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S016895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1450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1018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58 C.C.L.T. (3d) 301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1617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170 A.C.W.S. (3d) 208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Lorne Anthony MacDonald, Plaintiff, and Dr. Holly E. Stevens, Dr. Maureen Harriman, Dr. Douglas Graham and St. Paul's Hospital,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6"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8" w:name="Keywords_10"/>
      <w:bookmarkEnd w:id="158"/>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inform — Standard of care — Particular professions — Doctors — Surgeons — Action by plaintiff alleging defendant doctor was negligent in performing surgery and failed to disclose risks dismissed — Defendant performed nasal endoscopic surgery on plaintiff, during which he suffered a central retinal artery occlusion and went blind in his right eye — Defendant's evidence that she informed plaintiff of general risk of blindness and described procedure for which plaintiff consented preferred — Defendant's expert witness who described defendant's actions during surgery as well within expected standard of care preferred over plaintiff's expert witness who was less qualified in area and unreliable.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Professional duties — Duties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Standard of care — Action by plaintiff alleging defendant doctor was negligent in performing surgery and failed to disclose risks dismissed — Defendant performed nasal endoscopic surgery on plaintiff, during which he suffered a central retinal artery occlusion and went blind in his right eye — Defendant's evidence that she informed plaintiff of general risk of blindness and described procedure for which plaintiff consented preferred — Defendant's expert witness who described defendant's actions during surgery as well within expected standard of care preferred over plaintiff's expert witness who was less qualified in area and unreliable.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9" w:name="Case Summary_9"/>
            <w:bookmarkEnd w:id="15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alleging the defendant doctor failed to disclose surgery risks and was negligent in performing his surgery. The plaintiff had five previous surgeries to alleviate severe nasal polyps and breathing difficulties. The defendant performed a surgery on the bone between the plaintiff's eyes. When he awoke from the surgery, he could not see out of his right eye and was quickly taken to the vision clinic and treated, but he learned he had suffered a central retinal artery occlusion and did not regain his vision. The plaintiff testified that the defendant claimed the risk of the surgery were absolutely none. He then admitted the defendant had shown him the operating site on a CT scan and disclosed risks on brain injury, bleeding and general anaesthesia risks but did not disclose the risk of blindness. The plaintiff did not remember signing the consent forms that were presented as evidence or many details from his doctor's visits. The plaintiff further argued that the defendant had used more cocaine and epinephrine than safe during the procedure, did not refer him to the vision clinic quickly and should have considered his elevated adrenaline levels due to a mugging the week of the surgery. The plaintiff also argued the trial was unfair because he did not have counsel. The defendant recounted her standard procedure for informing patients of risks of the surgery and was certain she had informed the plaintiff of a general risk of blindness, which was increased due to his previous surgeries. The defendant presented an expert witness who testified the occlusion was caused by the epinephrine injection and the epinephrine was well within safe levels.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0" w:name="Holdings of Court_6"/>
            <w:bookmarkEnd w:id="160"/>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evidence was significantly more reliable than the evidence of the plaintiff, which was inconsistent and often confirmed the defendant's. The defendant had informed the plaintiff of the risks associated with the surgery and the plaintiff led no evidence that disclosing the specific risk of a central retinal artery occlusion was within the expected standard of care. The evidence of the defendant's expert witness that the injection of epinephrine had caused the occlusion was also accepted. The plaintiff's expert witness offered confusing evidence about unsafe levels of cocaine and epinephrine but the witness was not as qualified as the defendant's witness and his testimony was unreliable. It was standard practice to combine cocaine and epinephrine during the surgery and the 5 cc's of epinephrine injected was within a safe range, as was the 200 mg of cocaine used during surgery preparation. The defendant had her resident escort the plaintiff to the vision clinic as soon as she learned of the complication and, in any event, an earlier referral would not have improved the prognosis. The plaintiff's theory about elevated adrenaline levels had no medical basis. The plaintiff conducted himself intelligently at the trial and he was adequately informed of procedure. Having more time to prepare would not have improved the quality of his evidence and there was no procedural unfairness.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1" w:name="Counsel_11"/>
      <w:bookmarkEnd w:id="1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7"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Barbara J. Norell and Sandra L. Kovacs.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2" w:name="Judgment_11"/>
      <w:bookmarkEnd w:id="162"/>
      <w:r>
        <w:pict>
          <v:line id="_x0000_s1088" style="position:absolute;z-index:2517729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3" w:name="A.W. MacKENZIE J."/>
            <w:bookmarkEnd w:id="163"/>
            <w:r>
              <w:rPr>
                <w:rFonts w:ascii="arial" w:eastAsia="arial" w:hAnsi="arial" w:cs="arial"/>
                <w:b/>
                <w:color w:val="000000"/>
                <w:sz w:val="30"/>
                <w:lang w:val="en-US" w:eastAsia="en-US" w:bidi="ar-SA"/>
              </w:rPr>
              <w:t>A.W. MacKENZIE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9, 1999 the defendant, Dr. Holly Stevens, an otolaryngologist, performed a repeat nasal endoscopic sinus surgery under general anaesthetic on Lorne Anthony MacDonald, the 32 year old plaintiff, to remove polyps. The polyps had developed as a result of the plaintiff's chronic allergic rhinitis.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After the apparently uneventful surgery, the plaintiff awoke from general anaesthesia to find he had lost almost all the vision in his right eye. Only pinpoint vision remained. Investigations revealed a right central retinal artery occlusion, a very rare occurrence. The plaintiff has not regained vision in his right eye since the surgery. He suffered a most unfortunate permanent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unilateral vision loss was the result of diffusion of a vasoconstrictive agent to the region of the right central retinal artery, a branch of the right ophthalmic artery, causing vasospasm to that artery and a restriction of blood flow. The parties disagree about which vasoconstrictive agent - cocaine, epinephrine, or a combination of both - caused the vasospasm.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had undergone five previous such surgeries without incident. This was the first time anything went wrong. He alleges the defendant breached her duty to disclose the risks involved and was negligent in performing the surgery, claiming damages for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his pleadings, the plaintiff also alleges breach of contract. However, the case was presented and argued only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 I will not address the claim in contract. In any event, there is no merit here to a claim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action as against Dr. Harriman, Dr. Graham, and St. Paul's Hospital was dismissed by consent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represented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clear that the defendant owed the plaintiff a duty of care and it is common ground the surgery caused the plaintiff's injury. The issues before the Court are:</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breach her duty to disclose the risks of the surgical procedure to the plaintiff? If so, would the plaintiff have agreed to have the surgery had he been informed of the risks?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in the manner in which she performed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age of 11 or 12, the plaintiff started having bad allergies which progressively got worse. He was diagnosed with allergic rhinitis when he was 17. He was unable to breathe through his nose. Dr. Takahara performed nasal surgery on the plaintiff. The operation was successful in part and improved the effect of the medication. But the allergic rhinitis worsened. It is a chronic condition and within a few years of the first operation, the symptoms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had another four such surgeries throughout the years to remove polyps from his sinuses. The last two surgeries were performed in British Columbia during the 1990's. They were all performed while the plaintiff was under general anaesthetic.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sinus condition progressively improved. He was able to control his physical environment which helped reduce the symptoms. However, the polyps eventually recurred.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took allergy shots for about two years in the office of his family physician and graduated to less frequent shots. Eventually, these allergy shots did not work and the plaintiff's symptoms worsened.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spring of 1999, the plaintiff saw an ear, nose and throat specialist, Dr. Mintz, who performed a surgery not under general anaesthetic to remove polyps. The plaintiff also had a similar procedure later, but with only mild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returned to see Dr. Mintz who highly recommended the defendant. The plaintiff agreed the referral was for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first appointment with the defendant was August 25, 1999 and she recommended the surgery in question. The plaintiff described the appointment as lasting about half an hour during which the defendant looked into his nose, told him he had extensive sinus disease and that his nose was full of polyps. The plaintiff was having trouble breathing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What the defendant told the plaintiff about the surgery is disputed and is at the core of the plaintiff's claim that the defendant breached her disclosure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remembered her saying, "I have never had any problems with any of my patients with this surgery", and then she knocked on wood. The plaintiff testified that in recommending the surgery, the defendant did not describe any risks, "absolutely none". The plaintiff said he was not aware of any risk and testified, "I don't really recall if she said anything about risk. I am absolutely sure she did not mention anything about visual loss as a result of the surgery". He did not remember signing any forms because it was ten years ago, but said he could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agreed the defendant "mentioned something" about the general risks of anaesthesia, and he already knew about them from previous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showed him the CT scan and where she was operating between the eyes on a very thin bone but he did not remember the details of this conversation. He recalled seeing the scan and that she pointed out the dark areas where the disease was. He remembered she told him there was a risk of bleeding and a risk of injury to the brain. The plaintiff insisted that the defendant did not tell him there was a risk of blindness or that there was an increased risk because of his previous surgeries. Nor did he remember the defendant pointing out to him the arteries close to where she was operating. The plaintiff admitted there were portions of the conversation that he did not remember. He did not remember in detail her examination of his nose, nor did he remember signing the consent form, although he admitted the signature on it was his. The plaintiff did not remember the exact complaints he made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admitted that he did not recall at all his visit with the defendant on November 22,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disagreed that it was possible the defendant discussed the risk of blindness with him, but that he just did not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One week before the surgery, the plaintiff was mugged while he was walking home late at night. He was shaken up and gave a lengthy narrative describing the traumatic details of the incident, involving ripped clothes, bruises and cuts. The plaintiff said his adrenaline was "pumped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day of the surgery, the plaintiff testified he was lying in the bed when the defendant arrived. He told her he had been mugged the previous week and that he was very nervous. He was given a pill to relax.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thought he signed some forms when he first arrived at the hospital, but he did not remember what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was wheeled into the operating room mid-morning. He testified general anaesthetic was administered and he was unconscious in about thirty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the plaintiff awoke from the anaesthetic and was still very groggy, he opened his eyes and immediately realized he could not see out of his right eye. He reported it to a nurse. The nurse advised the defendant, who was performing another surgery, of the plaintiff's condition. Dr. Harriman, the defendant's resident, came in to the plaintiff's room. The plaintiff recalled a lot of commotion and phone calls. He was still groggy.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testified that Dr. Harriman took him to the eye clinic at 1:10 p.m., 40 minutes after he had reported his vision loss to the nurse. Dr. Harriman said she escorted the plaintiff herself to ensure he was taken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head ophthalmologist treated the plaintiff but other doctors were present, discussing how to treat him. They injected his eye with something to try to reverse his condition or stop it from deteriorating. He said they acted quickly, consulted, and treated him. The plaintiff described the event as "a blur".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came down later to say she was sorry he was injured and that she did not know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later learned from the ophthalmologist that there was general agreement that he had sustained an injury from vasoconstriction, but that it was an extremely rare occurrence. The ophthalmologist told him that it was very unlikely that he would regain his vision and within a two to three week period there was a very small chance some vision might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was discharged from St. Paul's Hospital on December 10,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February 7, 2000 the plaintiff had an appointment with the defendant. He asked her what happened and she told him the injury was caused by a central retinal artery occlusion.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asked the defendant whether he was at higher risk of going blind in one or both eyes because of his previous operations. The plaintiff testified that she replied she did not think so. He asked what local anaesthetics were used in the operation. The plaintiff testified she said Dristan, 5 percent cocaine, and xylocaine with epinephrine. The plaintiff then said he asked her why she thought the occlusion happened, but she could not tell him. The defendant denied telling the plaintiff she used 5 percent cocaine and testified she has never used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November 3, 2000 the plaintiff saw Dr. Mandl who put him on a month long trial of a leukotrine receptor called Accolate as the plaintiff was beginning to have some congestion. He did not wish to undergo more surgery. The results of the Accolate were astounding to the plaintiff. He testified that one polyp in his sinuses had actually shrunk. This represented a change in the plaintiff's sinus condition. The plaintiff testified he wished he had known earlier that the Accolate would work so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January 2003, the plaintiff had a polypectomy under local anaesthetic with Dr. Javer. The plaintiff agreed that by late December 1999 and early January 2000, he had acquired knowledge from the physicians that treated him that a vasoconstrictive agent had caused the central retinal artery occlusion and he knew the two agents used were cocaine and epinephrine. However, the plaintiff said he never asked Dr. Javer before his surgery in 2003 whether he was going to use cocaine or epinephrine.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agreed he did not take Singulaire even though Dr. Mandl suggested in November 1998 he take 10 mg at night. He refused it because it was too expensive and he had no medical coverage at work. The plaintiff said he was under the mistaken impression that Singulaire was another drug.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confirmed he rejected Dr. Mandl's further suggestion in March 1999 that he take either Singulaire or Accolate.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agreed that he had all the many symptoms recorded in the defendant's records and that he had tried decongestants, antihistamines and steroids. He agreed his sinus symptoms improved following the December 1999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From 1985 to 2002, the defendant's practice was general in ear, nose and throat at Shaughnessy Hospital. She had a special interest in sino-nasal disease and within a few years her practice became confined to that specialty. Between 1985 and December 1999, she performed over 1,000 endoscopic sinus surgeries. She did about 12 to 15 such operations a month at Shaughnessy Hospital and another approximately 10 per month at St. Paul's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was the head of otolaryngology at St. Paul's Hospital and became clinical head. She always taught because St. Paul's Hospital was a teaching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recalled her first visit with the plaintiff, but not all the particulars of their conversation. She recalled showing him his CT scans which was part of her normal practice. The defendant identified the form that the plaintiff filled out to provide her with demographics and the plaintiff's personal particulars. The form disclosed the plaintiff had undergone five operations under anaesthetic removing polyps from his sinuses. It indicated that the plaintiff had suffered loss of sleep, chronic fatigue, and ear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wrote notes while the plaintiff was in the room with her. She gave him a physical examination to determine the extent of the disease and anatomical layout of the nose. Referring to her consultation notes, the defendant testified the plaintiff had many operations, a lot of disease, and no infection. The top of his nose was filled with polyps and the septum had also become polypoid. He had polypoid degeneration. He had severe hyperplastic disease with multiple tiny polyps occupying the upper half of both nasal vaults. The defendant could not see the plaintiff's interior turbinates. The normal anatomy was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had no specific recollection of her conversation with the plaintiff before the operation but described her standard practice that she follows with any patient. The defendant testified that she is sure she followed this practice with the plaintiff and is "unfailingly certain" that she disclosed the risks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her practice, the defendant reviews the patient's medical history. Then she discusses the surgery. She explains the surgery is a treatment plan, but not a 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Then, in her routine, the defendant discusses the risks related to the surgery. First, she discusses the risks related to the anaesthetic.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points out the CT scan to the patient, shows the location of the disease and how the sinuses relate to the vital structures. She indicates the thin bone that separates the sinuses from the eye on either side. She points out the landmarks on either side, and says clearly there is a risk of injury to either the brain up above, or the eye on either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discusses the possibility of the complications. She discusses the usual way in which complications may occur with the eye and says these risks are not common, but are serious if they do occur. The defendant explains the risk of orbital haemorrhage because it is the most common injury to the eye. She discusses the risk of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also discusses the landmarks in the area to be operated upon. In a person with previous surgery, those landmarks no longer exist, so a revision patient is at higher risk for complications. There is a risk of more bleeding.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 tells the patient the likelihood of occurrence of the risks is very low, probably 1 in 1,000. She says the risks are not likely to happen, but if they do, the consequences can be serious.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also talks about the less severe, but more common complications. For example, she explains the risk of bleeding during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Most of these patients have no sense of smell. The defendant tells them not to expect it to return and that the surgery may not be as beneficial as hoped. Sometime patients have inflammation after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also talks about time off work which is usually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While the defendant testified that she would have followed her standard practice, she did have some specific recollection of her conversations with the plaintiff. She specifically recalled reviewing the plaintiff's medical history. She recalled explaining that, in spite of the surgery, he would still have to take medicine. She thought the plaintiff understood that because he had previous surgeries, the benefits would be temporary and the symptoms would return. She explained she was trying to remove the bulk of the diseased tissue so the medications would be more effective. The defendant explained to the plaintiff that the surgery was not a panacea and in the future, he would probably require more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Based on her experience with patients with disease of his severity, the defendant recommended he have a general anaesthetic. There was no anaesthetic risk concern, so she did not ask for an anaesthetic consult.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did not tell the plaintiff about the specific risk of blindness from occlusion of the central retinal artery because she had never heard of such a complication. However, she did tell him of the risk of blindness. She was positive of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her testimony, the defendant identified the consent document for the operation that she and the plaintiff filled out. She identified her signature as the attending physician on the consent form signed by the plaintiff on August 25,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described the standard practice she uses for performing surgery. She prepares the patient's nose for surgery. The defendant pours 10 percent cocaine solution from a bottle containing 300 mg into a medicine cup. She inserts cotton pledgets into the cup and squeezes them with bayonet forceps which are like a long tweezer. She uses the forceps to insert two wrung-out pledgets into each side of the nose.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had no independent recollection of putting the pledgets into the plaintiff's nose, but relied upon her standard practice. Typically, about one-half the cocaine solution is left in the medicine cup. It is discarded.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patient is transferred to the operating room. The anaesthetist puts the patient to sleep. The patient's body is covered with a drape and the face is left exposed.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has another bottle of cocaine solution containing 300 mg with her in case it is needed. Here, the defendant testified that she did not think she used this bottle because the plaintiff did not bleed enough to require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other medication the defendant uses is xylocaine with epinephrine. It is dispensed from a standard 20 ml vial into a cup. The defendant testified that although 20 ml is available for her use, that does not mean she uses it all. The solution is 2 percent xylocaine with adrenaline which is epinephrine 1:100,000. The xylocaine is the anaesthetic and the epinephrine provides the vasoconstrictive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To operate, the defendant removes the pledgets from the left side and takes a syringe to draw up the epinephrine solution. She typically draws up about 5 cc's into her syringe and injects it into the body of the polyp. Then she puts a second injection down below the opening of the sphenoid into the polypoid tissue. She injects a couple of cc's altogether of epinephrine in the left side. Then the defendant replaces the pledgets she removed. The same procedure is repeated on the right side of the plaintiff's nose.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 testified she uses epinephrine because the cocaine provides surface anaesthetic and surface vasoconstriction. The epinephrine goes deeper because it is injected.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Harriman, the defendant's resident, was present during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 said that in this case, the procedure went smoothly. After she learned of the plaintiff's injury, she mentally reviewed the procedure and found nothing unusual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learned of the plaintiff's injury while operating on another patient. She called his room, said that ophthalmology needed to see him, and sent Dr. Harriman to his room. She notified ophthalmology from the operating room that there was an emergency and the plaintiff needed to be seen as soon as possible. When she finished her current procedure, the defendant went to see the plaintiff. She examined his eye and referred him to ophthalmology. She testified that the referral was done in a timely matter and that everything was done to expedite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called one expert witness, Dr. Rose, to testify. Dr. Rose is a specialist in otolaryngology with a sub-specialty as an ear, nose and throat surgeon. He has not practiced medicine since 2000 and has not performed surgery since 1999. During his practice, he performed approximately 150 sinus surgeries, less than 10 of which were endoscopic surgeries. He is listed as an expert on the internet, which is how the plaintiff contacted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called two experts, Drs. Wright and Lindley. Dr. Wright is an otolaryngologist and head and neck surgeon. Since 1999, he has had an independent practice with a focus on rhinology, endoscopic sinus and skull base surgery. He is the director of the Alberta Sinus Centre and the director of the fellowship program in rhinology/endoscopic sinus and skull base surgery at the University of Alberta. He is focused on treating patients with severe or recalcitrant chronic rhinosinusitis with special expertise in revision sinus surgery and skull base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Lindley is an ophthalmologist with a sub-specialty in neuro-ophthalmology. She has practiced in British Columbia since 1989. She is frequently asked to assist in the diagnosis and neuro-ophthalmic management of individuals who suffer closed head injury, develop various forms of optic nerve swell, inflammation, and/or optic atrophy. Dr. Lindley does this on a weekly basis and it is an integral part of her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evidence of the three expert witnesses is accurately and concisely summarized in the discussion of the parties' positions in the defendant's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THE STANDARD OF CARE AND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Duty to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Prior to proceeding with surgery, a physician must disclose to a patient the nature of the proposed operation, its gravity, any material risks and any special or unusual risks: </w:t>
      </w:r>
      <w:r>
        <w:rPr>
          <w:rFonts w:ascii="arial" w:eastAsia="arial" w:hAnsi="arial" w:cs="arial"/>
          <w:b/>
          <w:i/>
          <w:color w:val="000000"/>
          <w:sz w:val="20"/>
          <w:lang w:val="en-US" w:eastAsia="en-US" w:bidi="ar-SA"/>
        </w:rPr>
        <w:t>Hopp v. Lepp,</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Supreme Court of Canada in </w:t>
      </w:r>
      <w:r>
        <w:rPr>
          <w:rFonts w:ascii="arial" w:eastAsia="arial" w:hAnsi="arial" w:cs="arial"/>
          <w:b/>
          <w:i/>
          <w:color w:val="000000"/>
          <w:sz w:val="20"/>
          <w:lang w:val="en-US" w:eastAsia="en-US" w:bidi="ar-SA"/>
        </w:rPr>
        <w:t>Hopp</w:t>
      </w:r>
      <w:r>
        <w:rPr>
          <w:rFonts w:ascii="arial" w:eastAsia="arial" w:hAnsi="arial" w:cs="arial"/>
          <w:color w:val="000000"/>
          <w:sz w:val="20"/>
          <w:lang w:val="en-US" w:eastAsia="en-US" w:bidi="ar-SA"/>
        </w:rPr>
        <w:t xml:space="preserve"> explained the duty to disclose at p. 204: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surgeon need not go into every conceivable detail of a proposed operation so long as he describes its nature, unless the patient asks specific questions not by way of merely general inquiry, and, if so, those questions must be answered, although they invite answers to merely possible risks. If no specific questions are put as to possible risks, the surgeon is under no obligation (although he may do so) to tell the patient that there are possible risks since there are such risks in any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patient must be given an explanation of the surgical options, including the option of doing nothing: </w:t>
      </w:r>
      <w:r>
        <w:rPr>
          <w:rFonts w:ascii="arial" w:eastAsia="arial" w:hAnsi="arial" w:cs="arial"/>
          <w:b/>
          <w:i/>
          <w:color w:val="000000"/>
          <w:sz w:val="20"/>
          <w:lang w:val="en-US" w:eastAsia="en-US" w:bidi="ar-SA"/>
        </w:rPr>
        <w:t>Van Mol (Guardian ad litem of) v. Ashmore</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1999 BCCA 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Brock v. Anderson,</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2003 BCSC 1359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describing a given risk, the precise mechanism of injury need not be disclosed as long as the patient knows what the risk is: </w:t>
      </w:r>
      <w:r>
        <w:rPr>
          <w:rFonts w:ascii="arial" w:eastAsia="arial" w:hAnsi="arial" w:cs="arial"/>
          <w:b/>
          <w:i/>
          <w:color w:val="000000"/>
          <w:sz w:val="20"/>
          <w:lang w:val="en-US" w:eastAsia="en-US" w:bidi="ar-SA"/>
        </w:rPr>
        <w:t>Crnkovic v. Stockdill</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[1998] B.C.J. No. 3187</w:t>
        </w:r>
      </w:hyperlink>
      <w:r>
        <w:rPr>
          <w:rFonts w:ascii="arial" w:eastAsia="arial" w:hAnsi="arial" w:cs="arial"/>
          <w:color w:val="000000"/>
          <w:sz w:val="20"/>
          <w:lang w:val="en-US" w:eastAsia="en-US" w:bidi="ar-SA"/>
        </w:rPr>
        <w:t xml:space="preserve"> (S.C.) (QL) at para.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onus is on the plaintiff to prove on a balance of probabilities that the defendant breached her duty to disclose the risks of surgery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If a patient has not been given adequate disclosure, the court must determine what the patient would have done had he or she been given adequate disclosure. The Supreme Court of Canada established the test governing causation in </w:t>
      </w: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at p. 899: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average prudent person, the reasonable person in the patient's particular position, would agree to or not agree to, if all material and special risks of going ahead with the surgery or foregoing it were made known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It is a modified objective test "which asks whether a reasonable person in the circumstances of the plaintiff would have consented to the proposed treatment if all the risks had been disclosed": </w:t>
      </w:r>
      <w:r>
        <w:rPr>
          <w:rFonts w:ascii="arial" w:eastAsia="arial" w:hAnsi="arial" w:cs="arial"/>
          <w:b/>
          <w:i/>
          <w:color w:val="000000"/>
          <w:sz w:val="20"/>
          <w:lang w:val="en-US" w:eastAsia="en-US" w:bidi="ar-SA"/>
        </w:rPr>
        <w:t>Arndt v. Smith</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Finally, the plaintiff must establish that the risk or risks that were not explained to him caused the injuries for which compensation is sought. The onus is on the plaintiff to establish he would not have been injured if he had received a proper warning: </w:t>
      </w:r>
      <w:r>
        <w:rPr>
          <w:rFonts w:ascii="arial" w:eastAsia="arial" w:hAnsi="arial" w:cs="arial"/>
          <w:b/>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have concluded that the plaintiff failed to establish any of the components on the disclosure issue, so this aspect of his claim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will address separately each of the plaintiff's specific allegations relating to the disclosure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submits that the defendant did not disclose that the surgery carried with it a risk of blindness. He also contends that the defendant failed to inform him he had an increased risk of injury because of his five previous sinus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Resolution of the conflict as to whether the defendant disclosed these risks to the plaintiff depends upon a finding on the reliability of the parties' evidence. The remaining disclosure issues, discussed below, depend on the nature and extent of the defendant's disclosure requirements and whether, on the facts before me, she satisfied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find the defendant's evidence significantly more reliable than the plaintiff's. He was not a reliable historian. His evidence on the disclosure issue was internally inconsistent and much of it supports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Initially, the plaintiff said in direct examination that the defendant did not discuss any risks with him. In answer to a question from the Court as to whether the defendant described any risks, he replied, "No, absolutely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Under cross-examination, the plaintiff agreed the defendant showed him the CT scans, the location of his disease, and where she would be operating. He agreed she told him that because she was operating very close to the brain, there was a risk of injury to the brain. He believed she mentioned something about the risks of general anaesthetic. This was part of her standard informed consent discussion. I have no reason to find she only followed part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plaintiff's memory is not reliable. He cannot recall parts of his conversation with the defendant, parts of the examination, signing the consent form, and some of the complaints he made. The plaintiff has no memory at all of the pre-operative visit of November 22,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is the defendant's standard practice to describe the risk of blindness to patients. She also tells patients who have undergone previous sinus surgeries that the risk is greater because their disease tends to be worse and because their anatomy may be distorted from previous surgeries. The defendant has a standard practice she follows in obtaining a patient's informed consent and is "unfailingly certain" she disclosed these risks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 referred to her reporting letter to Dr. Mintz dated August 30, 1999, which states, "Risks, complications, indications and expectations were discussed with him and he is agreeable". This prior consistent statement is not admissible for the truth of its contents, but it is admissible to rebut the plaintiff's implicit allegation of recent fabrication or as part of the narrative. However, even without considering this note for any purpose, I clearly prefer the evidence of the defendant to that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accept the defendant's evidence that she is certain she disclosed the risk of blindness to the plaintiff, as well as his increased risk due to his previous surgeries, and I find that she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While it is unnecessary to do so, I find that even without adequate disclosure, a reasonable person in the plaintiff's particular circumstances would have proceeded with the treatment after being fully informed of all the attendant risks: </w:t>
      </w:r>
      <w:r>
        <w:rPr>
          <w:rFonts w:ascii="arial" w:eastAsia="arial" w:hAnsi="arial" w:cs="arial"/>
          <w:b/>
          <w:i/>
          <w:color w:val="000000"/>
          <w:sz w:val="20"/>
          <w:lang w:val="en-US" w:eastAsia="en-US" w:bidi="ar-SA"/>
        </w:rPr>
        <w:t>Diack</w:t>
      </w:r>
      <w:r>
        <w:rPr>
          <w:rFonts w:ascii="arial" w:eastAsia="arial" w:hAnsi="arial" w:cs="arial"/>
          <w:color w:val="000000"/>
          <w:sz w:val="20"/>
          <w:lang w:val="en-US" w:eastAsia="en-US" w:bidi="ar-SA"/>
        </w:rPr>
        <w:t xml:space="preserve"> at pp. 248-249. As the case law states, the plaintiff's testimony about what he would have done had the doctor given adequate warning is of little value: </w:t>
      </w:r>
      <w:r>
        <w:rPr>
          <w:rFonts w:ascii="arial" w:eastAsia="arial" w:hAnsi="arial" w:cs="arial"/>
          <w:b/>
          <w:i/>
          <w:color w:val="000000"/>
          <w:sz w:val="20"/>
          <w:lang w:val="en-US" w:eastAsia="en-US" w:bidi="ar-SA"/>
        </w:rPr>
        <w:t>Reibl</w:t>
      </w:r>
      <w:r>
        <w:rPr>
          <w:rFonts w:ascii="arial" w:eastAsia="arial" w:hAnsi="arial" w:cs="arial"/>
          <w:color w:val="000000"/>
          <w:sz w:val="20"/>
          <w:lang w:val="en-US" w:eastAsia="en-US" w:bidi="ar-SA"/>
        </w:rPr>
        <w:t xml:space="preserve"> at p. 898; </w:t>
      </w:r>
      <w:r>
        <w:rPr>
          <w:rFonts w:ascii="arial" w:eastAsia="arial" w:hAnsi="arial" w:cs="arial"/>
          <w:b/>
          <w:i/>
          <w:color w:val="000000"/>
          <w:sz w:val="20"/>
          <w:lang w:val="en-US" w:eastAsia="en-US" w:bidi="ar-SA"/>
        </w:rPr>
        <w:t>Arndt</w:t>
      </w:r>
      <w:r>
        <w:rPr>
          <w:rFonts w:ascii="arial" w:eastAsia="arial" w:hAnsi="arial" w:cs="arial"/>
          <w:color w:val="000000"/>
          <w:sz w:val="20"/>
          <w:lang w:val="en-US" w:eastAsia="en-US" w:bidi="ar-SA"/>
        </w:rPr>
        <w:t xml:space="preserve"> at para. 4. To accept his evidence on this issue would be to apply a subjective test based on hindsight.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agree with the submissions of the defendant which are properly grounded on the evidence and the law. The plaintiff was referred to the defendant, who had a sub-speciality in endoscopic sinus surgery, because his previous, more limited surgery had failed. The plaintiff agreed the purpose of the referral was for surgery. The evidence discloses that medication did not control his significant symptoms that he reported to the defendant on August 25,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Also, the risk of blindness was extremely low. Dr. Wright estimated the total cumulative risk was between 0.2 percent and 0.1 percent in his hands. The defendant said it was 1 in 1,000. Even after the plaintiff's previous surgeries, the defendant and Dr. Wright described the risk as very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find that the defendant did warn the plaintiff, and I make the reasonable inference that having had five previous surgeries, the plaintiff was also warned of the risks in the past. He consented despite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any event, even had he not been warned, the plaintiff still would have agreed to the surgery. The plaintiff said the defendant discussed the risk of brain injury and he proceeded in spite of that risk. It is reasonable to infer he would also have done so if warned of the risk of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Also, the plaintiff argues that the defendant breached her disclosure obligations when she failed to warn him of the risk of blindness by the specific mechanism of a central retinal artery occlusion. However, the plaintiff led no evidence that such a warning forms part of the standard of care. The defendant testified she did not warn the plaintiff of the risk of blindness by this specific mechanism because she had never heard of it. Dr. Wright testified that he had never heard of such a complication either and that such a warning is not part of the standard of care. He opined that in any event, a general warning of the risk of blindness would cover the risk of blindness by this particular mechanism. The defendant did warn generally of the risk of blindness. Her failure to warn the plaintiff of the risk of blindness due to a central retinal artery occlusion was not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says the defendant breached the standard of care because she did not suggest the possibility of using a local anaesthetic with monitored sedation. He led no evidence about whether this is part of the standard of care. Dr. Wright testified he does not offer this option but it is mentioned in a brochure he gives his patients. In his opinion, this option is only appropriate for limited surgeries and it would not have been appropriate for the plaintiff. He also noted that the plaintiff's injury would not have been prevented if the surgery had been performed in this manner since the likely cause of the occlusion was the injection of local anesthetic which would be required whether or not the plaintiff was under general sedation. I find the defendant's failure to discuss the option of monitored sedation was not a breach of the standard of care. In any event, this failure was not causative of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also alleges the defendant failed to disclose: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cocaine and epinephrine;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option of using Singulaire or Accolate as an alternative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evidence to support either of the above allegations that the defendant breached the standard of care. In fact, Dr. Wright opined that neither matter formed part of the defendant's disclosure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all the disclosure issues, I accept the evidence and arguments of the defendant. The defendant's arguments are well supported by the evidence and the law. The plaintiff's arguments are either against the weight of the evidence or inconsistent with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THE STANDARD OF CARE AND PERFORMANCE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leading case on the standard of care is the Supreme Court of Canada's decision in </w:t>
      </w:r>
      <w:r>
        <w:rPr>
          <w:rFonts w:ascii="arial" w:eastAsia="arial" w:hAnsi="arial" w:cs="arial"/>
          <w:b/>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Rand J. set out the duty a physician owes his patient at pp. 811-812: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surgeon by his ordinary engagement undertakes with the patient is that he possesses the skill, knowledge and judgment of the generality or average of the special group or class of technicians to which he belongs and will faithfully exercise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can be no more than this: Was the decision the result of the exercise of the surgical intelligence professed? Or was what was done such that, disregarding it may be the exceptional case or individual, in all the circumstances, at least the preponderant opinion of the group would have been against it? If a substantial opinion confirms it, there is no breach or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Wilson</w:t>
      </w:r>
      <w:r>
        <w:rPr>
          <w:rFonts w:ascii="arial" w:eastAsia="arial" w:hAnsi="arial" w:cs="arial"/>
          <w:color w:val="000000"/>
          <w:sz w:val="20"/>
          <w:lang w:val="en-US" w:eastAsia="en-US" w:bidi="ar-SA"/>
        </w:rPr>
        <w:t>, Abbott J. considered the standard of care that applies to a specialist. He held at p. 817 that to meet the standard of care a specialist must "have and exercise the degree of skill of an average specialist in his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Kapur v. Marshall</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(1978), 19 O.R. (2d) 478</w:t>
        </w:r>
      </w:hyperlink>
      <w:r>
        <w:rPr>
          <w:rFonts w:ascii="arial" w:eastAsia="arial" w:hAnsi="arial" w:cs="arial"/>
          <w:color w:val="000000"/>
          <w:sz w:val="20"/>
          <w:lang w:val="en-US" w:eastAsia="en-US" w:bidi="ar-SA"/>
        </w:rPr>
        <w:t xml:space="preserve"> (H.C.J.), a patient underwent spinal disc surgery performed by the defendant neurosurgeon. An artery was lacerated during the procedure, with the result that the patient hemorrhaged and died. The court dismissed the action brought by the surviving widow because the defendant surgeon had conducted the surgery in accordance with the standard of care. Robins J. stated at p. 484: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accident happened in this case, when it so rarely does happen, does not compel, as in effect was argued,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 unfavourable result is not synonymous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surgeon is not an insurer. He undertakes only to provide the standard of skill and care possessed generally by others practicing in his field in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passage was cited with approval in </w:t>
      </w:r>
      <w:r>
        <w:rPr>
          <w:rFonts w:ascii="arial" w:eastAsia="arial" w:hAnsi="arial" w:cs="arial"/>
          <w:b/>
          <w:i/>
          <w:color w:val="000000"/>
          <w:sz w:val="20"/>
          <w:lang w:val="en-US" w:eastAsia="en-US" w:bidi="ar-SA"/>
        </w:rPr>
        <w:t>Patterson v. De La Bastide,</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[1983] O.J. No. 493</w:t>
        </w:r>
      </w:hyperlink>
      <w:r>
        <w:rPr>
          <w:rFonts w:ascii="arial" w:eastAsia="arial" w:hAnsi="arial" w:cs="arial"/>
          <w:color w:val="000000"/>
          <w:sz w:val="20"/>
          <w:lang w:val="en-US" w:eastAsia="en-US" w:bidi="ar-SA"/>
        </w:rPr>
        <w:t xml:space="preserve"> (H.C.J.) (QL) where the court held the defendant, a specialist in otolaryngology, did not breach the standard of care he owed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Where there is an allegation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clearly and cogently satisfy the elements required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the court discussed in detail the law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Sopinka J., speaking for the court on this point, stated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held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a general rule, where a procedure involves difficult or uncertain questions of medical treatment or complex, scientific or highly technical matters that are beyond the ordinary experience and understanding of a judge or jury, it will not be open to find a standard medical practice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This Court must decide whether the defendant acted in accordance with standard medical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parties agree the plaintiff's unilateral vision loss was the result of diffusion of a vasoconstrictive agent to the right central retinal artery, causing vasospasm to that artery and a restriction of blood flow, leading to the plaintiff's vision loss. The conflict centers on which vasoconstrictive agent caused the vasospasm: cocaine, epinephrine, or a combination of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plaintiff's position is that the cocaine, or a combination of the cocaine and epinephrine, caused his blindness. He argues the dose of cocaine administered was more than double the safe dose. He relies on the defendant's evidence that during the surgery she had available to her two bottles of a 10 percent cocaine solution, each containing 300 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Rose, the plaintiff's expert, testified that 200 mg of cocaine is the maximum safe dose for a person who weighs 70 kg; this means that a safe dose is approximately two to three mg of cocaine per kg of weight. Based on his opinion, the safe dose for the plaintiff, who weighed 65 kg when he had the surgery, was 195 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accept the defendant's testimony that she used the first bottle of cocaine solution on cotton pledgets, which she wrung out, leaving 200 mg on the pledgets. She administered these pledgets to the plaintiff. She is unsure whether she used the second bottle, but thinks it unlikely. She agrees it was available to her, but has no record of administering it. She might have used it if there had been excessive bleeding. In this case, there was no excessive bleeding. Dr. Harriman's testimony supports this recollection. However, had she used the second bottle, she would also have wrung out the new pledgets, resulting in the administration of another 200 mg of the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relies on Dr. Rose's opinion that once the wrung-out pledgets were inserted into the nose, approximately 30 percent of the solution was retained by the pledgets. Therefore, approximately 140 mg of the solution was absorbed by the plaintiff when the first pledgets were inserted. If the second set of pledgets was also inserted, the plaintiff would have absorbed an additional 140 mg. Under this scenario, the plaintiff would have absorbed 280 mg of the cocaine solution, greater than the maximum recommended dose of 195 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However, I accept the evidence called by the defendant that the cocaine did not cause the plaintiff's injury. Instead, I find the injection of epinephrine caused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But I also reject the plaintiff's position as to the amount of cocaine he absorbed for these reasons. Dr. Rose's evidence was confusing when he said the plaintiff's nasal tissues were "exposed" to 280 mg of cocaine, assuming a second set of pledgets was inserted into his nose. He later said this was the amount "available", and that it was greater than the maximum recommended dose. Dr. Rose was an unreliable witness. This was not, as the plaintiff suggested, because he testified via video link. Instead, it was in part because under cross-examination, he clearly admitted that the maximum dose, in this context, is indeed the amount that "can be absorbed" systemically.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his report of October 8, 2006 Dr. Rose listed as pertinent the Liao Study, a medical study which stated when applied topically through cotton pledgets, approximately 32 to 38 percent of the total amount of applied cocaine is absorbed. Therefore, at an absorption rate of 38 percent, the plaintiff would have absorbed 76 mg of the 200 mg administered. If the defendant administered another 200 mg of the solution as the plaintiff contends, the total amount of cocaine solution absorbed would have been 152 mg, well within Dr. Rose's maximum safe recommended dose of 195 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Interestingly, Dr. Rose initially said this article did not apply in the situation before the Court as the study involved mucosa that was not diseased. However, in re-examination, he testified that the absorption rate with diseased tissue is unknown. He certainly did not suggest that the absorption rate would be significantly different. In the end, Dr. Rose did not provide any reliable evidence that the defendant breached her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Wright agreed the Liao Study was based on normal, rather than diseased, mucosa and was therefore different from the plaintiff's condition. Dr. Wright accepted the opinion of the authors of the study, saying the literature showed the plaintiff would have absorbed only one-third of what remained on the pledgets after being wrung out. He testified arguments could be made to support either argument: that diseased mucosa absorbs more, or less, cocaine. The amount absorbed could even be the same as that of healthy mucosa.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find the defendant's experts, Drs. Wright and Lindley, were significantly better qualified than Dr. Rose to express their opinions on the issues. Their evidence, unlike his, was internally consistent. The defendant's expert evidence was of a higher quality than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draw the reasonable inference that the second dose of cocaine solution was not administered, and find the plaintiff absorbed 76 mg of the solution. But even if the second dose were administered, the plaintiff absorbed a maximum of 152 mg. This is well within the maximum safe recommended dosage.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any case, it is unnecessary to consider whether the defendant's use of the cocaine breached the standard of care because I find on the evidence that the cocaine solution did not cause the plaintiff's injury. Instead the injury was caused by the injection of epinephrine, based on the opinions of the experts, Drs. Wright and Lindley. Each physician opined that the injected epinephrine was a more likely cause of the vasospasm and the injury because it penetrated deeper into the tissue than the topically applied cocaine.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Dr. Rose, addressing causation in regard to dosage, relied on the </w:t>
      </w:r>
      <w:r>
        <w:rPr>
          <w:rFonts w:ascii="arial" w:eastAsia="arial" w:hAnsi="arial" w:cs="arial"/>
          <w:i/>
          <w:color w:val="000000"/>
          <w:sz w:val="20"/>
          <w:lang w:val="en-US" w:eastAsia="en-US" w:bidi="ar-SA"/>
        </w:rPr>
        <w:t>assumed</w:t>
      </w:r>
      <w:r>
        <w:rPr>
          <w:rFonts w:ascii="arial" w:eastAsia="arial" w:hAnsi="arial" w:cs="arial"/>
          <w:color w:val="000000"/>
          <w:sz w:val="20"/>
          <w:lang w:val="en-US" w:eastAsia="en-US" w:bidi="ar-SA"/>
        </w:rPr>
        <w:t xml:space="preserve"> opinion of the plaintiff's treating ophthalmologist, Dr. Wade, which was not before the Court, that an embolism or seepage into the orbit, caused the injury. Dr. Lindley, however, said there was no embolus as Dr. Wade suggested. Dr. Rose's opinion is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Dr. Rose concluded the proximate cause of the retrograde flow or seepage was a clear excess of vasoconstrictive agents. However, he agreed that these agents are required in this surgery. He said the issue is whether the defendant used them appropriately and in accordance with standard practice. Significantly, Dr. Rose did not say </w:t>
      </w:r>
      <w:r>
        <w:rPr>
          <w:rFonts w:ascii="arial" w:eastAsia="arial" w:hAnsi="arial" w:cs="arial"/>
          <w:i/>
          <w:color w:val="000000"/>
          <w:sz w:val="20"/>
          <w:lang w:val="en-US" w:eastAsia="en-US" w:bidi="ar-SA"/>
        </w:rPr>
        <w:t>which</w:t>
      </w:r>
      <w:r>
        <w:rPr>
          <w:rFonts w:ascii="arial" w:eastAsia="arial" w:hAnsi="arial" w:cs="arial"/>
          <w:color w:val="000000"/>
          <w:sz w:val="20"/>
          <w:lang w:val="en-US" w:eastAsia="en-US" w:bidi="ar-SA"/>
        </w:rPr>
        <w:t xml:space="preserve"> of the vasoconstrictive agents caused the injury. This is important because he is only critical of the dose of cocaine. Dr. Rose admitted the concentration and dose of epinephrine used were part of the standard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Wright, whose evidence I accept, opined that the most likely cause of the occlusion was the injection of epinephrine, rather than the application of the topical cocaine, because the cocaine was applied in large part pre-operatively when the polyps had not yet been removed. The polypoid tissue, which was removed, would have absorbed much of the cocaine. The cocaine patties would initially have been on polypoid tissue which acted as a barrier between them and the structures close to the eye. The epinephrine was administered more closely than the cocaine. Further, the irritant effect of the injection itself may have caused vasospasm.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Lindley's opinion was that the occlusion was most probably caused by local diffusion of the vasoconstrictive agents, cocaine and/or the epinephrine, citing the five previous procedures, distorted anatomy, and the anatomic proximity of the ophthalmic artery to the ethmoid sinuses. She opined that if injected, a certain amount of diffusion of this substance will occur within the soft tissues into which the needle is placed. With distorted anatomy, the substance may diffuse into the orbital area close to the ophthalmic artery, in the back of the orbit, triggering spasm of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Because Dr. Lindley cannot be certain how far the effect of topically applied 10 percent cocaine permeates local tissues, her opinion is the epinephrine injection was "the more likely cause for spasm" of the ophthalmic artery, and the occlusion of the central retinal artery. I accept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also asserts the defendant failed to satisfy the standard of care by using cocaine and epinephrine together. He says the combination was toxic. The plaintiff relies on Dr. Rose's opinion that the dose of cocaine would have intensified the effect of the epinephrine.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However, the evidence shows that it was, and is, standard practice to use cocaine and epinephrine in combination. While all the experts agree that cocaine can potentiate the systemic effect of epinephrine, the timing of the dosage is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injury occurred to the plaintiff's right eye. The defendant performed the procedure on the plaintiff's left side first, and finished with the right side. If she placed new cocaine pledgets on the right, which she probably did not, they would have only been placed on the raw surgical bed for about five minutes before the right pledgets would have been removed and the nose packed with Gelfoam. Therefore, the temporal opportunity for contact between the cocaine and the raw surgical bed, and between the cocaine and the epinephrine, and deep absorption in proximity to where the injury occurred, was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says the defendant used an improper dosage of xylocaine with the epinephrine. There was some dispute about the dosage administered due to a mistake Dr. Harriman admitted making in her procedure report. However, the xylocaine concentration is not relevant because it has no vasoconstrictive properties and could not have caused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argues the defendant used more than the safe maximum dose of epinephrine. Dr. Rose held that, based on the 20 cc's of 2 percent xylocaine with 1:100,000 epinephrine that was, according to the operating nurse's notes, available to the defendant, the plaintiff was injected with approximately four times the necessary amount of epinephrine. But this is not accurate because the defendant used a 10 cc syringe to draw up between 5 to 7 cc's of the epinephrine, and injected only 2 to 3 cc's in each side of the plaintiff's nose. Therefore, only approximately 5 of the available 20 cc's were injected into the plaintiff's nose. This dispels Dr. Rose's position that the defendant used four times the amount necessary. Dr. Wright opined that use of 5 cc's was within the standard of care. Dr. Rose was not critical of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 also alleges that the defendant failed to refer the plaintiff to ophthalmology quickly enough. He says the length of time that passed between his report to the nurse that he could not see out of his right eye and his arrival at ophthalmology increased his risk of irreversible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But the plaintiff did not lead any expert evidence that the defendant did not meet the standard care in the timeliness of her referral. There is no evidence an earlier consultation would have made a difference to his outcome. Dr. Lindley testified it is unlikely that earlier intervention would have made a difference. Dr. Harriman testified the response to the plaintiff's condition was as fast as possible. Dr. Wright opined that the defendant's referral to the attending ophthalmologist was timely and appropriate. I accept the evidence of the defendant's witnesses. The plaintiff's condition was properly addressed as an emergency, and handled as soon as possible in a hospital setting. Indeed, Dr. Harriman testified they were fortunate to have an eye clinic right on the hospital premises, unlike most hospitals. There is utterly no evidence to support the contention that the defendant's response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submits that the defendant should have considered that he had been mugged the week prior to surgery. He says he had elevated levels of adrenaline in his body as a result of the mugging. However, the plaintiff led no evidence to support his assertion. Dr. Wright opined that there is no basis for the plaintiff's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plaintiff also argues that the defendant should have monitored his eyes during the surgery. Again, the plaintiff did not lead any evidence about whether this forms part of the standard of care, or whether such monitoring would have detected a central retinal artery occlusion. I find on the evidence that, at the time, it was not the standard practice to use image guidance technology. Dr. Wright's opinion is consistent with the defendant's evidence on this point.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defendant's position on every issue in this case is supported by the evidence, the applicable law and consistent with my assessment of the reliability of the witnesses, including the parties. The injected epinephrine was a more likely cause of the vasospasm and resulting injury because it penetrated more deeply into the tissue than the topically applied cocaine solution. I accept the opinions of Drs. Wright and Lindley and find the injection of epinephrine caused the injury. I find that the defendant was not negligent in the manner in which she performed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Allegations of Trial Unfairness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 complained several times that this trial was unfair because he was self-represented. In early May 2008, Pitfield J. denied the plaintiff a third adjournment to accommodate a new lawyer. That decision was made after hearing a detailed history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made every effort to explain trial procedure to the plaintiff, and the basis for specific evidentiary rulings. Counsel for the defendant was most restrained in their number of objections and took a generous approach to the plaintiff's conduct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any event, the plaintiff is an intelligent and articulate man. He clearly explained his position and was assisted in tendering his evidence before the Court. Eight and a half years passed between the surgery and this trial. His evidence would not have improved given more time. I am satisfied that the plaintiff received a fair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find the defendant did not breach the standard of care. The plaintiff's claims are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A.W. 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Mann (Next friend of) v. Burnaby General Hospital, [2001] B.C.J. No. 1342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Baker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16 - 19, 29 - 31, June 1, 2, 5, 6 and 19,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28,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A963831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1342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961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106 A.C.W.S. (3d) 355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B.C.T.C. 961</w:t>
      </w:r>
    </w:p>
    <w:p>
      <w:pPr>
        <w:spacing w:before="120" w:line="260" w:lineRule="atLeast"/>
        <w:rPr>
          <w:lang w:val="en-US" w:eastAsia="en-US" w:bidi="ar-SA"/>
        </w:rPr>
      </w:pPr>
      <w:r>
        <w:rPr>
          <w:rFonts w:ascii="arial" w:eastAsia="arial" w:hAnsi="arial" w:cs="arial"/>
          <w:color w:val="000000"/>
          <w:sz w:val="20"/>
          <w:lang w:val="en-US" w:eastAsia="en-US" w:bidi="ar-SA"/>
        </w:rPr>
        <w:t>Between David Andrew Mann, an infant, by his next friend, Toby Diane Mann, and Toby Diane Mann in her personal capacity, and Mark Westerhof, plaintiffs, and Burnaby General Hospital, R.T. Richards, B. Hauck, Sharon Low, John Doe and Janet Doe,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(233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0" style="position:absolute;z-index:25167155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64" w:name="Keywords_11"/>
      <w:bookmarkEnd w:id="164"/>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Standard of care, particular persons and relationships — Medical doctors and medical personnel — Duty of care — Whether the defendant took reasonable care — Defences — Consent — Duty of care, particular relationships — Claims for prenatal injuries.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65" w:name="Case Summary_10"/>
            <w:bookmarkEnd w:id="16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Mann family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an obstetrician, attending nurses, and the Burnaby General Hospital for injuries suffered by an infant during birth. The Manns contended that the obstetrician was negligent in: attempting to induce labour while he was uncertain of the mother's due date; failing to order ultrasound or remain at the hospital during induction of labour; failing to arrange for availability of a caesarean section on ten to 15 minutes notice; failing to explain to the mother the risks of the induction or alternatives to it; failing to ensure that the mother's consent to induction was informed. The Manns also alleged that the nurses acted negligently in assisting in the induction, and in increasing the dosage of oxytocin which caused it. The mother herself was unsure of the time of conception and the obstetrician was concerned that she was already two weeks past full term. The obstetrician stated that he followed his usual practice in explaining induction and waited 30 minutes to see if the oxytocin acted unusually by taking immediate effect. As it was late at night, the operating room had shut down, which also was normal procedure. After performing a pelvic examination, the obstetrician decided to induce labour and left instructions with the nursing staff. The original dosage of oxytocin failed to induce labour, but after 90 minutes the nurses increased the dosage and labour began. During birth the infant suffered cerebral palsy and other neurological problems due to prolapse of the umbilical cord. </w:t>
            </w:r>
            <w:r>
              <w:rPr>
                <w:lang w:val="en-US" w:eastAsia="en-US" w:bidi="ar-SA"/>
              </w:rPr>
              <w:cr/>
            </w:r>
          </w:p>
          <w:p>
            <w:pPr>
              <w:spacing w:before="120" w:line="260" w:lineRule="atLeast"/>
              <w:ind w:left="240"/>
              <w:jc w:val="both"/>
              <w:rPr>
                <w:lang w:val="en-US" w:eastAsia="en-US" w:bidi="ar-SA"/>
              </w:rPr>
            </w:pPr>
            <w:bookmarkStart w:id="166" w:name="Holdings of Court_7"/>
            <w:bookmarkEnd w:id="166"/>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None of the defendant health-care workers acted negligently. There was ample evidence to show that the mother was past her expected due date and that the child had begun its progress into the birth canal before induction. By following his standard procedures, the obstetrician did not fall below the standard required of a reasonably competent and prudent obstetrician. His decision to induce labour was prudent in the circumstances, and it did not eventuate any harm in itself. Absent signs of unusual risk, it was not the standard of care for a physician to remain at the hospital during oxytocin induction. Neither did the standard of care require availability of surgery within ten to 15 minutes. The nurses acted reasonably and within the standards applicable to their profession. They were not required to countermand the obstetrician's orders in the circumstances. </w:t>
            </w:r>
            <w:r>
              <w:rPr>
                <w:lang w:val="en-US" w:eastAsia="en-US" w:bidi="ar-SA"/>
              </w:rPr>
              <w:cr/>
            </w:r>
          </w:p>
          <w:p>
            <w:pPr>
              <w:rPr>
                <w:lang w:val="en-US" w:eastAsia="en-US" w:bidi="ar-SA"/>
              </w:rPr>
            </w:pPr>
          </w:p>
        </w:tc>
      </w:tr>
    </w:tbl>
    <w:p>
      <w:pPr>
        <w:spacing w:line="260" w:lineRule="atLeast"/>
        <w:jc w:val="both"/>
        <w:rPr>
          <w:lang w:val="en-US" w:eastAsia="en-US" w:bidi="ar-SA"/>
        </w:rPr>
      </w:pPr>
      <w:bookmarkStart w:id="167" w:name="Cases Cited"/>
      <w:bookmarkEnd w:id="167"/>
      <w:r>
        <w:rPr>
          <w:lang w:val="en-US" w:eastAsia="en-US" w:bidi="ar-SA"/>
        </w:rPr>
        <w:br/>
      </w:r>
      <w:r>
        <w:rPr>
          <w:rFonts w:ascii="arial" w:eastAsia="arial" w:hAnsi="arial" w:cs="arial"/>
          <w:color w:val="000000"/>
          <w:sz w:val="20"/>
          <w:lang w:val="en-US" w:eastAsia="en-US" w:bidi="ar-SA"/>
        </w:rPr>
        <w:t>Authorities: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Anderson v. Chasney, </w:t>
      </w:r>
      <w:hyperlink r:id="rId305" w:history="1">
        <w:r>
          <w:rPr>
            <w:rFonts w:ascii="arial" w:eastAsia="arial" w:hAnsi="arial" w:cs="arial"/>
            <w:i/>
            <w:color w:val="0077CC"/>
            <w:sz w:val="20"/>
            <w:u w:val="single"/>
            <w:shd w:val="clear" w:color="auto" w:fill="FFFFFF"/>
            <w:lang w:val="en-US" w:eastAsia="en-US" w:bidi="ar-SA"/>
          </w:rPr>
          <w:t>[1949] 4 D.L.R. 71</w:t>
        </w:r>
      </w:hyperlink>
      <w:r>
        <w:rPr>
          <w:rFonts w:ascii="arial" w:eastAsia="arial" w:hAnsi="arial" w:cs="arial"/>
          <w:color w:val="000000"/>
          <w:sz w:val="20"/>
          <w:lang w:val="en-US" w:eastAsia="en-US" w:bidi="ar-SA"/>
        </w:rPr>
        <w:t xml:space="preserve"> (Man.C.A.), affirmed </w:t>
      </w:r>
      <w:hyperlink r:id="rId306" w:history="1">
        <w:r>
          <w:rPr>
            <w:rFonts w:ascii="arial" w:eastAsia="arial" w:hAnsi="arial" w:cs="arial"/>
            <w:i/>
            <w:color w:val="0077CC"/>
            <w:sz w:val="20"/>
            <w:u w:val="single"/>
            <w:shd w:val="clear" w:color="auto" w:fill="FFFFFF"/>
            <w:lang w:val="en-US" w:eastAsia="en-US" w:bidi="ar-SA"/>
          </w:rPr>
          <w:t>[1950] 4 D.L.R. 223</w:t>
        </w:r>
      </w:hyperlink>
      <w:r>
        <w:rPr>
          <w:rFonts w:ascii="arial" w:eastAsia="arial" w:hAnsi="arial" w:cs="arial"/>
          <w:color w:val="000000"/>
          <w:sz w:val="20"/>
          <w:lang w:val="en-US" w:eastAsia="en-US" w:bidi="ar-SA"/>
        </w:rPr>
        <w:t xml:space="preserve"> (SCC).</w:t>
      </w:r>
    </w:p>
    <w:p>
      <w:pPr>
        <w:spacing w:line="260" w:lineRule="atLeast"/>
        <w:jc w:val="both"/>
        <w:rPr>
          <w:lang w:val="en-US" w:eastAsia="en-US" w:bidi="ar-SA"/>
        </w:rPr>
      </w:pPr>
      <w:r>
        <w:rPr>
          <w:rFonts w:ascii="arial" w:eastAsia="arial" w:hAnsi="arial" w:cs="arial"/>
          <w:color w:val="000000"/>
          <w:sz w:val="20"/>
          <w:lang w:val="en-US" w:eastAsia="en-US" w:bidi="ar-SA"/>
        </w:rPr>
        <w:t xml:space="preserve">Arndt v. Smither, </w:t>
      </w:r>
      <w:hyperlink r:id="rId292"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rFonts w:ascii="arial" w:eastAsia="arial" w:hAnsi="arial" w:cs="arial"/>
          <w:color w:val="000000"/>
          <w:sz w:val="20"/>
          <w:lang w:val="en-US" w:eastAsia="en-US" w:bidi="ar-SA"/>
        </w:rPr>
        <w:t xml:space="preserve">Arnold v. Teno, </w:t>
      </w:r>
      <w:hyperlink r:id="rId307" w:history="1">
        <w:r>
          <w:rPr>
            <w:rFonts w:ascii="arial" w:eastAsia="arial" w:hAnsi="arial" w:cs="arial"/>
            <w:i/>
            <w:color w:val="0077CC"/>
            <w:sz w:val="20"/>
            <w:u w:val="single"/>
            <w:shd w:val="clear" w:color="auto" w:fill="FFFFFF"/>
            <w:lang w:val="en-US" w:eastAsia="en-US" w:bidi="ar-SA"/>
          </w:rPr>
          <w:t>(1978) 83 D.L.R. (3d) 609</w:t>
        </w:r>
      </w:hyperlink>
      <w:r>
        <w:rPr>
          <w:rFonts w:ascii="arial" w:eastAsia="arial" w:hAnsi="arial" w:cs="arial"/>
          <w:color w:val="000000"/>
          <w:sz w:val="20"/>
          <w:lang w:val="en-US" w:eastAsia="en-US" w:bidi="ar-SA"/>
        </w:rPr>
        <w:t xml:space="preserve"> (SCC).</w:t>
      </w:r>
    </w:p>
    <w:p>
      <w:pPr>
        <w:spacing w:line="260" w:lineRule="atLeast"/>
        <w:jc w:val="both"/>
        <w:rPr>
          <w:lang w:val="en-US" w:eastAsia="en-US" w:bidi="ar-SA"/>
        </w:rPr>
      </w:pPr>
      <w:r>
        <w:rPr>
          <w:rFonts w:ascii="arial" w:eastAsia="arial" w:hAnsi="arial" w:cs="arial"/>
          <w:color w:val="000000"/>
          <w:sz w:val="20"/>
          <w:lang w:val="en-US" w:eastAsia="en-US" w:bidi="ar-SA"/>
        </w:rPr>
        <w:t xml:space="preserve">Audet (Guardian ad litem of) v. Bates, </w:t>
      </w:r>
      <w:hyperlink r:id="rId308" w:history="1">
        <w:r>
          <w:rPr>
            <w:rFonts w:ascii="arial" w:eastAsia="arial" w:hAnsi="arial" w:cs="arial"/>
            <w:i/>
            <w:color w:val="0077CC"/>
            <w:sz w:val="20"/>
            <w:u w:val="single"/>
            <w:shd w:val="clear" w:color="auto" w:fill="FFFFFF"/>
            <w:lang w:val="en-US" w:eastAsia="en-US" w:bidi="ar-SA"/>
          </w:rPr>
          <w:t>[1998] B.C.J. No. 678</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rFonts w:ascii="arial" w:eastAsia="arial" w:hAnsi="arial" w:cs="arial"/>
          <w:color w:val="000000"/>
          <w:sz w:val="20"/>
          <w:lang w:val="en-US" w:eastAsia="en-US" w:bidi="ar-SA"/>
        </w:rPr>
        <w:t xml:space="preserve">Badger v. Surkan </w:t>
      </w:r>
      <w:hyperlink r:id="rId309" w:history="1">
        <w:r>
          <w:rPr>
            <w:rFonts w:ascii="arial" w:eastAsia="arial" w:hAnsi="arial" w:cs="arial"/>
            <w:i/>
            <w:color w:val="0077CC"/>
            <w:sz w:val="20"/>
            <w:u w:val="single"/>
            <w:shd w:val="clear" w:color="auto" w:fill="FFFFFF"/>
            <w:lang w:val="en-US" w:eastAsia="en-US" w:bidi="ar-SA"/>
          </w:rPr>
          <w:t>(1970) 16 D.L.R. (3d) 146</w:t>
        </w:r>
      </w:hyperlink>
      <w:r>
        <w:rPr>
          <w:rFonts w:ascii="arial" w:eastAsia="arial" w:hAnsi="arial" w:cs="arial"/>
          <w:color w:val="000000"/>
          <w:sz w:val="20"/>
          <w:lang w:val="en-US" w:eastAsia="en-US" w:bidi="ar-SA"/>
        </w:rPr>
        <w:t xml:space="preserve"> (Sask.Q.B.).</w:t>
      </w:r>
    </w:p>
    <w:p>
      <w:pPr>
        <w:spacing w:line="260" w:lineRule="atLeast"/>
        <w:jc w:val="both"/>
        <w:rPr>
          <w:lang w:val="en-US" w:eastAsia="en-US" w:bidi="ar-SA"/>
        </w:rPr>
      </w:pPr>
      <w:r>
        <w:rPr>
          <w:rFonts w:ascii="arial" w:eastAsia="arial" w:hAnsi="arial" w:cs="arial"/>
          <w:color w:val="000000"/>
          <w:sz w:val="20"/>
          <w:lang w:val="en-US" w:eastAsia="en-US" w:bidi="ar-SA"/>
        </w:rPr>
        <w:t xml:space="preserve">Belknap v. Meakes </w:t>
      </w:r>
      <w:hyperlink r:id="rId310"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(B.C.C.A.).</w:t>
      </w:r>
    </w:p>
    <w:p>
      <w:pPr>
        <w:spacing w:line="260" w:lineRule="atLeast"/>
        <w:jc w:val="both"/>
        <w:rPr>
          <w:lang w:val="en-US" w:eastAsia="en-US" w:bidi="ar-SA"/>
        </w:rPr>
      </w:pPr>
      <w:r>
        <w:rPr>
          <w:rFonts w:ascii="arial" w:eastAsia="arial" w:hAnsi="arial" w:cs="arial"/>
          <w:color w:val="000000"/>
          <w:sz w:val="20"/>
          <w:lang w:val="en-US" w:eastAsia="en-US" w:bidi="ar-SA"/>
        </w:rPr>
        <w:t xml:space="preserve">Briffett v. Gander and District Hospital, </w:t>
      </w:r>
      <w:hyperlink r:id="rId311" w:history="1">
        <w:r>
          <w:rPr>
            <w:rFonts w:ascii="arial" w:eastAsia="arial" w:hAnsi="arial" w:cs="arial"/>
            <w:i/>
            <w:color w:val="0077CC"/>
            <w:sz w:val="20"/>
            <w:u w:val="single"/>
            <w:shd w:val="clear" w:color="auto" w:fill="FFFFFF"/>
            <w:lang w:val="en-US" w:eastAsia="en-US" w:bidi="ar-SA"/>
          </w:rPr>
          <w:t>[1996] N.J. No. 34</w:t>
        </w:r>
      </w:hyperlink>
      <w:r>
        <w:rPr>
          <w:rFonts w:ascii="arial" w:eastAsia="arial" w:hAnsi="arial" w:cs="arial"/>
          <w:color w:val="000000"/>
          <w:sz w:val="20"/>
          <w:lang w:val="en-US" w:eastAsia="en-US" w:bidi="ar-SA"/>
        </w:rPr>
        <w:t xml:space="preserve"> (Nfld.C.A.)</w:t>
      </w:r>
    </w:p>
    <w:p>
      <w:pPr>
        <w:spacing w:line="260" w:lineRule="atLeast"/>
        <w:jc w:val="both"/>
        <w:rPr>
          <w:lang w:val="en-US" w:eastAsia="en-US" w:bidi="ar-SA"/>
        </w:rPr>
      </w:pPr>
      <w:r>
        <w:rPr>
          <w:rFonts w:ascii="arial" w:eastAsia="arial" w:hAnsi="arial" w:cs="arial"/>
          <w:color w:val="000000"/>
          <w:sz w:val="20"/>
          <w:lang w:val="en-US" w:eastAsia="en-US" w:bidi="ar-SA"/>
        </w:rPr>
        <w:t xml:space="preserve">Brimacombe v. Mathews, </w:t>
      </w:r>
      <w:hyperlink r:id="rId312" w:history="1">
        <w:r>
          <w:rPr>
            <w:rFonts w:ascii="arial" w:eastAsia="arial" w:hAnsi="arial" w:cs="arial"/>
            <w:i/>
            <w:color w:val="0077CC"/>
            <w:sz w:val="20"/>
            <w:u w:val="single"/>
            <w:shd w:val="clear" w:color="auto" w:fill="FFFFFF"/>
            <w:lang w:val="en-US" w:eastAsia="en-US" w:bidi="ar-SA"/>
          </w:rPr>
          <w:t>[1999] B.C.J. No. 90</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rFonts w:ascii="arial" w:eastAsia="arial" w:hAnsi="arial" w:cs="arial"/>
          <w:color w:val="000000"/>
          <w:sz w:val="20"/>
          <w:lang w:val="en-US" w:eastAsia="en-US" w:bidi="ar-SA"/>
        </w:rPr>
        <w:t xml:space="preserve">Bucknam v. Kostuik </w:t>
      </w:r>
      <w:hyperlink r:id="rId313" w:history="1">
        <w:r>
          <w:rPr>
            <w:rFonts w:ascii="arial" w:eastAsia="arial" w:hAnsi="arial" w:cs="arial"/>
            <w:i/>
            <w:color w:val="0077CC"/>
            <w:sz w:val="20"/>
            <w:u w:val="single"/>
            <w:shd w:val="clear" w:color="auto" w:fill="FFFFFF"/>
            <w:lang w:val="en-US" w:eastAsia="en-US" w:bidi="ar-SA"/>
          </w:rPr>
          <w:t>(1983) 44 O.R. (2d) 102</w:t>
        </w:r>
      </w:hyperlink>
      <w:r>
        <w:rPr>
          <w:rFonts w:ascii="arial" w:eastAsia="arial" w:hAnsi="arial" w:cs="arial"/>
          <w:color w:val="000000"/>
          <w:sz w:val="20"/>
          <w:lang w:val="en-US" w:eastAsia="en-US" w:bidi="ar-SA"/>
        </w:rPr>
        <w:t xml:space="preserve"> (Ont. H.Ct.).</w:t>
      </w:r>
    </w:p>
    <w:p>
      <w:pPr>
        <w:spacing w:line="260" w:lineRule="atLeast"/>
        <w:jc w:val="both"/>
        <w:rPr>
          <w:lang w:val="en-US" w:eastAsia="en-US" w:bidi="ar-SA"/>
        </w:rPr>
      </w:pPr>
      <w:r>
        <w:rPr>
          <w:rFonts w:ascii="arial" w:eastAsia="arial" w:hAnsi="arial" w:cs="arial"/>
          <w:color w:val="000000"/>
          <w:sz w:val="20"/>
          <w:lang w:val="en-US" w:eastAsia="en-US" w:bidi="ar-SA"/>
        </w:rPr>
        <w:t xml:space="preserve">Challand v. Bell, </w:t>
      </w:r>
      <w:hyperlink r:id="rId314" w:history="1">
        <w:r>
          <w:rPr>
            <w:rFonts w:ascii="arial" w:eastAsia="arial" w:hAnsi="arial" w:cs="arial"/>
            <w:i/>
            <w:color w:val="0077CC"/>
            <w:sz w:val="20"/>
            <w:u w:val="single"/>
            <w:shd w:val="clear" w:color="auto" w:fill="FFFFFF"/>
            <w:lang w:val="en-US" w:eastAsia="en-US" w:bidi="ar-SA"/>
          </w:rPr>
          <w:t>(1959) 18 D.L.R. (2d) 150</w:t>
        </w:r>
      </w:hyperlink>
      <w:r>
        <w:rPr>
          <w:rFonts w:ascii="arial" w:eastAsia="arial" w:hAnsi="arial" w:cs="arial"/>
          <w:color w:val="000000"/>
          <w:sz w:val="20"/>
          <w:lang w:val="en-US" w:eastAsia="en-US" w:bidi="ar-SA"/>
        </w:rPr>
        <w:t xml:space="preserve"> (Alta.Q.B.).</w:t>
      </w:r>
    </w:p>
    <w:p>
      <w:pPr>
        <w:spacing w:line="260" w:lineRule="atLeast"/>
        <w:jc w:val="both"/>
        <w:rPr>
          <w:lang w:val="en-US" w:eastAsia="en-US" w:bidi="ar-SA"/>
        </w:rPr>
      </w:pPr>
      <w:r>
        <w:rPr>
          <w:rFonts w:ascii="arial" w:eastAsia="arial" w:hAnsi="arial" w:cs="arial"/>
          <w:color w:val="000000"/>
          <w:sz w:val="20"/>
          <w:lang w:val="en-US" w:eastAsia="en-US" w:bidi="ar-SA"/>
        </w:rPr>
        <w:t xml:space="preserve">Chattu v. Pankratz </w:t>
      </w:r>
      <w:hyperlink r:id="rId315" w:history="1">
        <w:r>
          <w:rPr>
            <w:rFonts w:ascii="arial" w:eastAsia="arial" w:hAnsi="arial" w:cs="arial"/>
            <w:i/>
            <w:color w:val="0077CC"/>
            <w:sz w:val="20"/>
            <w:u w:val="single"/>
            <w:shd w:val="clear" w:color="auto" w:fill="FFFFFF"/>
            <w:lang w:val="en-US" w:eastAsia="en-US" w:bidi="ar-SA"/>
          </w:rPr>
          <w:t>[1990] B.C.J. No. 704</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rFonts w:ascii="arial" w:eastAsia="arial" w:hAnsi="arial" w:cs="arial"/>
          <w:color w:val="000000"/>
          <w:sz w:val="20"/>
          <w:lang w:val="en-US" w:eastAsia="en-US" w:bidi="ar-SA"/>
        </w:rPr>
        <w:t>Child v. Vancouver General Hospital [1970] S.C.R. 478.</w:t>
      </w:r>
    </w:p>
    <w:p>
      <w:pPr>
        <w:spacing w:line="260" w:lineRule="atLeast"/>
        <w:jc w:val="both"/>
        <w:rPr>
          <w:lang w:val="en-US" w:eastAsia="en-US" w:bidi="ar-SA"/>
        </w:rPr>
      </w:pPr>
      <w:r>
        <w:rPr>
          <w:rFonts w:ascii="arial" w:eastAsia="arial" w:hAnsi="arial" w:cs="arial"/>
          <w:color w:val="000000"/>
          <w:sz w:val="20"/>
          <w:lang w:val="en-US" w:eastAsia="en-US" w:bidi="ar-SA"/>
        </w:rPr>
        <w:t xml:space="preserve">Chow (Litigation guardian of) v. Wellesley Hospital, </w:t>
      </w:r>
      <w:hyperlink r:id="rId316" w:history="1">
        <w:r>
          <w:rPr>
            <w:rFonts w:ascii="arial" w:eastAsia="arial" w:hAnsi="arial" w:cs="arial"/>
            <w:i/>
            <w:color w:val="0077CC"/>
            <w:sz w:val="20"/>
            <w:u w:val="single"/>
            <w:shd w:val="clear" w:color="auto" w:fill="FFFFFF"/>
            <w:lang w:val="en-US" w:eastAsia="en-US" w:bidi="ar-SA"/>
          </w:rPr>
          <w:t>[1999] O.J. No. 279</w:t>
        </w:r>
      </w:hyperlink>
      <w:r>
        <w:rPr>
          <w:rFonts w:ascii="arial" w:eastAsia="arial" w:hAnsi="arial" w:cs="arial"/>
          <w:color w:val="000000"/>
          <w:sz w:val="20"/>
          <w:lang w:val="en-US" w:eastAsia="en-US" w:bidi="ar-SA"/>
        </w:rPr>
        <w:t xml:space="preserve"> (Ont.Gen.Div.).</w:t>
      </w:r>
    </w:p>
    <w:p>
      <w:pPr>
        <w:spacing w:line="260" w:lineRule="atLeast"/>
        <w:jc w:val="both"/>
        <w:rPr>
          <w:lang w:val="en-US" w:eastAsia="en-US" w:bidi="ar-SA"/>
        </w:rPr>
      </w:pPr>
      <w:r>
        <w:rPr>
          <w:rFonts w:ascii="arial" w:eastAsia="arial" w:hAnsi="arial" w:cs="arial"/>
          <w:color w:val="000000"/>
          <w:sz w:val="20"/>
          <w:lang w:val="en-US" w:eastAsia="en-US" w:bidi="ar-SA"/>
        </w:rPr>
        <w:t xml:space="preserve">Granger (Litigation guardian of) v. Ottawa General Hospital, </w:t>
      </w:r>
      <w:hyperlink r:id="rId317" w:history="1">
        <w:r>
          <w:rPr>
            <w:rFonts w:ascii="arial" w:eastAsia="arial" w:hAnsi="arial" w:cs="arial"/>
            <w:i/>
            <w:color w:val="0077CC"/>
            <w:sz w:val="20"/>
            <w:u w:val="single"/>
            <w:shd w:val="clear" w:color="auto" w:fill="FFFFFF"/>
            <w:lang w:val="en-US" w:eastAsia="en-US" w:bidi="ar-SA"/>
          </w:rPr>
          <w:t>[1996] O.J. No. 2129</w:t>
        </w:r>
      </w:hyperlink>
      <w:r>
        <w:rPr>
          <w:rFonts w:ascii="arial" w:eastAsia="arial" w:hAnsi="arial" w:cs="arial"/>
          <w:color w:val="000000"/>
          <w:sz w:val="20"/>
          <w:lang w:val="en-US" w:eastAsia="en-US" w:bidi="ar-SA"/>
        </w:rPr>
        <w:t xml:space="preserve"> (Ont.Gen.Div.).</w:t>
      </w:r>
    </w:p>
    <w:p>
      <w:pPr>
        <w:spacing w:line="260" w:lineRule="atLeast"/>
        <w:jc w:val="both"/>
        <w:rPr>
          <w:lang w:val="en-US" w:eastAsia="en-US" w:bidi="ar-SA"/>
        </w:rPr>
      </w:pPr>
      <w:r>
        <w:rPr>
          <w:rFonts w:ascii="arial" w:eastAsia="arial" w:hAnsi="arial" w:cs="arial"/>
          <w:color w:val="000000"/>
          <w:sz w:val="20"/>
          <w:lang w:val="en-US" w:eastAsia="en-US" w:bidi="ar-SA"/>
        </w:rPr>
        <w:t xml:space="preserve">Heidebrecht v. The Fraser-Burrard Hospital Society, </w:t>
      </w:r>
      <w:hyperlink r:id="rId318" w:history="1">
        <w:r>
          <w:rPr>
            <w:rFonts w:ascii="arial" w:eastAsia="arial" w:hAnsi="arial" w:cs="arial"/>
            <w:i/>
            <w:color w:val="0077CC"/>
            <w:sz w:val="20"/>
            <w:u w:val="single"/>
            <w:shd w:val="clear" w:color="auto" w:fill="FFFFFF"/>
            <w:lang w:val="en-US" w:eastAsia="en-US" w:bidi="ar-SA"/>
          </w:rPr>
          <w:t>[1996] B.C.J. No. 3042</w:t>
        </w:r>
      </w:hyperlink>
      <w:r>
        <w:rPr>
          <w:rFonts w:ascii="arial" w:eastAsia="arial" w:hAnsi="arial" w:cs="arial"/>
          <w:color w:val="000000"/>
          <w:sz w:val="20"/>
          <w:lang w:val="en-US" w:eastAsia="en-US" w:bidi="ar-SA"/>
        </w:rPr>
        <w:t>, October 10, 1996, B.C.S.C. Vancouver Registry No. C933456.</w:t>
      </w:r>
    </w:p>
    <w:p>
      <w:pPr>
        <w:spacing w:line="260" w:lineRule="atLeast"/>
        <w:jc w:val="both"/>
        <w:rPr>
          <w:lang w:val="en-US" w:eastAsia="en-US" w:bidi="ar-SA"/>
        </w:rPr>
      </w:pPr>
      <w:r>
        <w:rPr>
          <w:rFonts w:ascii="arial" w:eastAsia="arial" w:hAnsi="arial" w:cs="arial"/>
          <w:color w:val="000000"/>
          <w:sz w:val="20"/>
          <w:lang w:val="en-US" w:eastAsia="en-US" w:bidi="ar-SA"/>
        </w:rPr>
        <w:t xml:space="preserve">Hopp v. Lepp, </w:t>
      </w:r>
      <w:hyperlink r:id="rId287"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rFonts w:ascii="arial" w:eastAsia="arial" w:hAnsi="arial" w:cs="arial"/>
          <w:color w:val="000000"/>
          <w:sz w:val="20"/>
          <w:lang w:val="en-US" w:eastAsia="en-US" w:bidi="ar-SA"/>
        </w:rPr>
        <w:t xml:space="preserve">Lafferiere v. Lawson </w:t>
      </w:r>
      <w:hyperlink r:id="rId319" w:history="1">
        <w:r>
          <w:rPr>
            <w:rFonts w:ascii="arial" w:eastAsia="arial" w:hAnsi="arial" w:cs="arial"/>
            <w:i/>
            <w:color w:val="0077CC"/>
            <w:sz w:val="20"/>
            <w:u w:val="single"/>
            <w:shd w:val="clear" w:color="auto" w:fill="FFFFFF"/>
            <w:lang w:val="en-US" w:eastAsia="en-US" w:bidi="ar-SA"/>
          </w:rPr>
          <w:t>[1991] 1 S.C.R. 541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rFonts w:ascii="arial" w:eastAsia="arial" w:hAnsi="arial" w:cs="arial"/>
          <w:color w:val="000000"/>
          <w:sz w:val="20"/>
          <w:lang w:val="en-US" w:eastAsia="en-US" w:bidi="ar-SA"/>
        </w:rPr>
        <w:t xml:space="preserve">Lapointe v. Hopital Le Gardeur (No. 1)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w:t>
      </w:r>
    </w:p>
    <w:p>
      <w:pPr>
        <w:spacing w:line="260" w:lineRule="atLeast"/>
        <w:jc w:val="both"/>
        <w:rPr>
          <w:lang w:val="en-US" w:eastAsia="en-US" w:bidi="ar-SA"/>
        </w:rPr>
      </w:pPr>
      <w:r>
        <w:rPr>
          <w:rFonts w:ascii="arial" w:eastAsia="arial" w:hAnsi="arial" w:cs="arial"/>
          <w:color w:val="000000"/>
          <w:sz w:val="20"/>
          <w:lang w:val="en-US" w:eastAsia="en-US" w:bidi="ar-SA"/>
        </w:rPr>
        <w:t xml:space="preserve">Layton v. Wescott </w:t>
      </w:r>
      <w:hyperlink r:id="rId320" w:history="1">
        <w:r>
          <w:rPr>
            <w:rFonts w:ascii="arial" w:eastAsia="arial" w:hAnsi="arial" w:cs="arial"/>
            <w:i/>
            <w:color w:val="0077CC"/>
            <w:sz w:val="20"/>
            <w:u w:val="single"/>
            <w:shd w:val="clear" w:color="auto" w:fill="FFFFFF"/>
            <w:lang w:val="en-US" w:eastAsia="en-US" w:bidi="ar-SA"/>
          </w:rPr>
          <w:t>[1992] A.J. No. 1049</w:t>
        </w:r>
      </w:hyperlink>
      <w:r>
        <w:rPr>
          <w:rFonts w:ascii="arial" w:eastAsia="arial" w:hAnsi="arial" w:cs="arial"/>
          <w:color w:val="000000"/>
          <w:sz w:val="20"/>
          <w:lang w:val="en-US" w:eastAsia="en-US" w:bidi="ar-SA"/>
        </w:rPr>
        <w:t xml:space="preserve"> (Alta.Q.B.).</w:t>
      </w:r>
    </w:p>
    <w:p>
      <w:pPr>
        <w:spacing w:line="260" w:lineRule="atLeast"/>
        <w:jc w:val="both"/>
        <w:rPr>
          <w:lang w:val="en-US" w:eastAsia="en-US" w:bidi="ar-SA"/>
        </w:rPr>
      </w:pPr>
      <w:r>
        <w:rPr>
          <w:rFonts w:ascii="arial" w:eastAsia="arial" w:hAnsi="arial" w:cs="arial"/>
          <w:color w:val="000000"/>
          <w:sz w:val="20"/>
          <w:lang w:val="en-US" w:eastAsia="en-US" w:bidi="ar-SA"/>
        </w:rPr>
        <w:t xml:space="preserve">Levesque v. Comeau </w:t>
      </w:r>
      <w:hyperlink r:id="rId321" w:history="1">
        <w:r>
          <w:rPr>
            <w:rFonts w:ascii="arial" w:eastAsia="arial" w:hAnsi="arial" w:cs="arial"/>
            <w:i/>
            <w:color w:val="0077CC"/>
            <w:sz w:val="20"/>
            <w:u w:val="single"/>
            <w:shd w:val="clear" w:color="auto" w:fill="FFFFFF"/>
            <w:lang w:val="en-US" w:eastAsia="en-US" w:bidi="ar-SA"/>
          </w:rPr>
          <w:t>[1970] S.C.R. 1010</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rFonts w:ascii="arial" w:eastAsia="arial" w:hAnsi="arial" w:cs="arial"/>
          <w:color w:val="000000"/>
          <w:sz w:val="20"/>
          <w:lang w:val="en-US" w:eastAsia="en-US" w:bidi="ar-SA"/>
        </w:rPr>
        <w:t xml:space="preserve">MacDonald v. Ross </w:t>
      </w:r>
      <w:hyperlink r:id="rId322" w:history="1">
        <w:r>
          <w:rPr>
            <w:rFonts w:ascii="arial" w:eastAsia="arial" w:hAnsi="arial" w:cs="arial"/>
            <w:i/>
            <w:color w:val="0077CC"/>
            <w:sz w:val="20"/>
            <w:u w:val="single"/>
            <w:shd w:val="clear" w:color="auto" w:fill="FFFFFF"/>
            <w:lang w:val="en-US" w:eastAsia="en-US" w:bidi="ar-SA"/>
          </w:rPr>
          <w:t>[1983] N.S.J. No. 65</w:t>
        </w:r>
      </w:hyperlink>
      <w:r>
        <w:rPr>
          <w:rFonts w:ascii="arial" w:eastAsia="arial" w:hAnsi="arial" w:cs="arial"/>
          <w:color w:val="000000"/>
          <w:sz w:val="20"/>
          <w:lang w:val="en-US" w:eastAsia="en-US" w:bidi="ar-SA"/>
        </w:rPr>
        <w:t xml:space="preserve"> (N.S.S.C.).</w:t>
      </w:r>
    </w:p>
    <w:p>
      <w:pPr>
        <w:spacing w:line="260" w:lineRule="atLeast"/>
        <w:jc w:val="both"/>
        <w:rPr>
          <w:lang w:val="en-US" w:eastAsia="en-US" w:bidi="ar-SA"/>
        </w:rPr>
      </w:pPr>
      <w:r>
        <w:rPr>
          <w:rFonts w:ascii="arial" w:eastAsia="arial" w:hAnsi="arial" w:cs="arial"/>
          <w:color w:val="000000"/>
          <w:sz w:val="20"/>
          <w:lang w:val="en-US" w:eastAsia="en-US" w:bidi="ar-SA"/>
        </w:rPr>
        <w:t xml:space="preserve">Norberg v. Wynrib </w:t>
      </w:r>
      <w:hyperlink r:id="rId323"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rFonts w:ascii="arial" w:eastAsia="arial" w:hAnsi="arial" w:cs="arial"/>
          <w:color w:val="000000"/>
          <w:sz w:val="20"/>
          <w:lang w:val="en-US" w:eastAsia="en-US" w:bidi="ar-SA"/>
        </w:rPr>
        <w:t xml:space="preserve">Reibl v. Hughes </w:t>
      </w:r>
      <w:hyperlink r:id="rId291"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rFonts w:ascii="arial" w:eastAsia="arial" w:hAnsi="arial" w:cs="arial"/>
          <w:color w:val="000000"/>
          <w:sz w:val="20"/>
          <w:lang w:val="en-US" w:eastAsia="en-US" w:bidi="ar-SA"/>
        </w:rPr>
        <w:t>Rothwell v. Raes [1990] 2. O.R. (3d) 332 (Ont.C.A.).</w:t>
      </w:r>
    </w:p>
    <w:p>
      <w:pPr>
        <w:spacing w:line="260" w:lineRule="atLeast"/>
        <w:jc w:val="both"/>
        <w:rPr>
          <w:lang w:val="en-US" w:eastAsia="en-US" w:bidi="ar-SA"/>
        </w:rPr>
      </w:pPr>
      <w:r>
        <w:rPr>
          <w:rFonts w:ascii="arial" w:eastAsia="arial" w:hAnsi="arial" w:cs="arial"/>
          <w:color w:val="000000"/>
          <w:sz w:val="20"/>
          <w:lang w:val="en-US" w:eastAsia="en-US" w:bidi="ar-SA"/>
        </w:rPr>
        <w:t xml:space="preserve">Serre v. de Tilly </w:t>
      </w:r>
      <w:hyperlink r:id="rId324" w:history="1">
        <w:r>
          <w:rPr>
            <w:rFonts w:ascii="arial" w:eastAsia="arial" w:hAnsi="arial" w:cs="arial"/>
            <w:i/>
            <w:color w:val="0077CC"/>
            <w:sz w:val="20"/>
            <w:u w:val="single"/>
            <w:shd w:val="clear" w:color="auto" w:fill="FFFFFF"/>
            <w:lang w:val="en-US" w:eastAsia="en-US" w:bidi="ar-SA"/>
          </w:rPr>
          <w:t>(1975) 58 D.L.R. (3d) 362</w:t>
        </w:r>
      </w:hyperlink>
      <w:r>
        <w:rPr>
          <w:rFonts w:ascii="arial" w:eastAsia="arial" w:hAnsi="arial" w:cs="arial"/>
          <w:color w:val="000000"/>
          <w:sz w:val="20"/>
          <w:lang w:val="en-US" w:eastAsia="en-US" w:bidi="ar-SA"/>
        </w:rPr>
        <w:t xml:space="preserve"> (Ont.H.Ct.).</w:t>
      </w:r>
    </w:p>
    <w:p>
      <w:pPr>
        <w:spacing w:line="260" w:lineRule="atLeast"/>
        <w:jc w:val="both"/>
        <w:rPr>
          <w:lang w:val="en-US" w:eastAsia="en-US" w:bidi="ar-SA"/>
        </w:rPr>
      </w:pPr>
      <w:r>
        <w:rPr>
          <w:rFonts w:ascii="arial" w:eastAsia="arial" w:hAnsi="arial" w:cs="arial"/>
          <w:color w:val="000000"/>
          <w:sz w:val="20"/>
          <w:lang w:val="en-US" w:eastAsia="en-US" w:bidi="ar-SA"/>
        </w:rPr>
        <w:t xml:space="preserve">Sevier v. Mann </w:t>
      </w:r>
      <w:hyperlink r:id="rId325" w:history="1">
        <w:r>
          <w:rPr>
            <w:rFonts w:ascii="arial" w:eastAsia="arial" w:hAnsi="arial" w:cs="arial"/>
            <w:i/>
            <w:color w:val="0077CC"/>
            <w:sz w:val="20"/>
            <w:u w:val="single"/>
            <w:shd w:val="clear" w:color="auto" w:fill="FFFFFF"/>
            <w:lang w:val="en-US" w:eastAsia="en-US" w:bidi="ar-SA"/>
          </w:rPr>
          <w:t>[1994] B.C.J. No. 18</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rFonts w:ascii="arial" w:eastAsia="arial" w:hAnsi="arial" w:cs="arial"/>
          <w:color w:val="000000"/>
          <w:sz w:val="20"/>
          <w:lang w:val="en-US" w:eastAsia="en-US" w:bidi="ar-SA"/>
        </w:rPr>
        <w:t xml:space="preserve">Shobridge v. Thomas </w:t>
      </w:r>
      <w:hyperlink r:id="rId326" w:history="1">
        <w:r>
          <w:rPr>
            <w:rFonts w:ascii="arial" w:eastAsia="arial" w:hAnsi="arial" w:cs="arial"/>
            <w:i/>
            <w:color w:val="0077CC"/>
            <w:sz w:val="20"/>
            <w:u w:val="single"/>
            <w:shd w:val="clear" w:color="auto" w:fill="FFFFFF"/>
            <w:lang w:val="en-US" w:eastAsia="en-US" w:bidi="ar-SA"/>
          </w:rPr>
          <w:t>[1999] B.C.J. No. 1747</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rFonts w:ascii="arial" w:eastAsia="arial" w:hAnsi="arial" w:cs="arial"/>
          <w:color w:val="000000"/>
          <w:sz w:val="20"/>
          <w:lang w:val="en-US" w:eastAsia="en-US" w:bidi="ar-SA"/>
        </w:rPr>
        <w:t xml:space="preserve">Snell v. Farrell </w:t>
      </w:r>
      <w:hyperlink r:id="rId327"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rFonts w:ascii="arial" w:eastAsia="arial" w:hAnsi="arial" w:cs="arial"/>
          <w:color w:val="000000"/>
          <w:sz w:val="20"/>
          <w:lang w:val="en-US" w:eastAsia="en-US" w:bidi="ar-SA"/>
        </w:rPr>
        <w:t xml:space="preserve">Snider v. Henniger </w:t>
      </w:r>
      <w:hyperlink r:id="rId328" w:history="1">
        <w:r>
          <w:rPr>
            <w:rFonts w:ascii="arial" w:eastAsia="arial" w:hAnsi="arial" w:cs="arial"/>
            <w:i/>
            <w:color w:val="0077CC"/>
            <w:sz w:val="20"/>
            <w:u w:val="single"/>
            <w:shd w:val="clear" w:color="auto" w:fill="FFFFFF"/>
            <w:lang w:val="en-US" w:eastAsia="en-US" w:bidi="ar-SA"/>
          </w:rPr>
          <w:t>[1992] B.C.J. No. 1982</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rFonts w:ascii="arial" w:eastAsia="arial" w:hAnsi="arial" w:cs="arial"/>
          <w:color w:val="000000"/>
          <w:sz w:val="20"/>
          <w:lang w:val="en-US" w:eastAsia="en-US" w:bidi="ar-SA"/>
        </w:rPr>
        <w:t xml:space="preserve">Sohal v. Brar </w:t>
      </w:r>
      <w:hyperlink r:id="rId329" w:history="1">
        <w:r>
          <w:rPr>
            <w:rFonts w:ascii="arial" w:eastAsia="arial" w:hAnsi="arial" w:cs="arial"/>
            <w:i/>
            <w:color w:val="0077CC"/>
            <w:sz w:val="20"/>
            <w:u w:val="single"/>
            <w:shd w:val="clear" w:color="auto" w:fill="FFFFFF"/>
            <w:lang w:val="en-US" w:eastAsia="en-US" w:bidi="ar-SA"/>
          </w:rPr>
          <w:t>(1998) 211 A.R. 81</w:t>
        </w:r>
      </w:hyperlink>
      <w:r>
        <w:rPr>
          <w:rFonts w:ascii="arial" w:eastAsia="arial" w:hAnsi="arial" w:cs="arial"/>
          <w:color w:val="000000"/>
          <w:sz w:val="20"/>
          <w:lang w:val="en-US" w:eastAsia="en-US" w:bidi="ar-SA"/>
        </w:rPr>
        <w:t xml:space="preserve"> (Q.B.).</w:t>
      </w:r>
    </w:p>
    <w:p>
      <w:pPr>
        <w:spacing w:line="260" w:lineRule="atLeast"/>
        <w:jc w:val="both"/>
        <w:rPr>
          <w:lang w:val="en-US" w:eastAsia="en-US" w:bidi="ar-SA"/>
        </w:rPr>
      </w:pPr>
      <w:r>
        <w:rPr>
          <w:rFonts w:ascii="arial" w:eastAsia="arial" w:hAnsi="arial" w:cs="arial"/>
          <w:color w:val="000000"/>
          <w:sz w:val="20"/>
          <w:lang w:val="en-US" w:eastAsia="en-US" w:bidi="ar-SA"/>
        </w:rPr>
        <w:t xml:space="preserve">Tacknyk v. Lake of the Woods Clinic </w:t>
      </w:r>
      <w:hyperlink r:id="rId330" w:history="1">
        <w:r>
          <w:rPr>
            <w:rFonts w:ascii="arial" w:eastAsia="arial" w:hAnsi="arial" w:cs="arial"/>
            <w:i/>
            <w:color w:val="0077CC"/>
            <w:sz w:val="20"/>
            <w:u w:val="single"/>
            <w:shd w:val="clear" w:color="auto" w:fill="FFFFFF"/>
            <w:lang w:val="en-US" w:eastAsia="en-US" w:bidi="ar-SA"/>
          </w:rPr>
          <w:t>[1982] O.J. No. 170</w:t>
        </w:r>
      </w:hyperlink>
      <w:r>
        <w:rPr>
          <w:rFonts w:ascii="arial" w:eastAsia="arial" w:hAnsi="arial" w:cs="arial"/>
          <w:color w:val="000000"/>
          <w:sz w:val="20"/>
          <w:lang w:val="en-US" w:eastAsia="en-US" w:bidi="ar-SA"/>
        </w:rPr>
        <w:t xml:space="preserve"> (Ont.C.A.).</w:t>
      </w:r>
    </w:p>
    <w:p>
      <w:pPr>
        <w:spacing w:line="260" w:lineRule="atLeast"/>
        <w:jc w:val="both"/>
        <w:rPr>
          <w:lang w:val="en-US" w:eastAsia="en-US" w:bidi="ar-SA"/>
        </w:rPr>
      </w:pPr>
      <w:r>
        <w:rPr>
          <w:rFonts w:ascii="arial" w:eastAsia="arial" w:hAnsi="arial" w:cs="arial"/>
          <w:color w:val="000000"/>
          <w:sz w:val="20"/>
          <w:lang w:val="en-US" w:eastAsia="en-US" w:bidi="ar-SA"/>
        </w:rPr>
        <w:t xml:space="preserve">Tekano (Guardian ad litem of) v. Lions Gate Hospital, </w:t>
      </w:r>
      <w:hyperlink r:id="rId331" w:history="1">
        <w:r>
          <w:rPr>
            <w:rFonts w:ascii="arial" w:eastAsia="arial" w:hAnsi="arial" w:cs="arial"/>
            <w:i/>
            <w:color w:val="0077CC"/>
            <w:sz w:val="20"/>
            <w:u w:val="single"/>
            <w:shd w:val="clear" w:color="auto" w:fill="FFFFFF"/>
            <w:lang w:val="en-US" w:eastAsia="en-US" w:bidi="ar-SA"/>
          </w:rPr>
          <w:t>[1999] B.C.J. No. 1763</w:t>
        </w:r>
      </w:hyperlink>
      <w:r>
        <w:rPr>
          <w:rFonts w:ascii="arial" w:eastAsia="arial" w:hAnsi="arial" w:cs="arial"/>
          <w:color w:val="000000"/>
          <w:sz w:val="20"/>
          <w:lang w:val="en-US" w:eastAsia="en-US" w:bidi="ar-SA"/>
        </w:rPr>
        <w:t>, July 26, 1999, B.C.S.C. Vancouver Registry No. C973422.</w:t>
      </w:r>
    </w:p>
    <w:p>
      <w:pPr>
        <w:spacing w:line="260" w:lineRule="atLeast"/>
        <w:jc w:val="both"/>
        <w:rPr>
          <w:lang w:val="en-US" w:eastAsia="en-US" w:bidi="ar-SA"/>
        </w:rPr>
      </w:pPr>
      <w:r>
        <w:rPr>
          <w:rFonts w:ascii="arial" w:eastAsia="arial" w:hAnsi="arial" w:cs="arial"/>
          <w:color w:val="000000"/>
          <w:sz w:val="20"/>
          <w:lang w:val="en-US" w:eastAsia="en-US" w:bidi="ar-SA"/>
        </w:rPr>
        <w:t xml:space="preserve">Ter Neuzen v. Korn </w:t>
      </w:r>
      <w:hyperlink r:id="rId297"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(1995) 127 D.L.R. (4th) 577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rFonts w:ascii="arial" w:eastAsia="arial" w:hAnsi="arial" w:cs="arial"/>
          <w:color w:val="000000"/>
          <w:sz w:val="20"/>
          <w:lang w:val="en-US" w:eastAsia="en-US" w:bidi="ar-SA"/>
        </w:rPr>
        <w:t xml:space="preserve">Van Mol (Guardian ad litem of) v. Ashmore </w:t>
      </w:r>
      <w:hyperlink r:id="rId288" w:history="1">
        <w:r>
          <w:rPr>
            <w:rFonts w:ascii="arial" w:eastAsia="arial" w:hAnsi="arial" w:cs="arial"/>
            <w:i/>
            <w:color w:val="0077CC"/>
            <w:sz w:val="20"/>
            <w:u w:val="single"/>
            <w:shd w:val="clear" w:color="auto" w:fill="FFFFFF"/>
            <w:lang w:val="en-US" w:eastAsia="en-US" w:bidi="ar-SA"/>
          </w:rPr>
          <w:t>[1999] B.C.J. No. 31</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rFonts w:ascii="arial" w:eastAsia="arial" w:hAnsi="arial" w:cs="arial"/>
          <w:color w:val="000000"/>
          <w:sz w:val="20"/>
          <w:lang w:val="en-US" w:eastAsia="en-US" w:bidi="ar-SA"/>
        </w:rPr>
        <w:t xml:space="preserve">Videto v. Kennedy </w:t>
      </w:r>
      <w:hyperlink r:id="rId332" w:history="1">
        <w:r>
          <w:rPr>
            <w:rFonts w:ascii="arial" w:eastAsia="arial" w:hAnsi="arial" w:cs="arial"/>
            <w:i/>
            <w:color w:val="0077CC"/>
            <w:sz w:val="20"/>
            <w:u w:val="single"/>
            <w:shd w:val="clear" w:color="auto" w:fill="FFFFFF"/>
            <w:lang w:val="en-US" w:eastAsia="en-US" w:bidi="ar-SA"/>
          </w:rPr>
          <w:t>(1981) 33 O.R. (2d) 497</w:t>
        </w:r>
      </w:hyperlink>
      <w:r>
        <w:rPr>
          <w:rFonts w:ascii="arial" w:eastAsia="arial" w:hAnsi="arial" w:cs="arial"/>
          <w:color w:val="000000"/>
          <w:sz w:val="20"/>
          <w:lang w:val="en-US" w:eastAsia="en-US" w:bidi="ar-SA"/>
        </w:rPr>
        <w:t xml:space="preserve"> (Ont.C.A.).</w:t>
      </w:r>
    </w:p>
    <w:p>
      <w:pPr>
        <w:spacing w:line="260" w:lineRule="atLeast"/>
        <w:jc w:val="both"/>
        <w:rPr>
          <w:lang w:val="en-US" w:eastAsia="en-US" w:bidi="ar-SA"/>
        </w:rPr>
      </w:pPr>
      <w:r>
        <w:rPr>
          <w:rFonts w:ascii="arial" w:eastAsia="arial" w:hAnsi="arial" w:cs="arial"/>
          <w:color w:val="000000"/>
          <w:sz w:val="20"/>
          <w:lang w:val="en-US" w:eastAsia="en-US" w:bidi="ar-SA"/>
        </w:rPr>
        <w:t>Webster v. Chapman (6 April 1996), Winnipeg Registry 85-01-03565 (Man.Q.B.).</w:t>
      </w:r>
    </w:p>
    <w:p>
      <w:pPr>
        <w:spacing w:line="260" w:lineRule="atLeast"/>
        <w:jc w:val="both"/>
        <w:rPr>
          <w:lang w:val="en-US" w:eastAsia="en-US" w:bidi="ar-SA"/>
        </w:rPr>
      </w:pPr>
      <w:r>
        <w:rPr>
          <w:rFonts w:ascii="arial" w:eastAsia="arial" w:hAnsi="arial" w:cs="arial"/>
          <w:color w:val="000000"/>
          <w:sz w:val="20"/>
          <w:lang w:val="en-US" w:eastAsia="en-US" w:bidi="ar-SA"/>
        </w:rPr>
        <w:t xml:space="preserve">White v. Turner </w:t>
      </w:r>
      <w:hyperlink r:id="rId333" w:history="1">
        <w:r>
          <w:rPr>
            <w:rFonts w:ascii="arial" w:eastAsia="arial" w:hAnsi="arial" w:cs="arial"/>
            <w:i/>
            <w:color w:val="0077CC"/>
            <w:sz w:val="20"/>
            <w:u w:val="single"/>
            <w:shd w:val="clear" w:color="auto" w:fill="FFFFFF"/>
            <w:lang w:val="en-US" w:eastAsia="en-US" w:bidi="ar-SA"/>
          </w:rPr>
          <w:t>(1981) 120 D.L.R. (3d) 269</w:t>
        </w:r>
      </w:hyperlink>
      <w:r>
        <w:rPr>
          <w:rFonts w:ascii="arial" w:eastAsia="arial" w:hAnsi="arial" w:cs="arial"/>
          <w:color w:val="000000"/>
          <w:sz w:val="20"/>
          <w:lang w:val="en-US" w:eastAsia="en-US" w:bidi="ar-SA"/>
        </w:rPr>
        <w:t xml:space="preserve"> (Ont.H.Ct.).</w:t>
      </w:r>
    </w:p>
    <w:p>
      <w:pPr>
        <w:spacing w:line="260" w:lineRule="atLeast"/>
        <w:jc w:val="both"/>
        <w:rPr>
          <w:lang w:val="en-US" w:eastAsia="en-US" w:bidi="ar-SA"/>
        </w:rPr>
      </w:pPr>
      <w:r>
        <w:rPr>
          <w:rFonts w:ascii="arial" w:eastAsia="arial" w:hAnsi="arial" w:cs="arial"/>
          <w:color w:val="000000"/>
          <w:sz w:val="20"/>
          <w:lang w:val="en-US" w:eastAsia="en-US" w:bidi="ar-SA"/>
        </w:rPr>
        <w:t>Whitehouse v. Jordan [1980] 1 All ER 650 (C.A.).</w:t>
      </w:r>
    </w:p>
    <w:p>
      <w:pPr>
        <w:spacing w:line="260" w:lineRule="atLeast"/>
        <w:jc w:val="both"/>
        <w:rPr>
          <w:lang w:val="en-US" w:eastAsia="en-US" w:bidi="ar-SA"/>
        </w:rPr>
      </w:pPr>
      <w:r>
        <w:rPr>
          <w:rFonts w:ascii="arial" w:eastAsia="arial" w:hAnsi="arial" w:cs="arial"/>
          <w:color w:val="000000"/>
          <w:sz w:val="20"/>
          <w:lang w:val="en-US" w:eastAsia="en-US" w:bidi="ar-SA"/>
        </w:rPr>
        <w:t xml:space="preserve">Wilson v. Swanson </w:t>
      </w:r>
      <w:hyperlink r:id="rId294" w:history="1">
        <w:r>
          <w:rPr>
            <w:rFonts w:ascii="arial" w:eastAsia="arial" w:hAnsi="arial" w:cs="arial"/>
            <w:i/>
            <w:color w:val="0077CC"/>
            <w:sz w:val="20"/>
            <w:u w:val="single"/>
            <w:shd w:val="clear" w:color="auto" w:fill="FFFFFF"/>
            <w:lang w:val="en-US" w:eastAsia="en-US" w:bidi="ar-SA"/>
          </w:rPr>
          <w:t>(1956) 5 D.L.R. (2d) 113</w:t>
        </w:r>
      </w:hyperlink>
      <w:r>
        <w:rPr>
          <w:rFonts w:ascii="arial" w:eastAsia="arial" w:hAnsi="arial" w:cs="arial"/>
          <w:color w:val="000000"/>
          <w:sz w:val="20"/>
          <w:lang w:val="en-US" w:eastAsia="en-US" w:bidi="ar-SA"/>
        </w:rPr>
        <w:t xml:space="preserve"> (S.C.C.).</w:t>
      </w:r>
    </w:p>
    <w:p>
      <w:pPr>
        <w:spacing w:line="260" w:lineRule="atLeast"/>
        <w:jc w:val="both"/>
        <w:rPr>
          <w:lang w:val="en-US" w:eastAsia="en-US" w:bidi="ar-SA"/>
        </w:rPr>
      </w:pPr>
      <w:r>
        <w:rPr>
          <w:rFonts w:ascii="arial" w:eastAsia="arial" w:hAnsi="arial" w:cs="arial"/>
          <w:color w:val="000000"/>
          <w:sz w:val="20"/>
          <w:lang w:val="en-US" w:eastAsia="en-US" w:bidi="ar-SA"/>
        </w:rPr>
        <w:t xml:space="preserve">Wipfli (Guardian ad litem of) v. Britten </w:t>
      </w:r>
      <w:hyperlink r:id="rId334" w:history="1">
        <w:r>
          <w:rPr>
            <w:rFonts w:ascii="arial" w:eastAsia="arial" w:hAnsi="arial" w:cs="arial"/>
            <w:i/>
            <w:color w:val="0077CC"/>
            <w:sz w:val="20"/>
            <w:u w:val="single"/>
            <w:shd w:val="clear" w:color="auto" w:fill="FFFFFF"/>
            <w:lang w:val="en-US" w:eastAsia="en-US" w:bidi="ar-SA"/>
          </w:rPr>
          <w:t>[1984] B.C.J. No. 1811</w:t>
        </w:r>
      </w:hyperlink>
      <w:r>
        <w:rPr>
          <w:rFonts w:ascii="arial" w:eastAsia="arial" w:hAnsi="arial" w:cs="arial"/>
          <w:color w:val="000000"/>
          <w:sz w:val="20"/>
          <w:lang w:val="en-US" w:eastAsia="en-US" w:bidi="ar-SA"/>
        </w:rPr>
        <w:t xml:space="preserve"> (C.A.).</w:t>
      </w:r>
      <w:r>
        <w:rPr>
          <w:lang w:val="en-US" w:eastAsia="en-US" w:bidi="ar-SA"/>
        </w:rPr>
        <w:cr/>
      </w:r>
    </w:p>
    <w:p>
      <w:pPr>
        <w:keepNext/>
        <w:spacing w:before="240" w:line="340" w:lineRule="atLeast"/>
        <w:rPr>
          <w:lang w:val="en-US" w:eastAsia="en-US" w:bidi="ar-SA"/>
        </w:rPr>
      </w:pPr>
      <w:bookmarkStart w:id="168" w:name="Counsel_12"/>
      <w:bookmarkEnd w:id="16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1" style="position:absolute;z-index:2517227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E.F. Anthony Merchant, Q.C., and Henri Chabanole, for the plaintiffs. Paul T. McGivern and Marli F. Rusen, for the defendant, R.T. Richards. Catherine L. Woods and Leanne Wood, for the defendants, Burnaby General Hospital, B. Hauck, and Sharon Low.</w:t>
      </w:r>
      <w:r>
        <w:rPr>
          <w:lang w:val="en-US" w:eastAsia="en-US" w:bidi="ar-SA"/>
        </w:rPr>
        <w:cr/>
      </w:r>
    </w:p>
    <w:p>
      <w:pPr>
        <w:spacing w:after="240"/>
        <w:rPr>
          <w:lang w:val="en-US" w:eastAsia="en-US" w:bidi="ar-SA"/>
        </w:rPr>
      </w:pPr>
      <w:bookmarkStart w:id="169" w:name="Judgment_12"/>
      <w:bookmarkEnd w:id="169"/>
      <w:r>
        <w:pict>
          <v:line id="_x0000_s1092" style="position:absolute;z-index:25177395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0" w:name="BAKER J."/>
            <w:bookmarkEnd w:id="170"/>
            <w:r>
              <w:rPr>
                <w:rFonts w:ascii="arial" w:eastAsia="arial" w:hAnsi="arial" w:cs="arial"/>
                <w:b/>
                <w:color w:val="000000"/>
                <w:sz w:val="30"/>
                <w:lang w:val="en-US" w:eastAsia="en-US" w:bidi="ar-SA"/>
              </w:rPr>
              <w:t>BAKER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8:35 p.m. on February 8, 1993, Toby Diane Mann (now Pressney) gave birth to the infant plaintiff, David Andrew Mann, by emergency caesarean section, at Burnaby General Hospital ("the Hospital"). Immediately prior to the birth Ms. Pressney was receiving oxytocin by intravenous administration, for the purpose of inducing uterine contractions. The oxytocin administration was initiated and monitored by the defendant nurses Sharon Low and Beth Hauck, on the order and direction of the defendant physician, Dr. Robert T. Richards. Prolapse of the umbilical cord occurred simultaneously with the rupture of Ms. Pressney's membranes. The prolapse impaired the flow of oxygen to the unborn child. As a result, David Mann suffered brain damage with resulting permanent physical and developmental disabilities.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allege that David's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that the Hospital is vicariously liable for the negligent acts or omissions of the other defendants. David Mann, through his litigation guardian, seeks non-pecuniary and pecuniary damages. Ms. Pressney also seeks an award of pecuniary damages on her own behalf.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Counsel representing David Mann and Ms. Pressney also represented Mark Westerhof at trial. Mr. Westerhof is David Mann's biological father. Ms. Pressney and Mr. Westerhof were in a common law relationship when David was born. In the Statement of Claim, Mr. Westerhof sought an award for damages. He did not attend the trial, however, and no evidence was led to establish any loss to Mr. Westerhof. The claims brought by Mr. Westerhof must therefore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Sharon Low was added as a defendant during the trial in substitution for the nominal defendant Jane Doe. Plaintiffs' counsel declined to consent to a dismissal of the action against the nominal defendants John Doe and Janet Doe. However, no evidence was led to attempt to establish liability on the part of unidentified persons. I therefore dismiss the plaintiffs' claims against the defendants Janet Doe and John Doe.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 SUMMARY OF THE ALLEGATIONS AND RESPONSES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allege that Dr. Richards was negligent in attempting to induce Ms. Pressney's labour by the administration of oxytocin when there was uncertainty about Ms. Pressney's due date, and her obstetrical history. The plaintiffs allege that ordering induction by oxytocin when the head of the foetus had not descended to the narrowest part of Ms. Pressney's pelvis was a negligent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allege that Dr. Richards was negligent in failing to order a uterine ultrasound after Ms. Pressney was admitted to hospital. They allege that Dr. Richards was negligent in failing to proceed with an immediate caesarean surgery. Alternatively the plaintiffs allege that Dr. Richards was negligent in failing to remain in the Hospital during the induction, and was negligent in failing to arrange for a surgical team and operating room to be available to perform a caesarean procedure within 10 to 15 minutes.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allege that Dr. Richards was negligent in failing to explain to Ms. Pressney the risks associated with oxytocin induction where the head of the foetus is not engaged, and that if she had received an explanation of this risk, she would have declined the induction. Alternatively, they allege that if Dr. Richards had explained to Ms. Pressney the alternatives to induction, she would have delayed her decision and the cord prolapse would not have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Finally, the plaintiffs allege that as a result of the failure of Dr. Richards to provide Ms. Pressney with all material information about the risks of induction, and alternative courses of action available to her, Ms. Pressney's consent to the administration of oxytocin was not informed and valid. Therefore, they allege, the administration of oxytocin constituted battery.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Dr. Richards, responds that his management of Ms. Pressney's labour and delivery met the standard of care applicable to obstetricians practising in British Columbia in 1993. Dr. Richards responds that Ms. Pressney was not at "high risk" for cord complications at the commencement of oxytocin induction.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Richards responds that an elective caesarean surgery, with its attendant risks for Ms. Pressney's health, was not warranted. Dr. Richards responds that induction by oxytocin administration was medically warranted in the circumstances in order to assist the foetus to re-enter the maternal pelvis.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Richards responds that Ms. Pressney was advised of the material risks and benefits of the administration of oxytocin to induce labour and gave an informed consent to the administration. Dr. Richards says that a reasonable person in Ms. Pressney's situation, advised of the risks and alternatives, would have consented to the induction.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Richards responds that the induction did not cause Ms. Pressney's membranes to rupture earlier than would otherwise have occurred, and that the induction did not cause the cord prolapse that occurred simultaneously with the rupture of membranes.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Richards responds that the standard applicable to obstetricians practising in Level II hospitals in 1993 did not require a physician to remain at the hospital during oxytocin induction. Dr. Richards responds that the standard of care required only that the obstetrician have the ability to deliver the foetus by caesarean section, if necessary to do so, within 30 minutes after the necessity arose.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allege that Sharon Low was negligent in commencing and continuing the administration of oxytocin in circumstances contrary to the Hospital's nursing policy and guidelines. The plaintiffs allege that Beth Hauck was negligent in failing to detect uterine hyperactivity during induction, and was therefore negligent in continuing to administer, and to increase the rate of administration, of oxytocin.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Hauck, Low and Burnaby General Hospital respond that nurses Hauck and Low met the standard of care required of obstetrical nurses in 1993. The defendants respond that the nursing guidelines and policies of the Hospital did not require Ms. Low to refuse to carry out Dr. Richards' order for oxytocin induction by reason only that the head of Ms. Pressney's foetus, which had earlier been engaged in the maternal pelvis, had risen. The defendants deny that Ms. Pressney experienced uterine hyperactivity during the time Ms. Hauck was monitoring her labour, and say that in increasing the rate of administration of oxytocin Ms. Hauck was acting in a prudent and acceptable manner.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respond that it is improbable that the vaginal examination conducted by Ms. Hauck caused Ms. Pressney's membranes to rupture, but that even if it did, Ms. Hauck acted in a prudent fashion in conducting the vaginal examination at the time she did.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AUTHORITIES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view, the outcome of this case must largely be determined by an assessment of the facts, as revealed by the evidence, and careful weighing of the opinions offered by the expert witnesses. However, in determining the liability issues, I have considered and applied the principles enunciated in the relevant authorities relied upon by counsel, which I list here in alphabetical order:</w:t>
      </w:r>
      <w:r>
        <w:rPr>
          <w:lang w:val="en-US" w:eastAsia="en-US" w:bidi="ar-SA"/>
        </w:rPr>
        <w:cr/>
      </w:r>
    </w:p>
    <w:p>
      <w:pPr>
        <w:spacing w:line="260" w:lineRule="atLeast"/>
        <w:ind w:left="1080"/>
        <w:rPr>
          <w:lang w:val="en-US" w:eastAsia="en-US" w:bidi="ar-SA"/>
        </w:rPr>
      </w:pPr>
      <w:r>
        <w:rPr>
          <w:rFonts w:ascii="arial" w:eastAsia="arial" w:hAnsi="arial" w:cs="arial"/>
          <w:color w:val="000000"/>
          <w:sz w:val="20"/>
          <w:lang w:val="en-US" w:eastAsia="en-US" w:bidi="ar-SA"/>
        </w:rPr>
        <w:t xml:space="preserve">Anderson v. Chasney, </w:t>
      </w:r>
      <w:hyperlink r:id="rId305" w:history="1">
        <w:r>
          <w:rPr>
            <w:rFonts w:ascii="arial" w:eastAsia="arial" w:hAnsi="arial" w:cs="arial"/>
            <w:i/>
            <w:color w:val="0077CC"/>
            <w:sz w:val="20"/>
            <w:u w:val="single"/>
            <w:shd w:val="clear" w:color="auto" w:fill="FFFFFF"/>
            <w:lang w:val="en-US" w:eastAsia="en-US" w:bidi="ar-SA"/>
          </w:rPr>
          <w:t>[1949] 4 D.L.R. 71</w:t>
        </w:r>
      </w:hyperlink>
      <w:r>
        <w:rPr>
          <w:rFonts w:ascii="arial" w:eastAsia="arial" w:hAnsi="arial" w:cs="arial"/>
          <w:color w:val="000000"/>
          <w:sz w:val="20"/>
          <w:lang w:val="en-US" w:eastAsia="en-US" w:bidi="ar-SA"/>
        </w:rPr>
        <w:t xml:space="preserve"> (Man.C.A.), affirmed </w:t>
      </w:r>
      <w:hyperlink r:id="rId306" w:history="1">
        <w:r>
          <w:rPr>
            <w:rFonts w:ascii="arial" w:eastAsia="arial" w:hAnsi="arial" w:cs="arial"/>
            <w:i/>
            <w:color w:val="0077CC"/>
            <w:sz w:val="20"/>
            <w:u w:val="single"/>
            <w:shd w:val="clear" w:color="auto" w:fill="FFFFFF"/>
            <w:lang w:val="en-US" w:eastAsia="en-US" w:bidi="ar-SA"/>
          </w:rPr>
          <w:t>[1950] 4 D.L.R. 223</w:t>
        </w:r>
      </w:hyperlink>
      <w:r>
        <w:rPr>
          <w:rFonts w:ascii="arial" w:eastAsia="arial" w:hAnsi="arial" w:cs="arial"/>
          <w:color w:val="000000"/>
          <w:sz w:val="20"/>
          <w:lang w:val="en-US" w:eastAsia="en-US" w:bidi="ar-SA"/>
        </w:rPr>
        <w:t xml:space="preserve"> (SCC).</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Arndt v. Smither, </w:t>
      </w:r>
      <w:hyperlink r:id="rId292"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Arnold v. Teno, </w:t>
      </w:r>
      <w:hyperlink r:id="rId307" w:history="1">
        <w:r>
          <w:rPr>
            <w:rFonts w:ascii="arial" w:eastAsia="arial" w:hAnsi="arial" w:cs="arial"/>
            <w:i/>
            <w:color w:val="0077CC"/>
            <w:sz w:val="20"/>
            <w:u w:val="single"/>
            <w:shd w:val="clear" w:color="auto" w:fill="FFFFFF"/>
            <w:lang w:val="en-US" w:eastAsia="en-US" w:bidi="ar-SA"/>
          </w:rPr>
          <w:t>(1978) 83 D.L.R. (3d) 609</w:t>
        </w:r>
      </w:hyperlink>
      <w:r>
        <w:rPr>
          <w:rFonts w:ascii="arial" w:eastAsia="arial" w:hAnsi="arial" w:cs="arial"/>
          <w:color w:val="000000"/>
          <w:sz w:val="20"/>
          <w:lang w:val="en-US" w:eastAsia="en-US" w:bidi="ar-SA"/>
        </w:rPr>
        <w:t xml:space="preserve"> (SCC).</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Audet (Guardian ad litem of) v. Bates, </w:t>
      </w:r>
      <w:hyperlink r:id="rId308" w:history="1">
        <w:r>
          <w:rPr>
            <w:rFonts w:ascii="arial" w:eastAsia="arial" w:hAnsi="arial" w:cs="arial"/>
            <w:i/>
            <w:color w:val="0077CC"/>
            <w:sz w:val="20"/>
            <w:u w:val="single"/>
            <w:shd w:val="clear" w:color="auto" w:fill="FFFFFF"/>
            <w:lang w:val="en-US" w:eastAsia="en-US" w:bidi="ar-SA"/>
          </w:rPr>
          <w:t>[1998] B.C.J. No. 678</w:t>
        </w:r>
      </w:hyperlink>
      <w:r>
        <w:rPr>
          <w:rFonts w:ascii="arial" w:eastAsia="arial" w:hAnsi="arial" w:cs="arial"/>
          <w:color w:val="000000"/>
          <w:sz w:val="20"/>
          <w:lang w:val="en-US" w:eastAsia="en-US" w:bidi="ar-SA"/>
        </w:rPr>
        <w:t xml:space="preserve"> (S.C.).</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Badger v. Surkan </w:t>
      </w:r>
      <w:hyperlink r:id="rId309" w:history="1">
        <w:r>
          <w:rPr>
            <w:rFonts w:ascii="arial" w:eastAsia="arial" w:hAnsi="arial" w:cs="arial"/>
            <w:i/>
            <w:color w:val="0077CC"/>
            <w:sz w:val="20"/>
            <w:u w:val="single"/>
            <w:shd w:val="clear" w:color="auto" w:fill="FFFFFF"/>
            <w:lang w:val="en-US" w:eastAsia="en-US" w:bidi="ar-SA"/>
          </w:rPr>
          <w:t>(1970) 16 D.L.R. (3d) 146</w:t>
        </w:r>
      </w:hyperlink>
      <w:r>
        <w:rPr>
          <w:rFonts w:ascii="arial" w:eastAsia="arial" w:hAnsi="arial" w:cs="arial"/>
          <w:color w:val="000000"/>
          <w:sz w:val="20"/>
          <w:lang w:val="en-US" w:eastAsia="en-US" w:bidi="ar-SA"/>
        </w:rPr>
        <w:t xml:space="preserve"> (Sask.Q.B.).</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Belknap v. Meakes </w:t>
      </w:r>
      <w:hyperlink r:id="rId310"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(B.C.C.A.).</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Briffett v. Gander and District Hospital, </w:t>
      </w:r>
      <w:hyperlink r:id="rId311" w:history="1">
        <w:r>
          <w:rPr>
            <w:rFonts w:ascii="arial" w:eastAsia="arial" w:hAnsi="arial" w:cs="arial"/>
            <w:i/>
            <w:color w:val="0077CC"/>
            <w:sz w:val="20"/>
            <w:u w:val="single"/>
            <w:shd w:val="clear" w:color="auto" w:fill="FFFFFF"/>
            <w:lang w:val="en-US" w:eastAsia="en-US" w:bidi="ar-SA"/>
          </w:rPr>
          <w:t>[1996] N.J. No. 34</w:t>
        </w:r>
      </w:hyperlink>
      <w:r>
        <w:rPr>
          <w:rFonts w:ascii="arial" w:eastAsia="arial" w:hAnsi="arial" w:cs="arial"/>
          <w:color w:val="000000"/>
          <w:sz w:val="20"/>
          <w:lang w:val="en-US" w:eastAsia="en-US" w:bidi="ar-SA"/>
        </w:rPr>
        <w:t xml:space="preserve"> (Nfld.C.A.).</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Brimacombe v. Mathews, </w:t>
      </w:r>
      <w:hyperlink r:id="rId312" w:history="1">
        <w:r>
          <w:rPr>
            <w:rFonts w:ascii="arial" w:eastAsia="arial" w:hAnsi="arial" w:cs="arial"/>
            <w:i/>
            <w:color w:val="0077CC"/>
            <w:sz w:val="20"/>
            <w:u w:val="single"/>
            <w:shd w:val="clear" w:color="auto" w:fill="FFFFFF"/>
            <w:lang w:val="en-US" w:eastAsia="en-US" w:bidi="ar-SA"/>
          </w:rPr>
          <w:t>[1999] B.C.J. No. 90</w:t>
        </w:r>
      </w:hyperlink>
      <w:r>
        <w:rPr>
          <w:rFonts w:ascii="arial" w:eastAsia="arial" w:hAnsi="arial" w:cs="arial"/>
          <w:color w:val="000000"/>
          <w:sz w:val="20"/>
          <w:lang w:val="en-US" w:eastAsia="en-US" w:bidi="ar-SA"/>
        </w:rPr>
        <w:t xml:space="preserve"> (S.C.).</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Bucknam v. Kostuik </w:t>
      </w:r>
      <w:hyperlink r:id="rId313" w:history="1">
        <w:r>
          <w:rPr>
            <w:rFonts w:ascii="arial" w:eastAsia="arial" w:hAnsi="arial" w:cs="arial"/>
            <w:i/>
            <w:color w:val="0077CC"/>
            <w:sz w:val="20"/>
            <w:u w:val="single"/>
            <w:shd w:val="clear" w:color="auto" w:fill="FFFFFF"/>
            <w:lang w:val="en-US" w:eastAsia="en-US" w:bidi="ar-SA"/>
          </w:rPr>
          <w:t>(1983) 44 O.R. (2d) 102</w:t>
        </w:r>
      </w:hyperlink>
      <w:r>
        <w:rPr>
          <w:rFonts w:ascii="arial" w:eastAsia="arial" w:hAnsi="arial" w:cs="arial"/>
          <w:color w:val="000000"/>
          <w:sz w:val="20"/>
          <w:lang w:val="en-US" w:eastAsia="en-US" w:bidi="ar-SA"/>
        </w:rPr>
        <w:t xml:space="preserve"> (Ont. H.Ct.).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Challand v. Bell, </w:t>
      </w:r>
      <w:hyperlink r:id="rId314" w:history="1">
        <w:r>
          <w:rPr>
            <w:rFonts w:ascii="arial" w:eastAsia="arial" w:hAnsi="arial" w:cs="arial"/>
            <w:i/>
            <w:color w:val="0077CC"/>
            <w:sz w:val="20"/>
            <w:u w:val="single"/>
            <w:shd w:val="clear" w:color="auto" w:fill="FFFFFF"/>
            <w:lang w:val="en-US" w:eastAsia="en-US" w:bidi="ar-SA"/>
          </w:rPr>
          <w:t>(1959) 18 D.L.R. (2d) 150</w:t>
        </w:r>
      </w:hyperlink>
      <w:r>
        <w:rPr>
          <w:rFonts w:ascii="arial" w:eastAsia="arial" w:hAnsi="arial" w:cs="arial"/>
          <w:color w:val="000000"/>
          <w:sz w:val="20"/>
          <w:lang w:val="en-US" w:eastAsia="en-US" w:bidi="ar-SA"/>
        </w:rPr>
        <w:t xml:space="preserve"> (Alta.Q.B.).</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Chattu v. Pankratz </w:t>
      </w:r>
      <w:hyperlink r:id="rId315" w:history="1">
        <w:r>
          <w:rPr>
            <w:rFonts w:ascii="arial" w:eastAsia="arial" w:hAnsi="arial" w:cs="arial"/>
            <w:i/>
            <w:color w:val="0077CC"/>
            <w:sz w:val="20"/>
            <w:u w:val="single"/>
            <w:shd w:val="clear" w:color="auto" w:fill="FFFFFF"/>
            <w:lang w:val="en-US" w:eastAsia="en-US" w:bidi="ar-SA"/>
          </w:rPr>
          <w:t>[1990] B.C.J. No. 704</w:t>
        </w:r>
      </w:hyperlink>
      <w:r>
        <w:rPr>
          <w:rFonts w:ascii="arial" w:eastAsia="arial" w:hAnsi="arial" w:cs="arial"/>
          <w:color w:val="000000"/>
          <w:sz w:val="20"/>
          <w:lang w:val="en-US" w:eastAsia="en-US" w:bidi="ar-SA"/>
        </w:rPr>
        <w:t xml:space="preserve"> (S.C.).</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Child v. Vancouver General Hospital </w:t>
      </w:r>
      <w:hyperlink r:id="rId335" w:history="1">
        <w:r>
          <w:rPr>
            <w:rFonts w:ascii="arial" w:eastAsia="arial" w:hAnsi="arial" w:cs="arial"/>
            <w:i/>
            <w:color w:val="0077CC"/>
            <w:sz w:val="20"/>
            <w:u w:val="single"/>
            <w:shd w:val="clear" w:color="auto" w:fill="FFFFFF"/>
            <w:lang w:val="en-US" w:eastAsia="en-US" w:bidi="ar-SA"/>
          </w:rPr>
          <w:t>[1970] S.C.R. 477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Chow</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xml:space="preserve">(Litigation guardian of) v. Wellesley Hospital, </w:t>
            </w:r>
            <w:hyperlink r:id="rId316" w:history="1">
              <w:r>
                <w:rPr>
                  <w:rFonts w:ascii="arial" w:eastAsia="arial" w:hAnsi="arial" w:cs="arial"/>
                  <w:i/>
                  <w:color w:val="0077CC"/>
                  <w:sz w:val="18"/>
                  <w:u w:val="single"/>
                  <w:shd w:val="clear" w:color="auto" w:fill="FFFFFF"/>
                  <w:lang w:val="en-US" w:eastAsia="en-US" w:bidi="ar-SA"/>
                </w:rPr>
                <w:t>[1999] O.J. No. 279</w:t>
              </w:r>
            </w:hyperlink>
            <w:r>
              <w:rPr>
                <w:rFonts w:ascii="arial" w:eastAsia="arial" w:hAnsi="arial" w:cs="arial"/>
                <w:color w:val="000000"/>
                <w:sz w:val="18"/>
                <w:lang w:val="en-US" w:eastAsia="en-US" w:bidi="ar-SA"/>
              </w:rPr>
              <w:t xml:space="preserve"> (Ont.Gen.Div.).</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1080"/>
        <w:rPr>
          <w:lang w:val="en-US" w:eastAsia="en-US" w:bidi="ar-SA"/>
        </w:rPr>
      </w:pPr>
      <w:r>
        <w:rPr>
          <w:rFonts w:ascii="arial" w:eastAsia="arial" w:hAnsi="arial" w:cs="arial"/>
          <w:color w:val="000000"/>
          <w:sz w:val="20"/>
          <w:lang w:val="en-US" w:eastAsia="en-US" w:bidi="ar-SA"/>
        </w:rPr>
        <w:t xml:space="preserve">Granger (Litigation guardian of) v. Ottawa General Hospital, </w:t>
      </w:r>
      <w:hyperlink r:id="rId317" w:history="1">
        <w:r>
          <w:rPr>
            <w:rFonts w:ascii="arial" w:eastAsia="arial" w:hAnsi="arial" w:cs="arial"/>
            <w:i/>
            <w:color w:val="0077CC"/>
            <w:sz w:val="20"/>
            <w:u w:val="single"/>
            <w:shd w:val="clear" w:color="auto" w:fill="FFFFFF"/>
            <w:lang w:val="en-US" w:eastAsia="en-US" w:bidi="ar-SA"/>
          </w:rPr>
          <w:t>[1996] O.J. No. 2129</w:t>
        </w:r>
      </w:hyperlink>
      <w:r>
        <w:rPr>
          <w:rFonts w:ascii="arial" w:eastAsia="arial" w:hAnsi="arial" w:cs="arial"/>
          <w:color w:val="000000"/>
          <w:sz w:val="20"/>
          <w:lang w:val="en-US" w:eastAsia="en-US" w:bidi="ar-SA"/>
        </w:rPr>
        <w:t xml:space="preserve"> (Ont.Gen.Div.).</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Heidebrecht v. The Fraser-Burrard Hospital Society, </w:t>
      </w:r>
      <w:hyperlink r:id="rId318" w:history="1">
        <w:r>
          <w:rPr>
            <w:rFonts w:ascii="arial" w:eastAsia="arial" w:hAnsi="arial" w:cs="arial"/>
            <w:i/>
            <w:color w:val="0077CC"/>
            <w:sz w:val="20"/>
            <w:u w:val="single"/>
            <w:shd w:val="clear" w:color="auto" w:fill="FFFFFF"/>
            <w:lang w:val="en-US" w:eastAsia="en-US" w:bidi="ar-SA"/>
          </w:rPr>
          <w:t>[1996] B.C.J. No. 3042</w:t>
        </w:r>
      </w:hyperlink>
      <w:r>
        <w:rPr>
          <w:rFonts w:ascii="arial" w:eastAsia="arial" w:hAnsi="arial" w:cs="arial"/>
          <w:color w:val="000000"/>
          <w:sz w:val="20"/>
          <w:lang w:val="en-US" w:eastAsia="en-US" w:bidi="ar-SA"/>
        </w:rPr>
        <w:t>, October 10, 1996, B.C.S.C. Vancouver Registry No. C933456.</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Hopp v. Lepp, </w:t>
      </w:r>
      <w:hyperlink r:id="rId287"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Lafferiere v. Lawson </w:t>
      </w:r>
      <w:hyperlink r:id="rId319" w:history="1">
        <w:r>
          <w:rPr>
            <w:rFonts w:ascii="arial" w:eastAsia="arial" w:hAnsi="arial" w:cs="arial"/>
            <w:i/>
            <w:color w:val="0077CC"/>
            <w:sz w:val="20"/>
            <w:u w:val="single"/>
            <w:shd w:val="clear" w:color="auto" w:fill="FFFFFF"/>
            <w:lang w:val="en-US" w:eastAsia="en-US" w:bidi="ar-SA"/>
          </w:rPr>
          <w:t>[1991] 1 S.C.R. 541</w:t>
        </w:r>
      </w:hyperlink>
      <w:r>
        <w:rPr>
          <w:rFonts w:ascii="arial" w:eastAsia="arial" w:hAnsi="arial" w:cs="arial"/>
          <w:color w:val="000000"/>
          <w:sz w:val="20"/>
          <w:lang w:val="en-US" w:eastAsia="en-US" w:bidi="ar-SA"/>
        </w:rPr>
        <w:t>.</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Lapointe v. Hopital Le Gardeur (No. 1)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Layton v. Wescott </w:t>
      </w:r>
      <w:hyperlink r:id="rId320" w:history="1">
        <w:r>
          <w:rPr>
            <w:rFonts w:ascii="arial" w:eastAsia="arial" w:hAnsi="arial" w:cs="arial"/>
            <w:i/>
            <w:color w:val="0077CC"/>
            <w:sz w:val="20"/>
            <w:u w:val="single"/>
            <w:shd w:val="clear" w:color="auto" w:fill="FFFFFF"/>
            <w:lang w:val="en-US" w:eastAsia="en-US" w:bidi="ar-SA"/>
          </w:rPr>
          <w:t>[1992] A.J. No. 1049</w:t>
        </w:r>
      </w:hyperlink>
      <w:r>
        <w:rPr>
          <w:rFonts w:ascii="arial" w:eastAsia="arial" w:hAnsi="arial" w:cs="arial"/>
          <w:color w:val="000000"/>
          <w:sz w:val="20"/>
          <w:lang w:val="en-US" w:eastAsia="en-US" w:bidi="ar-SA"/>
        </w:rPr>
        <w:t xml:space="preserve"> (Alta.Q.B.).</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Levesque v. Comeau </w:t>
      </w:r>
      <w:hyperlink r:id="rId321" w:history="1">
        <w:r>
          <w:rPr>
            <w:rFonts w:ascii="arial" w:eastAsia="arial" w:hAnsi="arial" w:cs="arial"/>
            <w:i/>
            <w:color w:val="0077CC"/>
            <w:sz w:val="20"/>
            <w:u w:val="single"/>
            <w:shd w:val="clear" w:color="auto" w:fill="FFFFFF"/>
            <w:lang w:val="en-US" w:eastAsia="en-US" w:bidi="ar-SA"/>
          </w:rPr>
          <w:t>[1970] S.C.R. 1010</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MacDonald v. Ross </w:t>
      </w:r>
      <w:hyperlink r:id="rId322" w:history="1">
        <w:r>
          <w:rPr>
            <w:rFonts w:ascii="arial" w:eastAsia="arial" w:hAnsi="arial" w:cs="arial"/>
            <w:i/>
            <w:color w:val="0077CC"/>
            <w:sz w:val="20"/>
            <w:u w:val="single"/>
            <w:shd w:val="clear" w:color="auto" w:fill="FFFFFF"/>
            <w:lang w:val="en-US" w:eastAsia="en-US" w:bidi="ar-SA"/>
          </w:rPr>
          <w:t>[1983] N.S.J. No. 65</w:t>
        </w:r>
      </w:hyperlink>
      <w:r>
        <w:rPr>
          <w:rFonts w:ascii="arial" w:eastAsia="arial" w:hAnsi="arial" w:cs="arial"/>
          <w:color w:val="000000"/>
          <w:sz w:val="20"/>
          <w:lang w:val="en-US" w:eastAsia="en-US" w:bidi="ar-SA"/>
        </w:rPr>
        <w:t xml:space="preserve"> (N.S.S.C.).</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Norberg v. Wynrib </w:t>
      </w:r>
      <w:hyperlink r:id="rId323"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Reibl v. Hughes </w:t>
      </w:r>
      <w:hyperlink r:id="rId291"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Rothwell v. Raes [1990] 2. O.R. (3d) 332 (Ont.C.A.).</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Serre v. de Tilly </w:t>
      </w:r>
      <w:hyperlink r:id="rId324" w:history="1">
        <w:r>
          <w:rPr>
            <w:rFonts w:ascii="arial" w:eastAsia="arial" w:hAnsi="arial" w:cs="arial"/>
            <w:i/>
            <w:color w:val="0077CC"/>
            <w:sz w:val="20"/>
            <w:u w:val="single"/>
            <w:shd w:val="clear" w:color="auto" w:fill="FFFFFF"/>
            <w:lang w:val="en-US" w:eastAsia="en-US" w:bidi="ar-SA"/>
          </w:rPr>
          <w:t>(1975) 58 D.L.R. (3d) 362</w:t>
        </w:r>
      </w:hyperlink>
      <w:r>
        <w:rPr>
          <w:rFonts w:ascii="arial" w:eastAsia="arial" w:hAnsi="arial" w:cs="arial"/>
          <w:color w:val="000000"/>
          <w:sz w:val="20"/>
          <w:lang w:val="en-US" w:eastAsia="en-US" w:bidi="ar-SA"/>
        </w:rPr>
        <w:t xml:space="preserve"> (Ont.H.Ct.).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Sevier v. Mann </w:t>
      </w:r>
      <w:hyperlink r:id="rId325" w:history="1">
        <w:r>
          <w:rPr>
            <w:rFonts w:ascii="arial" w:eastAsia="arial" w:hAnsi="arial" w:cs="arial"/>
            <w:i/>
            <w:color w:val="0077CC"/>
            <w:sz w:val="20"/>
            <w:u w:val="single"/>
            <w:shd w:val="clear" w:color="auto" w:fill="FFFFFF"/>
            <w:lang w:val="en-US" w:eastAsia="en-US" w:bidi="ar-SA"/>
          </w:rPr>
          <w:t>[1994] B.C.J. No. 18</w:t>
        </w:r>
      </w:hyperlink>
      <w:r>
        <w:rPr>
          <w:rFonts w:ascii="arial" w:eastAsia="arial" w:hAnsi="arial" w:cs="arial"/>
          <w:color w:val="000000"/>
          <w:sz w:val="20"/>
          <w:lang w:val="en-US" w:eastAsia="en-US" w:bidi="ar-SA"/>
        </w:rPr>
        <w:t xml:space="preserve"> (S.C.).</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Shobridge v. Thomas </w:t>
      </w:r>
      <w:hyperlink r:id="rId326" w:history="1">
        <w:r>
          <w:rPr>
            <w:rFonts w:ascii="arial" w:eastAsia="arial" w:hAnsi="arial" w:cs="arial"/>
            <w:i/>
            <w:color w:val="0077CC"/>
            <w:sz w:val="20"/>
            <w:u w:val="single"/>
            <w:shd w:val="clear" w:color="auto" w:fill="FFFFFF"/>
            <w:lang w:val="en-US" w:eastAsia="en-US" w:bidi="ar-SA"/>
          </w:rPr>
          <w:t>[1999] B.C.J. No. 1747</w:t>
        </w:r>
      </w:hyperlink>
      <w:r>
        <w:rPr>
          <w:rFonts w:ascii="arial" w:eastAsia="arial" w:hAnsi="arial" w:cs="arial"/>
          <w:color w:val="000000"/>
          <w:sz w:val="20"/>
          <w:lang w:val="en-US" w:eastAsia="en-US" w:bidi="ar-SA"/>
        </w:rPr>
        <w:t xml:space="preserve"> (S.C.).</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Snell v. Farrell </w:t>
      </w:r>
      <w:hyperlink r:id="rId327"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Snider v. Henniger </w:t>
      </w:r>
      <w:hyperlink r:id="rId328" w:history="1">
        <w:r>
          <w:rPr>
            <w:rFonts w:ascii="arial" w:eastAsia="arial" w:hAnsi="arial" w:cs="arial"/>
            <w:i/>
            <w:color w:val="0077CC"/>
            <w:sz w:val="20"/>
            <w:u w:val="single"/>
            <w:shd w:val="clear" w:color="auto" w:fill="FFFFFF"/>
            <w:lang w:val="en-US" w:eastAsia="en-US" w:bidi="ar-SA"/>
          </w:rPr>
          <w:t>[1992] B.C.J. No. 1982</w:t>
        </w:r>
      </w:hyperlink>
      <w:r>
        <w:rPr>
          <w:rFonts w:ascii="arial" w:eastAsia="arial" w:hAnsi="arial" w:cs="arial"/>
          <w:color w:val="000000"/>
          <w:sz w:val="20"/>
          <w:lang w:val="en-US" w:eastAsia="en-US" w:bidi="ar-SA"/>
        </w:rPr>
        <w:t xml:space="preserve"> (S.C.).</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Sohal v. Brar </w:t>
      </w:r>
      <w:hyperlink r:id="rId329" w:history="1">
        <w:r>
          <w:rPr>
            <w:rFonts w:ascii="arial" w:eastAsia="arial" w:hAnsi="arial" w:cs="arial"/>
            <w:i/>
            <w:color w:val="0077CC"/>
            <w:sz w:val="20"/>
            <w:u w:val="single"/>
            <w:shd w:val="clear" w:color="auto" w:fill="FFFFFF"/>
            <w:lang w:val="en-US" w:eastAsia="en-US" w:bidi="ar-SA"/>
          </w:rPr>
          <w:t>(1998) 211 A.R. 81</w:t>
        </w:r>
      </w:hyperlink>
      <w:r>
        <w:rPr>
          <w:rFonts w:ascii="arial" w:eastAsia="arial" w:hAnsi="arial" w:cs="arial"/>
          <w:color w:val="000000"/>
          <w:sz w:val="20"/>
          <w:lang w:val="en-US" w:eastAsia="en-US" w:bidi="ar-SA"/>
        </w:rPr>
        <w:t xml:space="preserve"> (Q.B.).</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Tacknyk v. Lake of the Woods Clinic </w:t>
      </w:r>
      <w:hyperlink r:id="rId330" w:history="1">
        <w:r>
          <w:rPr>
            <w:rFonts w:ascii="arial" w:eastAsia="arial" w:hAnsi="arial" w:cs="arial"/>
            <w:i/>
            <w:color w:val="0077CC"/>
            <w:sz w:val="20"/>
            <w:u w:val="single"/>
            <w:shd w:val="clear" w:color="auto" w:fill="FFFFFF"/>
            <w:lang w:val="en-US" w:eastAsia="en-US" w:bidi="ar-SA"/>
          </w:rPr>
          <w:t>[1982] O.J. No. 170</w:t>
        </w:r>
      </w:hyperlink>
      <w:r>
        <w:rPr>
          <w:rFonts w:ascii="arial" w:eastAsia="arial" w:hAnsi="arial" w:cs="arial"/>
          <w:color w:val="000000"/>
          <w:sz w:val="20"/>
          <w:lang w:val="en-US" w:eastAsia="en-US" w:bidi="ar-SA"/>
        </w:rPr>
        <w:t xml:space="preserve"> (Ont.C.A.).</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Tekano (Guardian ad litem of) v. Lions Gate Hospital, </w:t>
      </w:r>
      <w:hyperlink r:id="rId331" w:history="1">
        <w:r>
          <w:rPr>
            <w:rFonts w:ascii="arial" w:eastAsia="arial" w:hAnsi="arial" w:cs="arial"/>
            <w:i/>
            <w:color w:val="0077CC"/>
            <w:sz w:val="20"/>
            <w:u w:val="single"/>
            <w:shd w:val="clear" w:color="auto" w:fill="FFFFFF"/>
            <w:lang w:val="en-US" w:eastAsia="en-US" w:bidi="ar-SA"/>
          </w:rPr>
          <w:t>[1999] B.C.J. No. 1763</w:t>
        </w:r>
      </w:hyperlink>
      <w:r>
        <w:rPr>
          <w:rFonts w:ascii="arial" w:eastAsia="arial" w:hAnsi="arial" w:cs="arial"/>
          <w:color w:val="000000"/>
          <w:sz w:val="20"/>
          <w:lang w:val="en-US" w:eastAsia="en-US" w:bidi="ar-SA"/>
        </w:rPr>
        <w:t>, July 26, 1999, B.C.S.C. Vancouver Registry No. C973422.</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Ter Neuzen v. Korn </w:t>
      </w:r>
      <w:hyperlink r:id="rId297"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(1995) 127 D.L.R. (4th) 577</w:t>
        </w:r>
      </w:hyperlink>
      <w:r>
        <w:rPr>
          <w:rFonts w:ascii="arial" w:eastAsia="arial" w:hAnsi="arial" w:cs="arial"/>
          <w:color w:val="000000"/>
          <w:sz w:val="20"/>
          <w:lang w:val="en-US" w:eastAsia="en-US" w:bidi="ar-SA"/>
        </w:rPr>
        <w:t>.</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Van Mol (Guardian ad litem of) v. Ashmore </w:t>
      </w:r>
      <w:hyperlink r:id="rId288" w:history="1">
        <w:r>
          <w:rPr>
            <w:rFonts w:ascii="arial" w:eastAsia="arial" w:hAnsi="arial" w:cs="arial"/>
            <w:i/>
            <w:color w:val="0077CC"/>
            <w:sz w:val="20"/>
            <w:u w:val="single"/>
            <w:shd w:val="clear" w:color="auto" w:fill="FFFFFF"/>
            <w:lang w:val="en-US" w:eastAsia="en-US" w:bidi="ar-SA"/>
          </w:rPr>
          <w:t>[1999] B.C.J. No. 31</w:t>
        </w:r>
      </w:hyperlink>
      <w:r>
        <w:rPr>
          <w:rFonts w:ascii="arial" w:eastAsia="arial" w:hAnsi="arial" w:cs="arial"/>
          <w:color w:val="000000"/>
          <w:sz w:val="20"/>
          <w:lang w:val="en-US" w:eastAsia="en-US" w:bidi="ar-SA"/>
        </w:rPr>
        <w:t xml:space="preserve"> (C.A.).</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Videto v. Kennedy </w:t>
      </w:r>
      <w:hyperlink r:id="rId332" w:history="1">
        <w:r>
          <w:rPr>
            <w:rFonts w:ascii="arial" w:eastAsia="arial" w:hAnsi="arial" w:cs="arial"/>
            <w:i/>
            <w:color w:val="0077CC"/>
            <w:sz w:val="20"/>
            <w:u w:val="single"/>
            <w:shd w:val="clear" w:color="auto" w:fill="FFFFFF"/>
            <w:lang w:val="en-US" w:eastAsia="en-US" w:bidi="ar-SA"/>
          </w:rPr>
          <w:t>(1981) 33 O.R. (2d) 497</w:t>
        </w:r>
      </w:hyperlink>
      <w:r>
        <w:rPr>
          <w:rFonts w:ascii="arial" w:eastAsia="arial" w:hAnsi="arial" w:cs="arial"/>
          <w:color w:val="000000"/>
          <w:sz w:val="20"/>
          <w:lang w:val="en-US" w:eastAsia="en-US" w:bidi="ar-SA"/>
        </w:rPr>
        <w:t xml:space="preserve"> (Ont.C.A.).</w:t>
      </w:r>
    </w:p>
    <w:p>
      <w:pPr>
        <w:spacing w:before="120" w:line="260" w:lineRule="atLeast"/>
        <w:ind w:left="1080"/>
        <w:rPr>
          <w:lang w:val="en-US" w:eastAsia="en-US" w:bidi="ar-SA"/>
        </w:rPr>
      </w:pPr>
      <w:r>
        <w:rPr>
          <w:rFonts w:ascii="arial" w:eastAsia="arial" w:hAnsi="arial" w:cs="arial"/>
          <w:color w:val="000000"/>
          <w:sz w:val="20"/>
          <w:lang w:val="en-US" w:eastAsia="en-US" w:bidi="ar-SA"/>
        </w:rPr>
        <w:t>Webster v. Chapman (6 April 1996), Winnipeg Registry 85-01-03565 (Man.Q.B.).</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White v. Turner </w:t>
      </w:r>
      <w:hyperlink r:id="rId333" w:history="1">
        <w:r>
          <w:rPr>
            <w:rFonts w:ascii="arial" w:eastAsia="arial" w:hAnsi="arial" w:cs="arial"/>
            <w:i/>
            <w:color w:val="0077CC"/>
            <w:sz w:val="20"/>
            <w:u w:val="single"/>
            <w:shd w:val="clear" w:color="auto" w:fill="FFFFFF"/>
            <w:lang w:val="en-US" w:eastAsia="en-US" w:bidi="ar-SA"/>
          </w:rPr>
          <w:t>(1981) 120 D.L.R. (3d) 269</w:t>
        </w:r>
      </w:hyperlink>
      <w:r>
        <w:rPr>
          <w:rFonts w:ascii="arial" w:eastAsia="arial" w:hAnsi="arial" w:cs="arial"/>
          <w:color w:val="000000"/>
          <w:sz w:val="20"/>
          <w:lang w:val="en-US" w:eastAsia="en-US" w:bidi="ar-SA"/>
        </w:rPr>
        <w:t xml:space="preserve"> (Ont.H.Ct.).</w:t>
      </w:r>
    </w:p>
    <w:p>
      <w:pPr>
        <w:spacing w:before="120" w:line="260" w:lineRule="atLeast"/>
        <w:ind w:left="720"/>
        <w:rPr>
          <w:lang w:val="en-US" w:eastAsia="en-US" w:bidi="ar-SA"/>
        </w:rPr>
      </w:pPr>
      <w:r>
        <w:rPr>
          <w:rFonts w:ascii="arial" w:eastAsia="arial" w:hAnsi="arial" w:cs="arial"/>
          <w:color w:val="000000"/>
          <w:sz w:val="20"/>
          <w:lang w:val="en-US" w:eastAsia="en-US" w:bidi="ar-SA"/>
        </w:rPr>
        <w:t>Whitehouse v. Jordan [1980] 1 All ER 650 (C.A.).</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Wilson v. Swanson </w:t>
      </w:r>
      <w:hyperlink r:id="rId294" w:history="1">
        <w:r>
          <w:rPr>
            <w:rFonts w:ascii="arial" w:eastAsia="arial" w:hAnsi="arial" w:cs="arial"/>
            <w:i/>
            <w:color w:val="0077CC"/>
            <w:sz w:val="20"/>
            <w:u w:val="single"/>
            <w:shd w:val="clear" w:color="auto" w:fill="FFFFFF"/>
            <w:lang w:val="en-US" w:eastAsia="en-US" w:bidi="ar-SA"/>
          </w:rPr>
          <w:t>(1956) 5 D.L.R. (2d) 113</w:t>
        </w:r>
      </w:hyperlink>
      <w:r>
        <w:rPr>
          <w:rFonts w:ascii="arial" w:eastAsia="arial" w:hAnsi="arial" w:cs="arial"/>
          <w:color w:val="000000"/>
          <w:sz w:val="20"/>
          <w:lang w:val="en-US" w:eastAsia="en-US" w:bidi="ar-SA"/>
        </w:rPr>
        <w:t xml:space="preserve"> (S.C.C.).</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Wipfli (Guardian ad litem of) v. Britten </w:t>
      </w:r>
      <w:hyperlink r:id="rId334" w:history="1">
        <w:r>
          <w:rPr>
            <w:rFonts w:ascii="arial" w:eastAsia="arial" w:hAnsi="arial" w:cs="arial"/>
            <w:i/>
            <w:color w:val="0077CC"/>
            <w:sz w:val="20"/>
            <w:u w:val="single"/>
            <w:shd w:val="clear" w:color="auto" w:fill="FFFFFF"/>
            <w:lang w:val="en-US" w:eastAsia="en-US" w:bidi="ar-SA"/>
          </w:rPr>
          <w:t>[1984] B.C.J. No. 1811</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FINDINGS OF FACT AND 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Toby Diane Pressney was 20 years old when she became pregnant with David in 1992. At the time of conception, she was living in Alberta with Mark Westerhof.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Sometime before November 23, 1992 - no evidence was led about the exact date of the move - Ms. Pressney and Mr. Westerhof moved to the lower mainland of British Columbia. On November 23, 1992, Ms. Pressney went to the Hanna Medical Clinic on Boundary Road in Vancouver, and was seen by Dr. Ableman, a physician in family practice at that clinic.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Ableman was not called to testify at trial, an entirely unsatisfactory omission; but clinical records obtained from him were introduced into evidence by agreement between the parties. No witness identified any of the handwriting on the records. However, the parties agreed, implicitly at least, that the Dr. Ableman made some of the entries in those records.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notations in Dr. Ableman's clinical records are brief and many of the notations are either illegible or consist largely of indecipherable abbreviations. None of the parties bothered to have Dr. Ableman decipher his notes for the court's benefit. However, it appears from notes in Ms. Pressney's Prenatal Record that Dr. Ableman believed, on November 23, 1992, that Ms. Pressney was in the 32nd week of gestation. On a separate record, titled "Prenatal Record", under the heading "LMP" which means, the parties agreed, "last menstrual period", the date "21Apr92" appears.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Under the heading "EDC" on the Prenatal Record, which the parties agreed means "expected date of confinement", the date February 11, 1993 appears. For reasons I shall later state, I am satisfied that this date is incorrect, and that Ms. Pressney's actual expected delivery date was sometime between January 25 and 28.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Following Ms. Pressney's visit to Dr. Ableman's office on November 23, 1992, Dr. Ableman arranged for Ms. Pressney to have an obstetrical ultrasound examination at the Hospital on November 24, 1992. The Radiology Consultation Report confirmed that Ms. Pressney was pregnant with a single live foetus in a "cephalic" (head down) position. The radiologist's opinion was that the gestational age of the foetus was 30 weeks 3 days plus or minus two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 to the clinical records, Dr. Ableman saw Ms. Pressney again on December 4 and 30. On December 30, Ms. Pressney complained of pain in her right hip. Dr. Ableman referred her to the defendant, Dr. Richards, who specializes in obstetrics and gynecology. At that time, Dr. Richards spent each Wednesday at the Hanna Medical Clinic and saw patients there on referral. Dr. Richards had hospital privileges at the defendant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Pressney saw Dr. Richards for the first time on January 6, 1993. Dr. Richards had access to Dr. Ableman's clinical records. He copied some of the information about Ms. Pressney from the Prenatal Record into his own clinical records.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Richards understood that Ms. Pressney had been referred to him because of pain in her right hip, and a high blood pressure reading. Ms. Pressney told Dr. Richards that she had damaged her coccyx (tailbone) in a skiing accident in 1991 or 1992. Ms. Pressney's blood pressure was not elevated at the time Dr. Richards examined her on January 6, 1993.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Richards reported to Dr. Ableman. He thought it likely the hip pain would cease following delivery. He recommended monitoring Ms. Pressney's blood pressure, and double-checking a test for diabetes.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ASSESSMENT OF CREDIBILITY - MS. PRESSNEY AND DR. RICHARDS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Richards testified that when he saw Ms. Pressney's Prenatal Record on January 6, 1993, only one previous pregnancy was recorded under the heading "Obstetrical History Including Abortions". Dr. Richards understood from this that that Ms. Pressney had one previous pregnancy, in May 1991, which had ended with a miscarriage at 20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first entry under the heading "Pregnancies" in Dr. Ableman's Prenatal record, as I decipher it, actually appears to state "Sept.91 - misc... (the rest of the word is indecipherable) followed by the numbers "20 52".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Aside from the fact that Ms. Pressney had had a previous pregnancy, which is relevant for reasons I shall refer to later, the issue of Ms. Pressney's obstetrical history is also relevant to my assessment of Ms. Pressney's credibility. In particular, it is relevant to an assessment of her ability as a witness to accurately recall and report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for Ms. Pressney, in submissions at the end of trial, made surprisingly disparaging remarks about Ms. Pressney, about her cognitive abilities and her performance as a witness. I do not wish to quote what he said about her, but do wish to say that in my view, the remarks were inappropriate and unwarranted.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Considerable time has passed since the events that led to this litigation. Ms. Pressney's examination in chief was conducted in an erratic matter, organized neither chronologically nor by subject matter. Some matters were, inexplicably, not addressed at all during her direct examination. For example, Ms. Pressney was not asked about her recollection of events occurring at the Hospital on February 8, 1993.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satisfied that Ms. Pressney is not an unintelligent woman, and that she was making a genuine effort to truthfully relate what she could recall. However, I did find her to be a poor historian. There were, for example, unexplained inconsistencies in her testimony about the number and timing of her previous pregnancies. There were also inconsistencies in evidence she gave in direct and in cross-examination concerning what she was told by Dr. Richards on February 8, 1993.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clearest example of an unexplained inconsistency in Ms. Pressney's testimony concerns her obstetrical history. I referred earlier to the copy of Ms. Pressney's Prenatal Record found in Dr. Ableman's clinical records, which recorded only one previous pregnancy, which had apparently ended with a miscarriage in the 20th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second copy of the Prenatal Record was obtained from Ms. Pressney's clinical records kept at the Hospital. That copy contains different information about Ms. Pressney's obstetrical history. Under the heading "Obstetrical History Including Abortions", a line has been drawn through the first notation (which is identical to the notation on Dr. Ableman's copy of the Prenatal Record) and three additional entries have been added. The second entry appears to record the vaginal delivery of a female child in Edmonton in October 1990, after one and one-half hours of labour; that the child weighed 4 lbs. 5 ozs.; and that it was "adopted out". The second new entry reads: "Sept.91 Calgary, 5 wks. miscarriage". The final entry reads: "Sept.92 Calgary 21 wks. miscarriage".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Richards testified that only the first of these entries appears on Ms. Pressney's Prenatal Record when Dr. Richards reviewed it at the Hanna Clinic on January 6, 1993. He testified that he saw the other entries for the first time on February 8, 1993, at the time of Ms. Pressney's admission to the Hospital for induction.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trial, Ms. Pressney testified in direct that she told Dr. Ableman that she had had one previous pregnancy, and that she had miscarried in October 1990, at 29 weeks, after a labour of 1 and 1/2 hours. In cross-examination, she said that this pregnancy was her only pregnancy prior to her pregnancy with David. She said the child born prematurely in October 1990 had died. She said that the other two pregnancies referred to in the Hospital's copy of the Prenatal Records had not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Pressney was referred, however, to the transcript of her evidence on examination for discovery, at which she confirmed that in addition to the 1990 premature delivery, she had had a miscarriage in September 1991 at 5 and 1/2 weeks. She denied, on discovery and at trial, having had a third miscarriage in September 1992, and she is undoubtedly correct about that, since she was already pregnant with David in September 1992.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cross-examination at trial, she testified that her answer given on examination for discovery was not true. She denied, at trial, having had a miscarriage in September 1991. Her counsel did not re-examine her on this point, so we do not know if she could have offered an explanation for the inconsistency in her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No evidence was led to explain the obvious discrepancies between the copy of the Prenatal Record found in Dr. Ableman's clinical records, and the copy found in the Hospital's records. It's not necessary to resolve the discrepancies, since the fact that was most relevant for the physicians and nurses caring for Mr. Pressney during delivery is undisputed. That is the fact that Ms. Pressney had at least once previously given birth, and that her labour, on that previous occasion, had been rapid.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However, Ms. Pressney's apparent inability to accurately recall or relate her obstetrical history does cast doubt on the accuracy of her recollections of what occurred during her meetings with Dr. Richards. Ms. Pressney also could not recall procedures having been carried out that were contemporaneously recorded on the clinical records maintained by Dr. Richards and which I conclude were performed. Ms. Mann testified, for example, that Dr. Ableman had taken her blood pressure on January 6, but that Dr. Richards had not. However, in Dr. Richards' report to Dr. Ableman, he referred to having taken Ms. Pressney's blood pressure. It would be unusual indeed if he had not taken her blood pressure, since Dr. Ableman had referred Ms. Pressney to Dr. Richards in part, because of concern about high blood pressure, and Dr. Richards reported to Dr. Ableman about Ms. Pressney's blood pressure after the January 6 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Dr. Richards has little specific recall of some of his discussions with Ms. Pressney on January 6 or February 8, 1993, in testifying at trial he had the benefit of reference to notes made contemporaneously. His evidence was consistent and reasonable. He was able to testify about procedures he habitually followed when advising patients about labour induction. In general, where Ms. Pressney's recollection of events conflicts with Dr. Richards' notes, or his testimony given in reliance on his usual practise, I consider the testimony of Dr. Richards to be more reliable.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WAS MS. PRESSNEY PAST HER EXPECTED DELIVERY DATE ON FEBRUARY 8, 1993?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Plaintiffs' counsel submitted that the court should conclude that Ms. Pressney was not past her due date on February 8, 1993, and that Dr. Richards was therefore negligent in recommending oxytocin administration to induce labour. Alternatively, plaintiffs' counsel submitted that given the confusion about Ms. Pressney's due date, reflected in the clinical records, Dr. Richards should have delayed induction to obtain additional information. The plaintiffs' submission is that if induction had been delayed for even a day, the cord prolapse would not have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medical witnesses agreed that a pregnancy is generally considered to be full-term at 40 weeks. When Dr. Richards saw Ms. Pressney for the first time on January 6, 1993, he recorded in his clinical records that she had moved to Vancouver from Alberta when she was at 30 weeks. Dr. Richards recorded in his clinical records and reported to Dr. Ableman that he considered her to be in her 34th week of gestation when he saw her on January 6. Dr. Ableman's entry in his Prenatal Record indicates that Dr. Ableman considered her to be in her 37th week of gestation on January 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Richards explained that he estimated Ms. Pressney to be in her 34th week of gestation based based on the entry in Dr. Ableman's Prenatal Record that Ms. Pressney's "Estimated Date of Confinement" was February 11, 1993. A portion of Dr. Richards report to Dr. Ableman following Ms. Pressney's visit on January 6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She is 34 weeks, a little large for dates at 38 cm., but this would be appropriate for someone whose weight is 174 lbs.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entry on Dr. Ableman's record that Ms. Pressney's expected date of confinement was February 11, 1993 appears on the same page someone, likely Dr. Ableman, also recorded that Ms. Pressney was in her 37th week of gestation on January 6, 1993. These two pieces of information are inconsistent.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however, there is ample evidence establishing that by February 8, 1993, Ms. Pressney had passed her true expected date of confinement by at least ten days. At trial, Ms. Pressney agreed that Dr. Ableman had told her that her expected delivery date was sometime between January 25 and January 28, 1993. Dr. Ableman's estimate concurred with what Ms. Pressney had been told after an earlier ultrasound examination she had had in Alberta, and it was consistent with Ms. Pressney's best estimate at the time of the date of her last menstrual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Ableman's Prenatal Record records that Ms. Pressney was at 41 weeks of gestation on February 2, 1993. Dr. Ableman ordered a non-stress test for that date, I conclude, because he believed that Ms. Pressney had passed her expected due date and Dr. Ableman wanted to ensure that the foetus remained viable and was not in distress. The report from this test indicates that the baby was "large".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 second "non-stress test" was done on February 5. The ordering of the second test, so closely on the heels of the first, is also consistent with prudent monitoring of a "post-dates" pregnancy. The results of both tests were satisfactory, with no indication of foetal distress.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Richards was asked to see Ms. Pressney on February 8, 1993, the date of David Mann's birth. I am satisfied that Dr. Ableman sent Ms. Pressney to Dr. Richards on that date because he was concerned that Ms. Pressney was now well past her expected due date, and obstetrical intervention might be warranted. Ms. Pressney saw another doctor in Dr. Richards office on February 8, 1993. That doctor suggested to her, based on Dr. Ableman's Prenatal Record, that her expected date of confinement was February 11, 1993. Ms. Pressney contradicted him. She told him her due dates had been January 25 to 28. She told Dr. Richards the same thing when she saw him on February 8. Dr. Richards testified that this information accorded with the results of the ultrasound examination Ms. Pressney had had on November 24, 1992.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no evidence to explain the notation in the prenatal record of February 11, 1993 as the expected date of confinement. Perhaps Dr. Ableman could have offered an explanation. However, there is no evidence supporting a conclusion that Ms. Pressney's actual due date was February 11, 1993. I conclude that it is more probable than not that Ms. Pressney was in her 42nd week of gestation on February 8, 1993.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EVENTS OF FEBRUARY 8, 1993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Richards saw Ms. Pressney on February 8, 1993, at approximately 1:00 p.m. He had not seen her since his earlier examination of her on January 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Although the expert medical witnesses agree that a significant percentage of pregnancies extend beyond the 40th week, they also agreed that when a pregnancy goes beyond that 40 week period by ten days or more, two medical concerns are central. One of these is that the placenta may become "senile", meaning that it will become less efficient in providing nourishment to the foetus, or even fail, resulting in the death of the foetus. The other is that if the placenta continues to nourish the foetus, the foetus continues to gain weight - approximately one ounce each day - and may become too large, increasing the risks associated with a vaginal delivery, or necessitating a surgical delivery. Dr. Richards understood that he was seeing Ms. Pressney on February 8 to consider whether Ms. Pressney's labour should be induced in order to avoid these risks.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Richards made few notes in his clinical record on February 8. However, he made more notes on a Hospital form called "Physicians' Progress Notes", and on a "Consultation Report" he dictated later that day. I conclude that possibly the Progress Notes and more probably than not the Consultation Report were recorded after David's birth on February 8, 1993. Nevertheless, I accept that the Progress Notes and Consultation Report accurately record the observations made by Dr. Richards when he examined Ms. Pressney in his office and at Hospital on February 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Consultation Report, Dr. Richards recorded that pelvic examination in his office showed Ms. Pressney's cervix to be about 2 cm dilated, with an "obvious bulge of membrane". The cervix was "effaced", which means that the cervix had shortened, softened and become stretchable, indicating that the cervix was preparing for birth. Dr. Richards also assessed the head of the foetus as having descended into Ms. Pressney's pelvic canal to a level he described as "spines -1".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Richards concluded, based on all of this information, that Ms. Pressney was a good candidate for induction of labour in hospital. Dr. Richards decided it would be advisable to perform what he termed a "simple" induction - artificial rupture of the membranes, possibly to be followed by the administration of oxytocin, a hormone that brings on uterine contractions.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Artificial rupture of membranes is done by inserting a small hook through the cervix, up against the bulge of membranes, breaking the membranes with the hook in order to release fluid. The release of fluid enables the uterus to shrink in size, and better fit around the baby. This is usually sufficient to put the patient into labour, or significantly improve the quality of uterine contractions. If a patient fails to go into labour as a result of the rupture of membranes, oxytocin is administered to the patient to cause the uterus to start to contract.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ISSUE OF "ENGAGEMENT"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Richards testified that the head of a foetus is described as "engaged", or "engagement" is considered to have occurred, when the widest part of the baby's head, called the "biparietal" is through the plane of the inlet of the mother's pelvis. Dr. Richards testified that when he examined Ms. Pressney in his office, the top of the baby's head was engaged at "-1".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Since the issue of "engagement" is a central issue in this lawsuit, I will depart from my chronological recitation of the facts to deal with the evidence about how "engagement" of a foetus is determined.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my purposes, the most useful discussion of terminology about foetal descent and engagement is contained in a document annexed to a summary of the opinion of Dr. Keith Pearse, an expert witness called by the plaintiff. The document "Intrapartum Management Modules", 2nd Edition, A Perinatal Education Program, contains useful brief descriptions of some of the key concepts featuring in this lawsuit. I admit this document into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descent of the foetus through the mother's pelvis is described by the relationship of the "presenting part" (the part of the baby's body that will first emerge, usually the top of the baby's head), to an imaginary line drawn between the ischial spines of the mother's pelvis.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"ischial spines" are the bony promontories located at the front of the pelvis. During the vaginal birth process, the foetus must pass through the mother's pelvis, and normally does so in a vertical position, head first (vertical lie, cephalic presentation). The pelvis can be described as funnel-shaped, with the wide pelvic inlet at the top and the much narrower pelvic outlet at the bottom. The "ischial spines" are located approximately halfway between the pelvic inlet and the pelvic outlet. An imaginary line, drawn between the ischial spines, is termed "station zero".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pelvic inlet above and below this imaginary line (station zero) is divided into thirds, or fifths. For the purposes of this case, I shall consider the pelvic inlet to be divided into thirds above and below station zero. When the top of the baby's head is above the spines, at the level of the pelvic inlet, it is said to be at -3 station. If it has descended one-third of the distance below the inlet, it is at -1 station. When the top of the baby's head is one-third or two-thirds the distance between the ischial spines and the pelvic outlet, and therefore below station 0, it is said to be at +1 or +2 station, respectively. When the presenting part descends to the bony outlet of the pelvis, it is resting on the muscles of the vaginal opening and is considered to be at +3 station.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When the presenting part is at station 0, that is, when the top of the baby's head is even with the imaginary line drawn between the ischial spines, it is considered to be at "station zero". At this point, usually, the widest part of the baby's head has passed through the pelvic inlet and the pelvis is thought to be adequate to accommodate the passage of the baby's head through the mother's pelvis. This is called "engagement".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Determining whether "engagement" has occurred, and at what point in relation to the mother's ischial spines, is not a precise science. Doctors and nurses assess engagement by abdominal, vaginal and rectal examination. Reasonable doctors and nurses may disagree about the exact station of the presenting part, and therefore about the amount of foetal descent that has occurred. Dr. Richards testified that when he uses the term "spines -1" or "station minus 1", he means the top of the baby's head is two-thirds of the way down into the pelvis, and he considers the baby's head to be "engaged". The text I have referred to above suggests engagement does not occur at station -1, but rather at station 0. I do not consider these differences in terminology to be significant.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accept Dr. Richards' evidence that when he examined Ms. Pressney in his office on February 8 the head of the foetus had descended to the point that the widest part of the infant's head was even with the narrowest part of Ms. Pressney's pelvis. I accept his evidence that engagement had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Two other terms may usefully be defined here, using the same Module. The first of these is the term "floating", also referred to as "ballotable". These terms are used to describe situations where the baby's head is entirely out of the mother's pelvis and can be moved by the examiner by pressing on the mother's abdomen just about her pubic bone.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"Dipping" is a term used to describe the situation when the top of the baby's head has just started to descend into the pelvis, but is not through the pelvic inlet. The examiner has to feel more deeply abdominally, and the baby's head is not easily moved.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DID DR. RICHARDS FAIL TO ADEQUATELY EXPLAIN TO MS. PRESSNEY THE REASONS FOR INDUCTION AND THE RISKS ASSOCIATED WITH THE PROCEDURE? DID MS. PRESSNEY CONSENT TO THE ADMINISTRATION OF OXYTOCIN?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Richards does not have a specific recollection of his discussions with Ms. Pressney in his office on February 8, 1993, but he testified that he has a standard procedure that he follows with all patients in such circumstances. He testified that it is his standard procedure to discuss with his patient why he thinks induction is necessary. In this case, he says, his reasons were his concerns about the size of the foetus and placental function. He said that following his standard procedure, he explained to Ms. Pressney the methods of induction, his plan to rupture the membranes at hospital, and to possibly use oxytocin. He described it as a discussion with her about the "pros and cons of doing an induction at this stage". Dr. Richards testified that he explained the methods that would be used and "...how it would, hopefully, work out." He explained that the oxytocin that would be administered during induction "is identical to the oxytocin that she herself produces". He said that "our purpose was to try to mimic a normal labour pattern", which would be contractions every 2 and 1 2 to 3 minutes, lasting at least 40 to 50 seconds.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Richards recalled that Ms. Pressney was anxious to have her baby. At Burnaby General Hospital, it was usual to schedule two inductions in the course of a day. After his discussions with Ms. Pressney, and, I conclude, having obtained Ms. Pressney's consent to proceed with induction of labour by either or both of the methods proposed, Dr. Richards called the Hospital and learned that there was opening for an induction that afternoon. He told Ms. Pressney that she should go to the Hospital for this purpose.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direct examination, Ms. Pressney denied having received any explanation from Dr. Richards about why he was arranging for her labour to be induced. She said she could not recall him telling her about the risks of the foetus growing too large, or the placenta failing. She denied that he told her of any risks associated with induction. She says that he did not even tell her what induction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However, in cross-examination Ms. Pressney agreed that Dr. Richards told her that her membranes were bulging. She referred to the fact that when she got to the hospital Dr. Richards couldn't do "the snip" because, she said, her membranes were no longer bulging.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She agreed that Dr. Richards told her that doctors did not like a pregnancy to go on for too long, and that it was dangerous to allow it to go two weeks or more beyond the due date. She agreed that he recommended that she go to hospital for induction. She agreed also that he told her that she could wait for another little while to see whether labour would begin spontaneously.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Pressney agreed that on February 8 she was sore and tired, that she'd been having difficulty breathing and sleeping for about a month. Ms. Pressney agreed that she asked no questions about the information Dr. Richards had given her and that she decided to follow his recommendation to go to hospital for induction.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conclude that Dr. Richards did follow his usual practice and did explain to Ms. Pressney what induction methods he was recommending, the advantages and disadvantages and the alternative available to her. I am satisfied that Ms. Pressney would not have gone to Burnaby General Hospital on February 8, 1993 unless Dr. Richards had given her an explanation about what was expected to occur when she got there. I conclude that she knew that she was going to the hospital to have a procedure or procedures - artificial rupture of membranes and/or oxytocin administration - for the purpose of causing her to go into labour and deliver her child.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was not necessary, in my view, for Dr. Richards to tell Ms. Pressney that in childbirth, whether labour occurs spontaneously or following induction, there are risks, including the risk of cord compression or prolapse. Birth of Ms. Pressney's foetus could not be avoided. I am also satisfied that the risk of cord prolapse, while its consequences are severe, is not a risk that manifests itself frequently enough, or in circumstances that can be predicted or avoided, to require a physician to identify it as a material risk. A reasonable patient in Ms. Pressney's circumstances, receiving information about the risk of cord prolapse during labour, would not, in my view, have declined to proceed with oxytocin induction.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have failed to prove that Dr. Richards fell below the standard required of a reasonably competent and prudent obstetrician in informing Ms. Pressney about the procedures he was recommending, the material risks involved, or the alternatives available to her. I am satisfied that Ms. Pressney received the necessary information to make an informed choice and that she did consent to both of the methods of induction discussed with her in Dr. Richards' office. In particular, I am satisfied that she did give an informed and valid consent to the administration of oxytocin, and that the consent continued to be valid when the administration was carried out at the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Richards called the Labour and Delivery unit at the Hospital at about 2:00 p.m. to arrange for Ms. Pressney's admission. He gave an order over which was recorded by a nurse as "Induction of labour with pitocin as per protocol".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Pressney arrived at the Hospital at 3:41 p.m., somewhat later than Dr. Richards had expected. When Ms. Pressney got to the Hospital, Dr. Richards was already present. While Ms. Pressney was getting undressed, put into bed, and attached to a foetal monitor, Dr. Richards reviewed the results of the stress tests that Ms. Pressney had had on February 2 and 5, which were in her Hospital file.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Richards conducted another examination of Ms. Pressney at the Hospital. He found that between the time he had examined her in his office and her arrival at Hospital, the foetus had ascended, and that the top of the baby's head was now at -3 station, just dipping into the pelvis, and no longer "engaged". The foetus was still in a stable vertical lie, and the head was right over the pelvic inlet and "applied to it", meaning that the head was not floating or ballotable. Dr. Richards testified that this meant that the foetal presentation was normal and stable.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Dr. Richards' assessment, the situation remained "low-risk". Although the baby's head had risen out of the narrowest part of Ms. Pressney's pelvis, on earlier examination that day the baby's head had been "engaged" and Dr. Richards was satisfied that the baby's head would fit through Ms. Pressney's pelvis and a vaginal delivery could occur.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Richards concluded, however, that he should not rupture the membranes as he had planned, because the head of Ms. Pressney's foetus had now risen above the pelvic inlet. In his Consultation Report, he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For whatever reason the vertex at this point had risen out of the pelvis and was just dipping into the vertex and, therefore, rupture of membranes was not possible, however there was no reason why we should not continue on with the oxytocin..."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Richards testified that when he recorded "rupture of membranes was not possible..." he meant that he did not proceed because it was inadvisable to do so. Dr. Richards testified that he did not want to rupture the membranes while the baby's head was high, because the gush of fluid might cause the umbilical cord to wash down, in front of the head of the foetus, and become compressed against the mother's pelvis. If that occurred, pressure on the cord could compromise the flow of oxygen to the foetus, or the cord could protrude out of the cervix, ("a cord prolapse") with the same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Pearse suggested that Dr. Richards ought to have performed what he called a "controlled amniotomy", which he said was rupturing the membranes in an operating room with a surgical team on standby to perform an emergency caesarean section if a cord prolapse occurred. I accept the testimony of the defendants' experts that the procedure suggested by Dr. Pearse was not a procedure used by obstetricians in British Columbia in 1993.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Dr. Richards' decision not to proceed with artificial rupture of membranes was a prudent decision. In Audet (Guardian ad litem of) v. Bates, </w:t>
      </w:r>
      <w:hyperlink r:id="rId308" w:history="1">
        <w:r>
          <w:rPr>
            <w:rFonts w:ascii="arial" w:eastAsia="arial" w:hAnsi="arial" w:cs="arial"/>
            <w:i/>
            <w:color w:val="0077CC"/>
            <w:sz w:val="20"/>
            <w:u w:val="single"/>
            <w:shd w:val="clear" w:color="auto" w:fill="FFFFFF"/>
            <w:lang w:val="en-US" w:eastAsia="en-US" w:bidi="ar-SA"/>
          </w:rPr>
          <w:t>[1998] B.C.J. No. 678</w:t>
        </w:r>
      </w:hyperlink>
      <w:r>
        <w:rPr>
          <w:rFonts w:ascii="arial" w:eastAsia="arial" w:hAnsi="arial" w:cs="arial"/>
          <w:color w:val="000000"/>
          <w:sz w:val="20"/>
          <w:lang w:val="en-US" w:eastAsia="en-US" w:bidi="ar-SA"/>
        </w:rPr>
        <w:t xml:space="preserve">, Justice Pitfield of this court found a physician liable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having artificially ruptured membranes before the head of the foetus was engaged and fixed in the maternal pelvis.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defendants do not dispute the proposition, supported in the medical and nursing literature referred to by Dr. Pearse, that the risk of cord prolapse is greater if the membranes rupture before the head of the foetus is engaged. This is because the head, once engaged and fixed in the pelvis, forms a sort of "plug" that leaves less room for the umbilical cord to float down beside, or in front of the head.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Although Dr. Richards believed that artificial rupture of the membranes should not proceed while the baby's head was high, he decided it was advisable to proceed with the administration of oxytocin to attempt to induce uterine contractions. This decision is the primary target of the criticism of Dr. Pearse, and the focus of the plaintiffs' claim that Dr. Richards was negligent in his treatment of Ms. Pressney and her unborn child.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DID THE DECISION TO PROCEED WITH INDUCTION BY ADMINISTRATON OF OXYTOCIN ACCORD WITH THE STANDARD OF CARE EXPECTED OF A REASONABLY COMPETENT OBSTETRICIAN IN SIMILAR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law applicable to allegations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well-settled and not in dispute in this case. In Ter Neuzen v. Korn, </w:t>
      </w:r>
      <w:hyperlink r:id="rId297" w:history="1">
        <w:r>
          <w:rPr>
            <w:rFonts w:ascii="arial" w:eastAsia="arial" w:hAnsi="arial" w:cs="arial"/>
            <w:i/>
            <w:color w:val="0077CC"/>
            <w:sz w:val="20"/>
            <w:u w:val="single"/>
            <w:shd w:val="clear" w:color="auto" w:fill="FFFFFF"/>
            <w:lang w:val="en-US" w:eastAsia="en-US" w:bidi="ar-SA"/>
          </w:rPr>
          <w:t>(1995) 127 D.L.R. (4th) 577</w:t>
        </w:r>
      </w:hyperlink>
      <w:r>
        <w:rPr>
          <w:rFonts w:ascii="arial" w:eastAsia="arial" w:hAnsi="arial" w:cs="arial"/>
          <w:color w:val="000000"/>
          <w:sz w:val="20"/>
          <w:lang w:val="en-US" w:eastAsia="en-US" w:bidi="ar-SA"/>
        </w:rPr>
        <w:t xml:space="preserve"> (S.C.C.), at p. 588, the Court affirmed the law in the following passages: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well-settled that physicians have a duty to conduct their practice in accordance with the conduct of a prudent and diligent doctor in the same circumstances. In the case of a specialist, such as a gynaecologist and obstetrician, the doctor's behaviour must be assessed in light of the conduct of other ordinary specialists, who possess a reasonable level of knowledge, competence and skill expected of professionals in Canada, in that field. As specialist...who holds himself out as possessing a special degree of skill and knowledge, must exercise the degree of skill of an average specialist in his field:...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conduct of the physician is to be judged in light of the knowledge that ought to have been reasonably possessed at the time of the alleged act or omission, and courts should be careful not to rely on the perfect vision afforded by hindsight.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At p. 590 of Ter Neuzen, the Court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Later, at p. 591, the Court elaborated on this theme. The Court emphasized that proof of conformity with general practice will usually defeat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except where the standard practice itself may be found to be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latter conclusion - that the standard practice itself is negligent - is a finding which may be made: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...only where the standard practice is "fraught with obvious risks" such that anyone is capable of finding it negligent, without the necessity of judging matters requiring diagnostic or clinical expertise.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Court addressed this subject further at p. 592: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Thus it is apparent that conformity with standard practice in a profession does not necessarily insulate a doctor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 standard practice itself is negligent. The question that remains is under what circumstances will a professional standard be judged negligent? It seems that it is only where the practice does not conform with basic care which is easily understood by the ordinary person who has no particular expertise in the practices of the profession...where the common practice is fraught with danger, a judge or a jury may find that the practice is itself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However, a judge should not become involved in resolving scientific disputes, and where a common and accepted course of conduct is adopted in a profession based on the specialized and technical expertise of professionals, a finder of fact should be reluctant to conclude that such a standard was inherently negligent. The practice of a profession involves the exercise of judgment and physicians are not expected to guarantee the success of their procedures or the perfect safety of their patients.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Richards testified about the factors he took into account in deciding to proceed with the administration of oxytocin to Ms. Pressney on the afternoon of February 8, 1993.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reviewed the Hospital's copy of Ms. Pressney's Prenatal Record. He looked at the results of the two non-stress tests Ms. Pressney had had on February 2 and 5. He reviewed the foetal monitor strip produced at the Hospital following Ms. Pressney's admission to the Labour and Delivery Unit on February 8. He concluded that there were no indications of foetal distress or cord compression. Foetal monitoring during induction and labour would reveal any cord compression.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Richards knew that the head of the foetus had been engaged in the pelvis only a few hours earlier. The foetus remained in a vertical lie, straight up and down, with the head down, and no instability. He believed that with maternal ambulation, gravity would help to draw the baby down. Massaging uterine contractions would also help to force the baby down into the pelvis.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Richards believed that if contractions could be provoked, and the baby moved down, he could perhaps proceed to rupture the membranes as he had earlier intended.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Dr. Richards' judgment, there was no reason to proceed immediately to a surgical caesarean delivery, without even attempting a vaginal delivery. He did not offer Ms. Pressney an elective caesarean section because he believed that there no reason to do so, since there was no indication of any cord compression and the situation for mother and child, in his opinion, remained low risk.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Richards did not order an ultrasound examination after Ms. Pressney's admission to hospital. He knew the patient's position and state of cervical preparation and the level of the presenting part. He considered that no useful information would be gained from an ultrasound.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Richards believed there was no reason to postpone the procedure. He was already concerned about the fact that the birth was overdue. A delay of even one day would likely result in a weight gain for the foetus of one ounce, making the fit even tighter. He was concerned about placental reserves. Ms. Pressney had already been admitted to hospital. She was anxious to be delivered because of the discomfort she had experienced for the several preceding weeks. A bed was available and staffing was in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Plaintiffs' counsel argued that Dr. Richards ought to have deferred the procedure and sent Ms. Pressney home; or that if Ms. Pressney had been told about the potential risk of cord prolapse, she would have elected to defer the procedure and would have gone home to consider her options. No expert witness, including Dr. Pearse, testified that this course of action would have exposed Ms. Pressney to less risk. I reject the submission that this would have been a prudent course to follow.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Sending Ms. Pressney home would have exposed her to greater risk, including the possibility that her membranes might rupture when she was at home, or enroute. The chances of an infant surviving cord prolapse when it occurs in hospital are not good. However, a cord prolapse that occurs outside of hospital almost always results in the death of the foetus.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Pearse strongly disagreed with Dr. Richards' assessment that Ms. Pressney remained at low risk for complications at the time of her admission to hospital on February 8. Dr. Pearse's description of the situation was that "...the head was high, unengaged and not fitting into the pelvis". Dr. Pearse testified that a "high head" at term is a foetal malpresentation, and that the administration of oxytocin is contraindicated when there is foetal malpresentation.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Pearse relied on a Technical Bulletin published by the American College of Obstetricians and Gynaecologists in December 1995, in which the following statement appears: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Although some obstetric conditions may require special attention, they do not necessarily constitute contraindications to labour induction.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Immediately following this quote, a list of 8 conditions appears, the last of which: "Presenting part above the pelvic inlet". This statement appears to support Dr. Pearse's opinion that the administration of oxytocin should not occur where the head of the foetus is not engaged in the pelvis.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It is clear from reading the entire Bulletin, however, that the warning is directed at induction by amniotomy - the artificial rupture of membranes. No reference is made in the Bulletin to avoiding oxytocin induction in similar circumstances. In fact, the Bulletin refers to oxytocin administration as a method to achieve foetal descent. The Bulletin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goal of oxytocin administration is to effect uterine activity that is sufficient to produce cervical change </w:t>
      </w:r>
      <w:r>
        <w:rPr>
          <w:rFonts w:ascii="arial" w:eastAsia="arial" w:hAnsi="arial" w:cs="arial"/>
          <w:color w:val="000000"/>
          <w:sz w:val="20"/>
          <w:u w:val="single"/>
          <w:lang w:val="en-US" w:eastAsia="en-US" w:bidi="ar-SA"/>
        </w:rPr>
        <w:t>and fetal descent</w:t>
      </w:r>
      <w:r>
        <w:rPr>
          <w:rFonts w:ascii="arial" w:eastAsia="arial" w:hAnsi="arial" w:cs="arial"/>
          <w:color w:val="000000"/>
          <w:sz w:val="20"/>
          <w:lang w:val="en-US" w:eastAsia="en-US" w:bidi="ar-SA"/>
        </w:rPr>
        <w:t xml:space="preserve"> while avoiding uterine hyperstimulation and fetal compromise. There is no physiologic difference between oxytocin-stimulated labor and natural labor. (underlining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Keith Williams provided an expert opinion on behalf of Dr. Richards in the form of an affidavit and a letter containing his reply to certain of the opinions expressed in Dr. Pearse's report. Dr. Williams was not required to attend for cross-examination.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Williams stated that in his opinion, it was acceptable in the circumstances, and in accord with the standard of care in 1993, for Dr. Richards to administer oxytocin to Ms. Pressney in order to stimulate labour and to allow the foetal head to descend into the pelvis. It was similarly acceptable, in his opinion, to order that Ms. Pressney could "ambulate" during induction.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Williams disagreed with the suggestion that a foetus that has not descended into the pelvis, but is in a longitudinal lie, cephalic presentation, and stable, constitutes a "malpresentation".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Williams disagreed with Dr. Pearse's suggestion that there may have been an "occult" (hidden, undetected) cord presentation at the time the administration of oxytocin was ordered or initiated. Dr. Williams had reviewed the foetal monitoring strips produced before and during the administration of oxytocin. He agreed with Dr. Richards' assessment that the strips were reassuring and were neither indicative nor predictive of cord prolapse.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fact, Dr. Williams concurred with the testimony of Ms. Hauck and the defendants' nursing expert witness, Patricia Keith, that there was no indication on the foetal monitor strip of foetal distress, which would indicate cord compression, at any time prior to the cord prolapse.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Williams' opinion on this point and others concurred with the opinion, in the form of an affidavit, of Dr. Howard Pendleton, and was reinforced by Dr. Pendleton's testimony at trial. Dr. Pendleton testified that it was "well within the standard of care for Dr. Richards to order and initiate oxytocin in these clinical circumstances". Dr. Pendleton's opinion remained unshaken by cross-examination.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Like Dr. Williams, Dr. Pendleton disagreed with Dr. Pearse's description of a "high head" as a foetal malpresentation. Dr. Pendleton testified that there was nothing unusual about the fact that Ms. Pressney's foetus had risen somewhat between the time she was examined in Dr. Richards' office and the time she was examined at hospital. Dr. Pendleton said that it is not unusual for a foetus to be "engaged" when the mother is standing, but then rise up out of the pelvis when the mother lies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Pendleton testified that given Dr. Richards' earlier assessment that the foetus was engaged, it was reasonable for Dr. Richards to expect the foetus to move back down into the pelvis with the use of oxytocin. He testified that the risk of cord prolapse, although an extremely rare and unpredictable event, exists in every labour. In his opinion, nothing in Dr. Richards' care of Ms. Pressney caused or contributed to the cord prolapse.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Pendleton did not agree with Dr. Pearse's opinion that Dr. Richards was negligent in failing to order an ultrasound examination at hospital. Dr. Pendleton concurred with Dr. Richards' and Dr. Williams' opinions that there was no evidence of an "occult" cord presentation. Dr. Pendleton testified that the umbilical cord pulsates and moves about. It is unrealistic, he said, to expect that ongoing ultrasound examinations could or should be performed to monitor the location of the umbilical cord during an entire labour and delivery, where there is no reason to believe the cord is entrapped.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Pendleton testified that in the circumstances there was also no reason to perform an immediate caesarean section - the course of action referred to by Dr. Pearse as the one course "...that would guarantee the baby would not come to harm...". Dr. Pendleton testified that a caesarean section is generally not done as an elective procedure, because it poses increased risk for the mother, and that there was no reason not to wait to see if contractions could be induced and vaginal delivery achieved.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general, for the reasons that follow, where Dr. Pearse's opinion conflicted with that of Drs. Pendleton or Williams, I am persuaded that I should prefer the opinions of the latter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All three of the expert obstetrical opinion witnesses had excellent qualifications and extensive obstetrical history. I do not intend to refer to those qualifications in any detail in these Reasons. From 1984 to 1997, Dr. Pearse had been an associate clinical professor in the Department of Obstetrics and Gynecology at the Faculty of Medicine, University of Alberta. He had also, from the time of commencing his residency in 1976 until 1997, practised in obstetrics and gynaecology, including practice with high risk obstetrical patients between 1984 and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However, Dr. Pearse had left active practice in obstetrics in 1997. At the time of trial he was enrolled in the University of Alberta Faculty of Business, completing a two year post doctoral research fellowship in medical informatics; a course of study not directly related to the issues in this trial. He was, nevertheless, a knowledgeable witness who clearly had done considerable work to locate and identify sources of information, some of which proved admissible and useful, including certain standards for obstetrical practice to which I shall later refer, and the material defining "engagement" to which I referred earlier.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Counsel for the defendants objected - an objection I sustained - to the admission into evidence of Dr. Pearse's original report. The report largely consisted of advocacy we would expect to receive in submissions by counsel. Dr. Pearse posed numerous rhetorical questions which he failed to answer, failed to state clearly his opinions, and frequently descended from irony into sarcasm. I required Dr. Pearse's report to be edited and accepted the edited version only as notice of the opinions he would be permitted to give orally.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Pearse displayed appropriate empathy for the situation of the plaintiffs. However, during his testimony, Dr. Pearse presented himself as an advocate for the plaintiffs' position, instead of providing information and stating his opinions objectively as we require expert witnesses to do. He tended to be argumentative in cross-examination.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Pearse provided little assistance to the court in determining what the standard of care actually was in the obstetrical profession in 1993, as opposed to what Dr. Pearse thinks the standard should have been, or what the ideal standard would be. Dr. Pearse was unfamiliar with Burnaby General Hospital, the resources available to obstetricians practising in similar institutions in 1993, or the constraints placed upon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Williams and Dr. Pendleton are both experienced and knowledgeable obstetricians. They were both familiar with the practice of obstetrics in the lower mainland of British Columbia in 1993. Dr. Pendleton, in particular, was able during his direct testimony and cross-examination, to give specific information from his own experience and extensive knowledge, about the standard of care practised by obstetricians at hospitals in the lower mainland in 1993. He was also able to contrast the care available at institutions like the defendant Hospital and larger tertiary care hospitals.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did not have the opportunity to observe Dr. Williams in cross-examination. Dr. Pendleton, who did testify, failed to display any empathy for the plaintiffs' situation, but he did respond to counsels' questions, including questions posed in cross-examination, in a way that was responsive, balanced, forthright and helpful.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general, I am satisfied that the evidence of Dr. Pendleton and Dr. Williams does establish the standard of practice expected by the profession of a reasonably competent obstetrician in Dr. Richards' situation in 1993. In general, where their opinions contradict those of Dr. Pearse, I accept their opinions.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There was a specific matter raised by Dr. Pearse in his report that was not contradicted. Dr. Pearse stated that in his opinion the chance that membranes will rupture prior to full dilation during induction is approximately 60%. This information appeared to establish a causal connection between oxytocin administration and premature rupture of the membranes. I explored this topic with Dr. Pendleton at the conclusion of his cross-examination.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Pendleton testified that that the cause of rupture of membranes is unknown. Some membranes rupture hours, days, or even weeks before labour contractions begin. In rare circumstances, the membranes are delivered intact around the child - referred to as a "caul" birth. Physicians do not know what causes the membranes to break when they do - they theorize that most often the membranes break when the cervix dilates, leaving the bulging membranes exposed and unsupported, and that contractions may also play a role.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Pendleton reiterated his opinion that nothing done by Dr. Richards, including administering oxytocin, had increased the risk to Ms. Pressney or her foetus of a cord prolapse.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light of this evidence, I am unable to conclude that Ms. Pressney's membranes ruptured any earlier than they otherwise would have, due to the administration of oxytocin, or even that this is an effect associated causally with oxytocin administration.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Having carefully considered the conflicting opinions tendered, I am also not persuaded that Dr. Pearse was correct in characterizing a high foetal head as a "malpresentation" in the circumstances existing at the time oxytocin administration began. The foetal lie was, I conclude, longitudinal and stable, the foetus was not ballotable, the presentation was cephalic and the head remained directly above and dipping into the pelvic inlet. I do not agree with Dr. Pearse that Ms. Pressney's situation was one of unusual or "high risk" at the time she was assessed by Dr. Richards at the Hospital. The plaintiffs have failed to prove, on a balance of probabilities, that the administration of oxytocin to Ms. Pressney fell outside the acceptable standard of obstetrical care established by the testimony of Drs. Williams and Pendleton.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plaintiffs have failed to prove, on a balance of probabilities, that Dr. Richards was negligent in ordering the administration of oxytocin to Ms. Pressney.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WAS DR. RICHARDS NEGLIGENT IN FAILING TO REMAIN AT THE HOSPITAL DURING THE INDUCTION?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have already dealt with Dr. Pearse's opinion that an immediate caesarean delivery was the course of action that Dr. Richards should have pursued.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Dr. Pearse's opinion there was a second, less safe, but still "sensible and viable therapeutic option", which he described as an attempted vaginal delivery with "special attention". In Dr. Pearse's opinion, Dr. Richards should not have proceeded with the administration of oxytocin unless he had the capacity to assure that the baby could and would be delivered within 10 to 15 minutes of a cord prolapse. The evidence establishes that this would have required, in addition to Dr. Richards' continuous presence, an anaesthetist and paediatrician to be present in the Hospital, with surgical nurses and an equipped operating room available, all capable of performing a caesarean delivery within 10 to 15 minutes.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Richards testified that it was and is his usual practice to stay at hospital for the first half hour of an oxytocin induction, because a very small minority of patients can experience a massive contraction at the outset of oxytocin administration. Dr. Richards testified he has actually never had a patient of his experience this, but it is known to occur. In Ms. Pressney's case, no such contraction occurred. Some time after half an hour had elapsed - Dr. Richards doesn't recall exactly when - he left the Hospital and returned to his office.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When Dr. Richards left the hospital, no obstetrician was present in the hospital. This was normal, he testified. Dr. Richards was the physician on call at the Hospital that day. He would be paged and expected to return to the Hospital to respond to any emergencies in the emergency department or problems arising in the labour and delivery room.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Richards testified that after 11 p.m. the operating room at the Hospital closes down, and the anaesthetist may leave, with only one nurse remaining to assemble a team for life-threatening surgical emergencies.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1993, the administration of oxytocin to induce labour was considered to be either a delegated medical function, or a specialized nursing skill. A doctor's order was required, but the actual administration could be done by nurses. There is no dispute among the nursing witnesses, including the plaintiffs' nursing expert, Cindy Lundy, that experienced and trained obstetrical nurses were capable of initiating and monitoring the administration independently, and that it was normal and permissible for nurses to carry out the administration without a physician present. Ms. Hauck, for example, had been trained in the administration and had administered oxytocin many times.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Richards had no reason to doubt the ability of the obstetrical nurses at Burnaby General Hospital to perform the task. He was aware that the Hospital had a "protocol" in place for the assistance and guidance of nurses in the labour and delivery unit. He recalled having been involved in the preparation of the protocol.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Richards did call into the Labour and Delivery Unit to check on Ms. Pressney's progress at 7:25 p.m. He was told that she was not yet in active labour. He instructed nurse Hauck that if active labour had not been established prior to 10:00, the administration of oxytocin should be discontinued. He stated that he gave this direction because the operating room would be shutting down at 11:00, and because Ms. Pressney could get a good sleep and be more rested when the administration resumed the next morning.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There is no evidence that it was or is standard practice for a physician to remain in attendance during oxytocin induction, except in circumstances indicating that an obstetrical patient is at greater than normal risk for complications. I stated earlier my conclusion that Ms. Pressney was not in a "high risk" situation at the commencement of administration of oxytocin. In my opinion, Dr. Richards was not negligent in his assessment that Ms. Pressney was not at greater than normal risk for complications. Accordingly, Ms. Pressney's situation did not call for a greater than normal level of physician supervision.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Williams expressed the opinion that it was acceptable for Dr. Richards to order the oxytocin and subsequently leave the hospital, since in his opinion there was nothing in the clinical records or on the foetal monitoring strips providing a reason for Dr. Richards to remain.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Pendleton also disagreed with Dr. Pearse's opinion that Dr. Richards ought to have remained in constant attendance during the administration of oxytocin to Ms. Pressney. Dr. Pendleton testified that Dr. Pearse's opinion did not reflect the standard of practice in facilities like Burnaby General Hospital in 1993, and it was not the standard expected of obstetricians practising in Level II hospitals in 1993.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most clear statement of standard established by the medical profession can be found in a Policy Statement prepared by the Executive Committee of the Society of Obstetricians and Gynaecologists of Canada (the "SOGC"), which was approved by the Council of the Society in March 1995. Although that date post-dates the events in question here, I am satisfied that the standard in 1993 was the same.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Pendleton testified that Hospitals are classified as Level I, II, or III. Burnaby General Hospital is a Level II facility. A Level II facility is described in the SOGC Policy Statement as a:</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Community or regional hospital that handles normal and high risk deliveries. Obstetrics-gynaecology and paediatrics specialists available.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This may be contrasted to a Level III facility, defined as: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Tertiary hospital for normal and high-risk deliveries, with perinatal and neonatal specialists available. This hospital generally is the referral centre for Level I and Level II hospitals.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SOGC Policy, titled "Attendance at Labour and Delivery Guidelines for Physicians"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Personal attendance by a physician for the delivery and for prompt review of any problem during labour is the ideal. In Level III institutions, the presence of in-house physicians who are capable of dealing with problems, including the performance of Caesarean Sections, is the most advisable arrangement. It should be recognized that it is not possible to predict all emergencies and even when a physician is physically present the outcome will not always be guaranteed.</w:t>
      </w:r>
    </w:p>
    <w:p>
      <w:pPr>
        <w:spacing w:before="120" w:line="260" w:lineRule="atLeast"/>
        <w:ind w:left="720"/>
        <w:rPr>
          <w:lang w:val="en-US" w:eastAsia="en-US" w:bidi="ar-SA"/>
        </w:rPr>
      </w:pPr>
      <w:r>
        <w:rPr>
          <w:rFonts w:ascii="arial" w:eastAsia="arial" w:hAnsi="arial" w:cs="arial"/>
          <w:color w:val="000000"/>
          <w:sz w:val="20"/>
          <w:lang w:val="en-US" w:eastAsia="en-US" w:bidi="ar-SA"/>
        </w:rPr>
        <w:t>In Level I and Level II hospitals or birthing units, the attending physician must take into account the risk of each individual patient, the course of her labour, and the number of patients in labour. Physicians should use this information to make a judgement as to whether or not they need to be immediately available in the hospital. Physicians covering obstetrics when summoned should be available to the labour and delivery suite within approximately 30 minutes.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Later in the Policy Statement, the following standard is set out: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Level II hospitals - A physician should be available for the labour and delivery room on short notice (approximately 30 minutes) and must be prepared to respond promptly to requests from hospital staff.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This may again be contrasted to the expectation for Level III hospitals, stated to be: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Level III hospitals - Continuous presence of an obstetrician on site for women in active labour.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Richards testified that Burnaby General Hospital is a Level II hospital, and that the standard at that Hospital in 1993 was the expectation that an emergency caesarean delivery occur within 30 minutes. That standard was met in the case of Ms. Pressney's delivery.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was reluctant to accept that this standard - the ability to perform a caesarean section delivery within 30 minutes - could be an acceptable standard. I considered whether the standard itself was negligent. Given the reality that in the event of a cord prolapse, oxygen deprivation will begin to cause foetal brain damage within 7 to 10 minutes, a potential delay of 30 minutes prior to delivery seemed inherently dangerous. I would vastly prefer that the standard be that identified by Dr. Pearse -"guaranteeing" that delivery could be effected within 10 to 15 minutes. Even that standard appears to accept the inevitability of brain injury to some infants.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am persuaded however, that this is not one of those cases in which the court can or should conclude that a common and accepted course of conduct adopted by a profession should be determined to be inherently negligent. I am not satisfied that there is or was an obvious existing alternative.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Pendleton testified about this standard. He pointed out that the standard of care advocated by Dr. Pearse - a team of physicians and nurses and an operating room on standby during oxytocin induction - would mean almost all hospitals other than large urban tertiary care facilities (Level III hospitals), would be unable to provide pregnant women with obstetrical care. Pregnant women in the latter stages of pregnancy for whom oxytocin induction was required would have to travel great distances to the few large facilities able to provide 24-hour surgical backup. This travel would bring its own attendant and potentially greater hazards.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am obliged to conclude that the standard testified to by Dr. Pearse is an "ideal" standard, but not the standard expected of a reasonably skilled and competent obstetrician practising in similar circumstances to those of Dr. Richards, in 1993.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accept the evidence that it was not the standard of care, in 1993, for a physician to remain at the hospital during oxytocin induction, absent indications of unusual risk. The fact only that the foetal head had ascended out of Ms. Pressney's pelvic inlet did not create a situation of high risk requiring constant attendance by Dr. Richards.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plaintiffs have failed to prove that Dr. Richards breached the standard of care and the plaintiffs' claims against Dr. Richards must be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NURSING CARE - SHOULD SHARON LOW HAVE REFUSED OR DECLINED TO ADMINISTER OXYTOCIN TO MS. PRESSNEY?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When Ms. Pressney was admitted, the defendant, Sharon Low, was the nurse assigned to care for her. Ms. Low was not added as a defendant, in substitution for the nominal defendant Jane Doe, until the outset of trial. Ms. Low did not testify at trial. A letter from her physician was provided to the court, expressing the opinion that Ms. Low was not mentally fit to testify due to severe depression. In light of the late date at which she was named as a defendant, and her physician's opinion, I draw no adverse inference from Ms. Low's failure to testify.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Burnaby General Hospital has a protocol for nursing staff for "Oxytocin Induction/Augmentation". The protocol in place in 1993 provided that if ordered by a doctor, nurses in the delivery room were permitted to administer oxytocin intravenously at dosages up to 20 milliunits per minute. A higher dosage may not be administered without a further consultation with a physician, and the administration of dosages in excess of 30mu/min. may require the physician to remain in hospital during the induction.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Attached to the first two pages of the Oxytocin Induction/Augmentation Policy, and marked "page 3" is a document titled "Nursing Alert". Evidence was led by the defendants that the "Nursing Alert" does not comprise part of the Oxytocin Induction/Augmentation Policy governing the practice of nurses at the defendant Hospital. Although little turns on it, I reject that assertion. The "Nursing Alert", like the two pages that precede it, is intended to instruct and inform nurses about the procedures and practices that Burnaby General Hospital expects will be followed by nurses working in the facility. It has an educational function, but it also establishes guidelines or standards for nursing practice in the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Nursing Alert refers to circumstances in which oxytocin infusion should be decreased or discontinued. It also contains a short paragraph under the heading "Fetal Risk" which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Should not be given to women with severe toxemia, hypertonic uterine dysfunction or a pre-disposition to uterine rupture. </w:t>
      </w:r>
      <w:r>
        <w:rPr>
          <w:rFonts w:ascii="arial" w:eastAsia="arial" w:hAnsi="arial" w:cs="arial"/>
          <w:color w:val="000000"/>
          <w:sz w:val="20"/>
          <w:u w:val="single"/>
          <w:lang w:val="en-US" w:eastAsia="en-US" w:bidi="ar-SA"/>
        </w:rPr>
        <w:t>Should not be given for induction before the head is engaged</w:t>
      </w:r>
      <w:r>
        <w:rPr>
          <w:rFonts w:ascii="arial" w:eastAsia="arial" w:hAnsi="arial" w:cs="arial"/>
          <w:color w:val="000000"/>
          <w:sz w:val="20"/>
          <w:lang w:val="en-US" w:eastAsia="en-US" w:bidi="ar-SA"/>
        </w:rPr>
        <w:t>. Placenta previa, major cephalopelvic disproportion, malposition of the fetus, or obvious fetus distress are also contraindications. (underlining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Henriette Soolsma, who was the nurse in charge of Labour and Delivery at the defendant Hospital in 1993, testified that she had been one of the authors of the policy for the administration of oxytocin. She testified that a nurse's responsibility, if she was aware that the head of the fetus was not "engaged" when oxytocin administration was ordered, was to bring the matter to the attention of the responsible physician. Both Ms. Soolsma, and the defendant, Beth Hauck, testified that if the physician was aware of the fact that the foetal head was not engaged, and nevertheless decided to proceed with oxytocin induction, the nurse would, from the Hospital's perspective, be acting in accordance with the Policy.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plaintiffs' nursing opinion witness, Ms. Lundy, and the defendants' nursing opinion witness, Ms. Keith, disagreed about whether Ms. Low acted in contravention of the Hospital's policy in accepting Dr. Richards' order to administer oxytocin. Counsel for the defendant nurses submitted that a nurse is not required, and perhaps not permitted, to refuse to carry out a doctor's order for the administration of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Whether a nurse could ever escape legal liability for knowingly engaging in an unsafe practice simply because it was ordered by a physician is highly debatable, and, in my view, unlikely. However, it is not necessary for me to decide the point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am satisfied that the concern addressed by the quoted passage from the Nursing Alert is that nurses should not act to initiate or increase uterine contractions in circumstances known to them that indicate that a safe vaginal delivery may not be possible. Unless and until it has been ascertained that the widest part of the baby's head will actually fit through the mother's pelvis - until "engagement" has occurred - it is not possible to know whether vaginal delivery is a viable option. The intent of the Nursing Alert, in my view, is further illustrated by the reference to "major cephalopelvic disproportion" an expression meaning the baby's head is much too large in comparison to the width of the mother's pelvis; and the reference to "malposition of the foetus".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It is important to note that the plaintiffs' nursing expert witness, Ms. Lundy, did not refer to Ms. Pressney's situation on February 8, 1993, from a nursing perspective, as a case of foetal malpresentation. I have already dealt with the medical evidence on this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However, counsel for the plaintiffs read in testimony from the examination for discovery of Beth Hauck. Although she was not asked to confirm this at trial, Ms. Hauck had acknowledged on examination for discovery that some nursing literature classified a "high" or unengaged head as a "malpresentation". Mr. Hauck's evidence at trial, however, was that Ms. Pressney's "high" foetus was not a case of "malpresentation".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Ms. Keith testified that an unengaged head, with a longitudinal lie and cephalic presentation is not a malpresentation, from a nursing perspective.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Soolsma testified that when she used the word "malpresentation" in the Nursing Alert, she meant that the position in the uterus was such that the part of the baby that would emerge first would not fit through the pelvis. She gave an example of a foetus lying with its spine at a 90 degree angle to the mother's spine. In that case she said, if labour was initiated, the hands or the shoulder of the foetus would come down and the foetus would not fit through the pelvis. This would be a malpresentation.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am not persuaded that on February 8, 1993 Ms. Pressney's foetus was, from a nursing perspective, a case of foetal "malposition" or malpresentation, requiring Ms. Low to refuse to proceed with the ordered administration of oxytocin.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weighing of the risks of proceeding with induction when the head of the foetus has risen after engagement, versus the risks of allowing an overdue pregnancy to continue, is a medical function. Drawing relevant information to the attention of the physician, and questioning what appears to be an uninformed medical decision, is a nursing function.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this case, Dr. Richards was present when Ms. Pressney was admitted to hospital. He knew the foetal head had earlier been engaged in the pelvic inlet; he knew that the head had subsequently ascended, but that the position of the foetus otherwise remained the same. In these circumstances, in my view, Ms. Low was not required to refuse to proceed with the administration of oxytocin, or to otherwise "second guess" Dr. Richards' instructions. Ms. Low was not negligent in acting on Dr. Richards' order to administer oxytocin and to allow Ms. Pressney to attempt vaginal delivery.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WAS SHARON LOW OR BETH HAUCK NEGLIGENT IN INCREASING THE ADMINISTRATION OF OXYTOCIN?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Low attached a foetal monitor and started Ms. Pressney on intravenous oxytocin at 4:30 p.m. at a rate of 2 milliunits per minute. The Policy at the Hospital for the administration of Oxotocin permitted increases at intervals of 15 minutes until a normal pattern of contractions was established. Although the nursing experts testified that some hospital protocols call for increases in dosage at slightly longer intervals, the protocol at the defendant Hospital has not been shown to deviate materially from the norm.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At 4:45 Ms. Low increased the dosage to 3 milliunits, and increased it by 1 milliunit each 15 minutes thereafter until 5:30, by which time the rate of administration was 6 milliunits. Between 5 and 6 p.m., according to Ms. Low's clinical notes, Ms. Pressney was in the patient lounge watching TV. The monitor strips showed "good variability" meaning no signs of foetal distress.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At 6:00, Ms. Low recorded that Ms. Pressney was having mild contractions at two to three minute intervals. At 6:30 Ms. Low increased the oxytocin to 7 milliunits. At 7:00, Ms. Low recorded that Ms. Pressney was still out in the patient lounge, walking. Dr. Richards testified that when he called the unit at 7:25, he was told that Ms. Pressney was not in active labour.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There is no evidence of any change in Ms. Pressney's condition, or that of the unborn child, which required Ms. Low to discontinue or reduce the administration of oxytocin to Ms. Pressney. The administration accords with the protocol in place at the Hospital. The plaintiffs have failed to prove, on a balance of probabilities, any negligent act or omission on the part of Ms. 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When Ms. Hauck came on duty, she received a report from Ms. Low. Ms. Low told her about Ms. Pressney's situation when examined by Dr. Richards earlier in the day and at the hospital, the instructions received from Dr. Richards, and Ms. Low's assessment of the progress of Ms. Pressney's labour.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Ms. Pressney was the only patient assigned to Ms. Hauck when she came on duty. Ms. Hauck testified there were no other patients in the labour and delivery unit.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first entry in the Labour Partogram made by Ms. Hauck is at 7:40, when she noted that Ms. Pressney had returned to bed. Ms. Hauck testified that she returned Ms. Pressney to bed, and connected Ms. Pressney to the bedside tokotransducer, ("the Toko"), a monitor that records uterine contractions. Ms. Hauck also palpated Ms. Pressney's uterus. She assessed irregular uterine contractions that Ms. Pressney did not feel.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Ms. Hauck testified at trial that when she palpated Ms. Pressney's uterus and abdomen, she determined that the baby was in a headfirst longitudinal position. She also testified, during her evidence in chief, that she determined, from her abdominal examination, that the baby's head was engaged at this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For the reasons that follow, I am unable to accept Ms. Hauck's testimony that the head of the unborn child was at station 0 or "engaged" when she did her abdominal examination at 7:40 p.m. I believe that her testimony on this point is mistaken.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Ms. Hauck made no entry on the Labour Partogram about the baby's head being "engaged" at 7:40. There is a later entry on the Labour Partogram indicating that when Mr. Hauck performed the vaginal examination the vertex (top of the baby's head) was at -2. I conclude that Ms. Hauck's testimony that the baby's head was engaged at 7:40 p.m. is mistaken. My view in this regard is confirmed by evidence read in from Ms. Hauck's examination for discovery in which she stated that when she later examined Ms. Pressney she found that: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presenting part was coming down. It was now minus 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At 8:00, Ms. Hauck increased the dosage of oxytocin to 10 milliunits per minute. The plaintiffs allege that Ms. Hauck was negligent in failing to assess uterine hyperactivity or hyperstimulation and in increasing, rather than decreasing or discontinuing, the administration of oxytocin at this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Ms. Hauck testified that based on the abdominal examination, the tokotransducer strip, and Ms. Mann's behaviour - laughing, chatting with Ms. Hauck, and eating a sandwich - Ms. Hauck concluded that Ms. Pressney was not yet in active labour. Ms. Hauck's interpretation of the monitor strip indicated, in her opinion, no evidence of strong contractions capable of causing foetal distress. She also saw no other indications of foetal distress.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Ms. Hauck testified that she sat beside Ms. Pressney, looking at the monitor strip, and keeping her hand on Ms. Pressney's abdomen to assess the strength of contractions. Ms. Hauck testified that while she detected some "uterine irritability" on the strip, she could not feel any strong contractions.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Both Ms. Lundy, the plaintiffs' nursing expert, and Ms. Keith, the defendants' nursing expert, have excellent qualifications. Both demonstrated that degree of objectivity and professionalism that we hope to see in all witnesses who provide expert opinion testimony in court. They disagreed however, on the issue of whether Ms. Pressney was experiencing uterine hyperstimulation before Ms. Hauck increased the dosage of oxytocin at 8:00.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All of the medical and nursing witnesses agreed that the objective of oxytocin induction is to mimic a normal labour pattern, which is described as a pattern of contractions occurring at three minute intervals, with each contraction lasting approximately 60 seconds.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Ms. Lundy's opinion, the strip produced by the Toko revealed hyperstimulation of the uterus in the ten minute period occurring after 7:43 p.m. In particular, she interpreted one part of the strip as demonstrating six contractions lasting 50 to 60 seconds, with only a 20 second rest between contractions. This pattern of six contractions within a 7 minute period, in Ms. Lundy's opinion, is clearly demonstrative of hyperstimulation.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Lundy testified that one of the concerns about frequent contractions with a short "rest" period, is that with each contraction the uterus clamps down on the baby and the placenta decreasing blood flow, and therefore adequate relaxation is required between the contractions to ensure that the foetus is reoxygenated. She conceded, however, that the foetal heart monitor strips in this case do not indicate foetal distress.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Ms. Lundy said that the other concern about hyperstimulation of the uterus - the concern relevant to this lawsuit - is that hyperstimulation of the uterus may precipitate too rapid labour and delivery.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Although Ms. Lundy testified that in her opinion, the strip in issue here demonstrated hyperstimulation, she agreed in cross-examination that the policy at the hospital in which she practises defines uterine hyperstimulation as 6 or more contractions within a ten minute period, occurring in two consecutive ten minute periods. She agreed that the strip in issue here does not show two consecutive ten-minute periods with 6 or more contractions in each.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Ms. Lundy testified that following the 7 minute segment of Ms. Pressney's strip that Ms. Lundy interpreted as hyperstimulation, the pattern disappeared instantly. Ms. Lundy speculated that perhaps the belt was adjusted or moved at this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Ms. Lundy's opinion, following the increase in the dosage of oxytocin at 8:00, Ms. Pressney experienced a rapid progression of her labour, with rupture of membranes at 8:10.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Prior to Ms. Hauck increasing the dosage from 8 mu. to 10 mu. at 8:00, it had not been increased for 90 minutes. Ms. Keith testified that it takes 15 to 20 minutes for oxytocin to reach a steady state in the body. In her opinion, given that the membranes broke at 8:10, only 10 minutes after the last increase in the dosage, the last increase in the dosage could not have been a precipitating factor.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Patricia Keith also disagreed with Ms. Lundy's interpretation of the Toko strip. Ms. Keith's opinion is that while the strip does indicate an active uterus, it does not demonstrate uterine hyperstimulation.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Ms. Keith's interpretation of the foetal monitor strip - that no uterine hyperactivity was present, was supported by the testimony of Dr. Pendleton and Dr. Williams. Both stated that they had assessed the strip and that it does not show uterine hyperstimulation.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Pendleton testified that while contractions are recorded, none of them show up as "ferocious contractions", and that the foetal heart strip shows no decelerations of the baby's heart rate, which you would expect to see if there was uterine hyperstimulation. In expressing this opinion, he also took into account Ms. Pressney's behaviour at the time, as reported by Ms. Hauck.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Ms. Keith and Beth Hauck both testified that the monitor that records uterine activity does not indicate the strength of the contractions. Ms. Lundy agreed that the measurement of contraction activity by external tocodynamometer is not always reliable and accurate. She agreed that maternal movement can cause the strip to show sudden spikes. Ms. Lundy also agreed that the monitor does not assess the intensity of contractions.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Ms. Keith testified that the decision to increase or decrease the dose of oxytocin must be based on an assessment of frequency, duration and strength of the contractions, and the response of the foetal heart.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Ms. Hauck, Ms. Keith and Ms. Lundy agreed that except in unusual circumstances, which were not present in this case, the strength of the uterine contractions can be assessed by the nurse placing her hand on the patient's abdomen above the uterus. Ms. Hauck testified that she sat by Ms. Pressney's bedside with her hand on Ms. Pressney's abdomen, in order to assess the strength of the contractions. Ms. Lundy agreed that this was an appropriate thing to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Ms. Hauck also relied on Ms. Pressney's reports of discomfort, or lack thereof, in ascertaining the strength of the contractions. With the assistance of notes she made on the Labour Partogram state, Ms. Hauck testified that at 7:45, Ms. Pressney's contractions were "irregular" and that Ms. Pressney was not feeling the contractions.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Ms. Lundy testified that in general, true contractions will cause pain. Ms. Lundy also testified, however, that some patients have a high pain tolerance, and do not experience pain from contractions as most patients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Ms. Hauck testified that before 8:10, Ms. Pressney was not feeling any discomfort, was chatting, laughing, sitting up in bed, and eating a sandwich. It was not until 8:10, just before Ms. Hauck initiated a vaginal examination, that Ms. Pressney first reported feeling uncomfortable.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Ms. Hauck's testimony on this point was entirely uncontradicted. In her testimony, Ms. Pressney did not dispute any of Ms. Hauck's testimony concerning the progress of the labour, or the accuracy of any of the information recorded on the Labour Partogram. Surprisingly, Ms. Pressney was not even asked about her labour during direct examination, and therefore, not surprisingly, she was not cross-examined on the subject.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Having considered the foregoing, the preponderance of the evidence does not support Ms. Lundy's opinion that Ms. Pressney was experiencing hyperstimulation of the uterus prior to the increase in the dosage of oxytocin at 8:00, or that that increase precipitated or caused the subsequent rupture of the membranes. I am not satisfied, on the balance of probabilities, that Ms. Hauck was negligent either in her assessment of the progress of Ms. Pressney's labour at 8:00, or in her decision to increase the dosage at that time.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WAS MS. HAUCK NEGLIGENT IN CONDUCTING A VAGINAL EXAMINATION OF MS. PRESSNEY AT 8:10 P.M.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Ms. Hauck noted on the Labour Partogram that at 8:10, Ms. Pressney was starting to feel the contractions and becoming uncomfortable. Ms. Hauck decided to do a vaginal examination. She inserted her fingers into Ms. Pressney's vagina to assess the degree of cervical dilatation and effacement and the status of the membranes.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Ms. Hauck believed, based on the Prenatal Record in Ms. Pressney's clinical records, that Ms. Pressney had had several previous pregnancies, with one previous rapid delivery. Ms. Hauck was concerned that a precipitous birth was a possibility, making monitoring of cervical dilatation and state of the membranes through vaginal examination a prudent activity.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As Ms. Hauck subsequently noted on the Labour Partogram, during her vaginal examination she assessed Ms. Pressney's cervix to be 5 cm dilated, the top of the baby's head to be at spines -2, the cervix 80% effaced, and the membranes intact.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As Ms. Hauck was performing the vaginal examination, she felt something ahead of the baby's head. Her immediate thought was that it might be the umbilical cord, although she did not feel the cord pulsating as she would expect. She immediately removed her hand and as she removed it, or immediately after, Ms. Pressney's membranes ruptured, discharging clear fluid. Approximately ten centimetres of the umbilical cord was immediately visible protruding out of Ms. Pressney's vagina.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None of the witnesses testified that it was wrong or inadvisable of Ms. Hauck to conduct a vaginal examination when she did and I conclude that the examination was in fact a prudent course of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plaintiffs did allege, in the original statement of claim, that Ms. Hauck caused the membranes to rupture by her vaginal examination. Ms. Hauck testified that she could not say with any certainty that the vaginal examination did not cause the membranes to rupture. As I said earlier, the expert witnesses testified that it is not possible to predict exactly when, or explain why, membranes rupture. All that can be said is that except in very exceptional cases, the membranes will rupture sometime prior to birth.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Although membranes usually rupture spontaneously, the witnesses testified that artificially rupturing the membranes usually requires the use of a sharp hook. Some of the witnesses testified that it was unlikely that the membranes could be ruptured simply from the pressure of the nurse's gloved hand during a vaginal 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plaintiffs have not established, on a balance of probabilities that the vaginal examination caused the membranes to rupture and there is no evidence that the examination was conducted carelessly or negligently.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care provided to Ms. Pressney and her unborn child following rupture of her membranes and the prolapse of the umbilical cord was appropriate and largely effective.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Ms. Hauck reacted to the cord prolapse with despatch. She recognized the situation as a true emergency endangering the life of the unborn child and responded appropriately. She called for another nurse to assist her. She turned Ms. Pressney over so that she was on her chest and knees, with her posterior elevated, and Ms. Hauck placed her hand in Ms. Pressney's vagina to attempt to hold the baby's head off the protruding umbilical cord. Another nurse turned the oxytocin IV off and put an oxygen mask on Ms. Pressney. Warm saline compresses were placed on the cord to prevent it from drying and going into spasm.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Simultaneously, other nurses, alerted by Ms. Hauck, began calling the operating room, the laboratory, the special care nursery, an anesthetist, and a pediatrician to alert them that an emergency caesarean section would need to be performed. A call was placed to Dr. Richards, but when there was no immediate response, the nurses began calling other obstetricians. They reached Dr. Savein, who agreed to come in immediately. The nurses began going through the pre-operative checklist.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Richards was in his car en route to his home when he was paged by the hospital. He immediately reversed direction and headed for the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By 8:18, Ms. Pressney, with Ms. Hauck, had arrived in the operating room. Dr. Savein arrived before Dr. Richards and immediately, without a full scrub, initiated a caesarean section. The operation commenced at 8:34 and David Mann was delivered one minute later. Dr. Richards arrived in the operating room just as the child was being delivered. A period of 25 minutes had elapsed between the cord prolapse and the delivery of the infant.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plaintiffs have failed to establish that Ms. Hauck was negligent in her care of Ms. Pressney, or Ms. Pressney's unborn child, and the plaintiffs' claims against Ms. Hauck must be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FINDINGS RELEVANT TO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As I have concluded that the plaintiffs have failed to prove that any of the defendants were negligent in their care of Ms. Pressney or David, it is not necessary for me to assess damages, and I shall not do so. However, there was one disputed issue relevant to causation of David's physical and mental disabilities, and I shall briefly set out my conclusion on that issue. I do so in order that in the event a successful appeal is taken on the issue of liability, the appellate court, or another trial judge, will have the benefit of my finding.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Following delivery, David Mann was immediately intubated for oxygen delivery, but within 15 minutes was breathing on his own. He weighed just over 8 pounds at birth and was assessed as a full-term baby. Two hours after birth he began having seizures, which were controlled by medication. He remained in hospital until February 27, 1993. On discharge he was noted to have improved somewhat neurologically, and was able to be bottle-fed.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By the time David was 8 months old he was demonstrating delaying development in gross motor skills. He had some vision problems. When David was 11 months old, a brain cyst was identified. He did not sit up until he was a year old, and at 13 months, David was showing significant delays in development of gross and fine motor skills, language, and social and self-help skills, and adaptive 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David's cerebral palsy has affected his ability to walk. He learned to crawl at about 2 years of age. He started walking when he was 3, but has remained unsteady on his feet and frequently falls. By age 5 David had still not developed intelligible speech, communicating by demonstration, mime and the use of signs. However, David's ability to comprehend what is said to him is quite good. His hand functions are impaired and he has excess muscle tone in his legs, particularly his ankles. He has difficulty eating and drinking and frequently chokes. He also salivates excessively, and unless reminded to wipe his mouth frequently, drools.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David appeared briefly in court with his mother. I also had the opportunity to watch David interact with his mother and step-father on videotape. His stepfather, Mr. Pressney, and a friend of the family also testified about David's level of functioning and the care and attention he requires and receives.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am more than satisfied that the care and stimulation provided by Ms. Pressney, with the assistance of her husband and friends, has and will continue to allow David to learn and develop his potential within the limitations imposed by his disabilities. However, the physical and cognitive deficits caused by David's brain injury are significant and will be permanent. David clearly will require support throughout his lifetime.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various professionals consulted by the parties did not differ significantly concerning David's diagnosis, prognosis, life expectancy, and future care needs. However, there is a dispute about whether all of David's current disabilities are the result of the deprivation of oxygen at birth, or whether his condition was materially worsened by an acute subdural hematoma suffered as the result of a fall when he was 18 months 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On this issue, the defendants rely on the opinion of Dr. Alan Hill, a specialist in paediatrics and neurology, with a special interest in neurology of the newborn. The plaintiffs rely on the opinion of Dr. Charlene Robertson, a specialist in Paediatrics with a special interest in developmental medicine and child neurology.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There is no disagreement that a CT scan of David's head performed on November 17, 1993 demonstrated "an arachnoid cyst in the right cranial fossa". Dr. Hill and Dr. Robertson agree that it is unlikely that in itself the cyst contributed to David's neurological deficits.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There is also no disagreement that when David was 18 months old, while attempting to pull himself to his feet, he fell backwards onto the back of his head. There was loss of consciousness and a generalized seizure. A CT scan of his head demonstrated a right acute subdural hematoma with blood in the right frontal region, and fluid inside the arachnoid cyst. A surgical procedure was performed to drain the blood from the hematoma and also to drain fluid from the arachnoid cyst. David made a good recovery from the surgery. Subsequently a shunt was inserted to drain the arachnoid cyst.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Hill's opinion on the causes of David's delayed development is summarized in his January 26, 2000 report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David is a 6 1/2 year old boy who sustained an acute hypoxic-ischemic insult. His neurological development has been abnormal and at the present time he has no speech and has evidence of lower cranial nerve dysfunction (constant drooling and difficulties with feeding). This abnormal development is, in large part, a consequence of the hypoxic-ischemic cerebral injury which occurred secondary to the cord prolapse during delivery. However, the present focality of his neurological signs (abnormal motor signs more prominent on left side) is most probably a consequence of the subdural hematomata which were located on the right side of the brain...Given the asymmetry of the neurological signs, i.e., increased tone and deep tendon reflexes on the left side, it is probable that the subdural hematomata contributed to the current neurological dysfunction.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My summary of Dr. Hill's opinion is that David's neurological problems were increased by the head injury received when he fell backward at 18 months of age. Based on this opinion, the defendants submitted that any award of damages should be reduced or discounted to take into account this subsequent contributing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Robertson disagreed with Dr. Hill's opinion in this regard. In her opinion, the subdural hemorrhage resulting from David's fall has not materially worsened David's condition in any relevant way. In her opinion, David's need for future care has not been materially increased by the injury suffered in the fall. Relying on Dr. Robertson's opinion, the plaintiffs submit that no reduction in any award of damages is warranted.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Having carefully considered the evidence of Dr. Hill and Dr. Robertson, I prefer the evidence of Dr. Robertson. I conclude that the injury David suffered in August 1994 has not materially contributed to his physical or neurological deficits. Given David's problems with balance directly resulting from the injury at birth, I would have concluded, in any event, that the fall was caused by his disability, and therefore any additional injury remained causally connected to the hypoxia at birth. Had I been required to assess damages, I would have made no reduction to or deduction from the non-pecuniary award, the award for loss of the capacity to earn income, or the cost of future care award, on this ground.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parties made no submissions about costs. If they are unable to agree on the disposition of costs, they may make further submissions to me, in writing. If I consider it necessary to receive oral submissions in addition to the written submission, I will ask the Trial Coordinator to arrange for counsel to appear.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SUMMARY OF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plaintiffs' claims against all defendants are dismissed. The issue of costs is reserved pending agreement of the parties or receipt of further submissions.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BAKER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25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Marjak Services Ltd. v. Insurance Corp. of British Columbia, [2001] B.C.J. No. 1163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Wilkinson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15 - 16, April 25 - 27,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26702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1163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745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31 C.C.L.I. (3d) 114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939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Marjak Services Ltd. and Ian Scargill, petitioners, and Insurance Corporation of British Columbia, Co-operators General Insurance Company and Reliance Insurance Company,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4"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1" w:name="Keywords_12"/>
      <w:bookmarkEnd w:id="171"/>
      <w:r>
        <w:rPr>
          <w:rFonts w:ascii="arial" w:eastAsia="arial" w:hAnsi="arial" w:cs="arial"/>
          <w:b/>
          <w:color w:val="000000"/>
          <w:sz w:val="20"/>
          <w:lang w:val="en-US" w:eastAsia="en-US" w:bidi="ar-SA"/>
        </w:rPr>
        <w:t>Insurance — Insurers — Duties — Duty to defend — The risk — Exclusions — Automobile insurance — Liability policy, scope of coverage — Liability insurance — Business, comprehensive policy, exclusions — Employees.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2" w:name="Case Summary_11"/>
            <w:bookmarkEnd w:id="1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 petition by Marjak Services and its general manager, Scargill, for an order that the Insurance Corporation of British Columbia and Co-operators General Insurance Co. undertake the defence of an action commenced against them in the State of Washington. The action was commenced by one of Marjak's employees, Forsen. Forsen claimed that while he and Scargill were driving in a company-owned vehicle from a convention in Reno to BC, Scargill failed to obtain proper medical attention for Forsen, even though he knew Forsen was diabetic and had been getting progressively sicker throughout the day. He claimed the delay in seeking medical attention worsened his condition and led to his needing a replacement kidney. The policy issued by ICBC was a vehicle policy which provided for a duty to defend where the claim arose out of the use or operation of a company-owned vehicle. It contained an exclusion clause which exempted coverage to Marjak for liability for injuries to an employee engaged in the business of the company. The Co-operators policy was a general liability coverage for the business carried on by Marjak. The policy required Co-operators to pay all sums to which Marjak became obligated to pay because of bodily injury sustained by an employee arising out of and in the course of his employment with Marjak.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3" w:name="Holdings of Court_8"/>
            <w:bookmarkEnd w:id="173"/>
            <w:r>
              <w:rPr>
                <w:rFonts w:ascii="arial" w:eastAsia="arial" w:hAnsi="arial" w:cs="arial"/>
                <w:color w:val="000000"/>
                <w:sz w:val="20"/>
                <w:lang w:val="en-US" w:eastAsia="en-US" w:bidi="ar-SA"/>
              </w:rPr>
              <w:t>HELD: Petition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ICBC was liable to defend the Washington action against Scargill as the claim was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his use of an insured vehicle. However, ICBC was not required to defend Marjak because Forsen was an employee of Marjak engaged in its business during the time the claim arose. Co-operators was required to defend Marjak under its general liability coverage, and there were no exclusions which applied to that coverage.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4" w:name="Legislation Cited_11"/>
      <w:bookmarkEnd w:id="1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5"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(Motor Vehicle)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5" w:name="Counsel_13"/>
      <w:bookmarkEnd w:id="1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6"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Greg Schroeder, for the petitioners. J. Derek James, for the respondent, Insurance Corporation of British Columbia. Brian T. Ross, for the respondent, Co-operators General Insurance Company.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6" w:name="Judgment_13"/>
      <w:bookmarkEnd w:id="176"/>
      <w:r>
        <w:pict>
          <v:line id="_x0000_s1097"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7" w:name="WILKINSON J."/>
            <w:bookmarkEnd w:id="177"/>
            <w:r>
              <w:rPr>
                <w:rFonts w:ascii="arial" w:eastAsia="arial" w:hAnsi="arial" w:cs="arial"/>
                <w:b/>
                <w:color w:val="000000"/>
                <w:sz w:val="30"/>
                <w:lang w:val="en-US" w:eastAsia="en-US" w:bidi="ar-SA"/>
              </w:rPr>
              <w:t>WILKINSON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matter the petitioner automotive company and its general manager, both of Vernon, B.C., seek an order that certain insurers undertake the defence of an action commenced against them in the State of Washington. The petitioner, Marjak Services Ltd., is the successor of North Okanagan Truck and R.V. Sales Ltd., the named defendant in the Washington action, and Ian Scargill, the general manager, is the other named defendant. The action was brought by Robert Forsen, then another employee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company has two policies containing three sets of coverage which might impose a duty to defend in this case but coverage under each is said not to be applicable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general manager, Mr. Scargill, and another employee, Robert Forsen, had in the course of their duties in late September, 1997 undertaken a trip to Reno to attend a convention there. They were travelling in a vehicle owned by the corporate petitioner and driven by the general manager. They were on their way back and had returned as far as Oregon the previous day. They had about another day's travel through Washington and southern British Columbia to reach Vernon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course of the next day, October 1, 1997, Mr. Forsen, who was diabetic, became ill. The parties in the vehicle continued travelling and Mr. Forsen received medical treatment that evening in British Columbia, but now complains in the Washington action that Mr. Scargill should have taken him for immediate medical attention at some earlier stage of their travel through that state. He pleads that the delay inherent in the continued driving resulted in a substantial worsening of his condition and led to his needing a replacement kidney.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some risk in expanding upon the above as matters of fact since the authorities are clear that in the first instance, only the pleadings in the underlying action are to be looked at in determining if there is a duty to defend upon the relevant insurer or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equivalent to our Statement of Claim issued in the Washington case, including headings,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PARTIES AND JURISDICTION</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Robert and Jenny Forsen are residents British Columbia, Canada and constitute a marital community under the laws of the province of British Columbia.</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belief, Defendants Ian Scargill and Jane Doe Scargill are residents of British Columbia, and constitute a marital community under the laws of the province of British Columbia.</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 North Okanogan Truck and RV Sales Ltd. is foreign corporation, duly authorized to transact business in Washington State, and regularly does so.</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against defendant took place over the course of an entire day on Washington state highways from Yakima County north through Chelan and Okanogan Counties. One or more of the torts were committed in Chelan County and therefore jurisdiction and venue are properly before the Chelan County Superior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CAUSE OF ACTION: </w:t>
      </w:r>
      <w:r>
        <w:rPr>
          <w:rFonts w:ascii="arial" w:eastAsia="arial" w:hAnsi="arial" w:cs="arial"/>
          <w:b/>
          <w:i/>
          <w:color w:val="000000"/>
          <w:sz w:val="20"/>
          <w:u w:val="single"/>
          <w:lang w:val="en-US" w:eastAsia="en-US" w:bidi="ar-SA"/>
        </w:rPr>
        <w:t>NEGLIGENCE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1, 1997, Robert Forsen was a passenger in a motor vehicle driven by Ian Scargill travelling from Oregon through Washington to British Columbia primarily up Highway 97. At the beginning of the trip that morning, Mr. Forsen informed Mr. Scargill that he was very ill. Mr. Scargill knew that Mr. Forsen suffered from diabetes. As the trip progressed Mr. Forsen exhibited greater and greater distress, vomiting on several occasions and eventually becoming semiconscious and unconscious.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Scargill intentionally chose to continue driving Mr. Forsen towards British Columbia without stopping for medical care, despite the fact that he knew Mr. Forsen was suffering mental and physical distress directly caused by the delay in seeking medical treatment. Close to twelve hours after the trip had begun Mr. Scargill finally crossed the Canadian border and took Mr. Forsen to medical care.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most of the trip through Washington Mr. Forsen was physically and mentally incapacitated and unable to care for himself or adequately request medical care. Mr. Scargill knew of Mr. Forsen's incapacity and Mr. Forsen's physical and mental suffering and chose not to stop for medical care.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delay in treatment, Mr. Forsen suffered significant personal injuries and is now awaiting a kidney transplant. But for the delay in treatment, Mr. Forsen would not have suffered these injuries.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Scargill had actual knowledge that injury was certain to occur by continuing to drive Mr. Forsen to Canada rather than seeking medical help. Mr. Scargill willfully disregarded that knowledge by refusing to stop.</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September and October of 1997 both Mr. Forsen and Mr. Scargill were employed by North Okanogan Truck and RV Sales Ltd. Mr. Scargill was Mr. Forsen's supervisor. Prior to the ill fated trip of October 1, they were attending a trade show in Nevada on behalf of their employer.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belief, Mr. Scargill was acting within the scope of his duties and on behalf of Defendant North Okanogan Truck and RV Sales Ltd. when he drove Mr. Forsen and chose to delay Mr. Forsen's access to medical care. Therefore, any intentional and negligent acts of Mr. Scargill are directly attributable to Defendant North Okanogan Truck and RV Sales Ltd. on the basis of their agency relationship.</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Scargill's deprivation of access to medical care on behalf of Mr. Forsen was made knowingly and intentionally with the knowledge that the delay in medical treatment would cause at least some injury, pain and discomfort to Mr. Forsen. Mr. Scargill willfully disregarded his knowledge that Mr. Forsen would suffer injury, pain and discomfort as a result of Mr. Scargill's actions.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Scargill owed a legal duty to Mr. Forsen to seek immediate medical care based on their employer-employee relationship and/or their driver-passenger relationship. Mr. Scargill's intentional delay in providing medical care to Mr. Forsen fell below the duty of reasonable care owed plaintiff and he is therefore liable for the damages proximately caused for violating his duty.</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Regardless of their special relationship, once Mr. Scargill undertook his attempt to provide care and rescue Mr. Forsen, he owed Mr. Forsen a legal duty to do it in a reasonable manner. Mr. Scargill's actions fell below the standard of care in doing so and this violation proximately caused Mr. Forsen's injuries.</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Plaintiffs are presently unaware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legal responsibility on the part of any person or entity other than named defendants herein, and hereby gives notice of their demand to the named defendants to respond to this allegation by specific reference to any unnamed parties considered by the defendants named herein to be liable to Plaintiff upon this cause of action.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further direct and proximate result of the negligent acts of the Defendants, Plaintiff has been required to seek medical treatment and care, and will be required to seek future medical treatment and care. The exact amount of the expense for medical treatment and care will be established at the time of trial.</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further direct and proximate result of the negligent acts of the Defendants, Plaintiff sustained general damages, including pain and suffering, emotional damages and loss of enjoyment of life.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further direct and proximate result of the negligent acts of the Defendants, Plaintiff Jenny Forsen has incurred the loss of the care, service, companionship, society and consortium of her husband.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further direct and proximate result of the negligent acts of the Defendants, Plaintiff Robert Forsen has lost income, the exact extent of which will be established at the time of trial.</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PRAYER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WHEREFORE, Plaintiffs pray for judgment against the Defendants as follows: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general damages, together with special damages for Plaintiff's reasonable and necessary hospital, doctor, and related treatment, the exact amount of which will be established at the time of trial;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loss and impairment of Plaintiff's ability to enjoy life, the exact extent of which will be established at the time of trial;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Plaintiff Robert Forsen's lost income and lost earnings capacity, the exact amount of which will be established at the time of trial;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Plaintiff Jenny Forsen's loss of consortium, the exact amount of which will be established at time of trial;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Plaintiffs' costs and disbursements incurred herein;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such other and further relief as the Court deems just and 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It seems clear that the pleadings include claims based on grounds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they also speak of deliberate acts of Mr. Scargill in continuing to drive instead of taking Mr. Forsen for immediate medical attention in Washington. While the acts of continued driving are deliberate they are, as I understand the pleading, also said to be negligent just as complaints of speeding in the usual case may be both deliberate and negligent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To put the matter in the best light for the petitioners for purposes of this hearing, the pleadings can, in my view, be taken as an allegation that Mr. Scargill chose to continue driving Mr. Forsen in the vehicle in question and injured him by not stopping the driving earlier to have his medical needs attended to. That action of continued driving in the circumstances is alleged to have been negligent, and since it is pleaded that Mr. Scargill knew, or presumably ought to have known, it was likely to cause injury to Mr. Forsen, it is pleaded that liability should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were two policies in existence which may have relation to the issues, the first being an I.C.B.C. policy on the vehicle. The policy was a garage policy, but for most purposes of this application, may be treated as a single vehicle policy. The issue with respect to whether I.C.B.C. has a duty to defend is whether the claim "arises out of the use or operation by the insured of a vehicle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other policy was issued by Co-Operators General Insurance Company and Reliance Insurance Company provides excess coverage for it. The Co-Operators policy has two sections or sets of coverage bearing on the facts of the Washington case. The first duplicates I.C.B.C. coverage on the vehicle in question. It is unnecessary to rule separately on the duty to defend for that insurer under that coverage because it has been agreed that the coverage is simply excess coverage for the I.C.B.C.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other portion of the Co-Operators policy is a general liability coverage for the automotive business carried on by the petitioner company. The policy is annexed as an exhibit to the affidavit of Mr. Blankley, the president of Marjak. It provides the following coverage, inter alia, at Page VIII-A-1 with respect to General Liability Coverage: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Coverage A - Bodily Injury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pay on behalf of the "Insured" all sums assumed by the "Insured" under "contract" or agreement, or which the "Insured" shall become legally obligated to pay as compensatory damages because of "bodily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Coverage C - Personal Injury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pay on behalf of the "Insured" all sums assumed by the "Insured" under "contract" or agreement, or which the "Insured" shall become legally obligated to pay as compensatory damages because of "personal injury" sustained by any person or organization.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Coverage D - Employers'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pay on behalf of the "Insured" all sums which the "Insured" shall become legally obligated to pay as compensatory damages because of "bodily injury" sustained, or alleged to have been sustained, by any employee of the "Insured" arising out of and in the course of his employment by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law seems clear that it is the pleadings in the underlying action which govern the duty to defend and that it is not the insurer's view of the nature of the case or its possible outcome which govern. Bacon v. Bacon </w:t>
      </w:r>
      <w:hyperlink r:id="rId343" w:history="1">
        <w:r>
          <w:rPr>
            <w:rFonts w:ascii="arial" w:eastAsia="arial" w:hAnsi="arial" w:cs="arial"/>
            <w:i/>
            <w:color w:val="0077CC"/>
            <w:sz w:val="20"/>
            <w:u w:val="single"/>
            <w:shd w:val="clear" w:color="auto" w:fill="FFFFFF"/>
            <w:lang w:val="en-US" w:eastAsia="en-US" w:bidi="ar-SA"/>
          </w:rPr>
          <w:t>(1984), 51 B.C.L.R. 228</w:t>
        </w:r>
      </w:hyperlink>
      <w:r>
        <w:rPr>
          <w:rFonts w:ascii="arial" w:eastAsia="arial" w:hAnsi="arial" w:cs="arial"/>
          <w:color w:val="000000"/>
          <w:sz w:val="20"/>
          <w:lang w:val="en-US" w:eastAsia="en-US" w:bidi="ar-SA"/>
        </w:rPr>
        <w:t xml:space="preserve"> at 232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claim alleges a state of facts which, if proven, would fall within the coverage of the policy the insurer is obliged to defend the suit regardless of the truth or falsity of such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Supreme Court of Canada recently ruled in Non-Marine Underwriters v. Scalera, </w:t>
      </w:r>
      <w:hyperlink r:id="rId344"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that there is a three-step process to follow in determining whether a claim could trigger indemnity and a duty to defend:</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determine which of the plaintiff's legal allegations are properly pleaded by examining the substance of the allegations.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determine if any claims are entirely derivative in nature.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decide whether any of the properly pleaded, non-derivative claims could potentially trigger the insurer's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Scalera involved an attempt to have the insurer defend allegations of sexual assaults. It was held that the matters pleaded constituted deliberate acts and thus fell within an exclusion clause in the relevant policy, notwithstanding that the plaintiff there used the word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course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my view, the acts alleged here of continued driving, while deliberate in a sense, can also independently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purposes of this application, the court is not required to comment on the likelihood of success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Forsen, rather than saying in another context "You injured me by continuing to drive in a northerly direction when I was crossing the road in front of you and in doing so negligently struck me" is saying in this context "You injured me by continuing to drive in a northerly direction and in doing so negligently carried me past those points where I could have received proper and timely medical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Counsel for I.C.B.C. cites the steps outlined in Scalera, supra. He says that the actions complained are intentional and that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subsumed in the intentional wrongs, and that the policy is intended to cover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my view there is little doubt that the continued driving was deliberate, but there is a basis for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failure to adequately consider the effect of the continued driving and delay of treatment on the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Next, it is argued that there was not negligent use of the vehicle in the sense of the "purpose" test discussed in Law, Union &amp; Rock Insurance Co. v. Moore's Taxi Ltd., </w:t>
      </w:r>
      <w:hyperlink r:id="rId345" w:history="1">
        <w:r>
          <w:rPr>
            <w:rFonts w:ascii="arial" w:eastAsia="arial" w:hAnsi="arial" w:cs="arial"/>
            <w:i/>
            <w:color w:val="0077CC"/>
            <w:sz w:val="20"/>
            <w:u w:val="single"/>
            <w:shd w:val="clear" w:color="auto" w:fill="FFFFFF"/>
            <w:lang w:val="en-US" w:eastAsia="en-US" w:bidi="ar-SA"/>
          </w:rPr>
          <w:t>[1960] S.C.R. 80</w:t>
        </w:r>
      </w:hyperlink>
      <w:r>
        <w:rPr>
          <w:rFonts w:ascii="arial" w:eastAsia="arial" w:hAnsi="arial" w:cs="arial"/>
          <w:color w:val="000000"/>
          <w:sz w:val="20"/>
          <w:lang w:val="en-US" w:eastAsia="en-US" w:bidi="ar-SA"/>
        </w:rPr>
        <w:t xml:space="preserve"> and Stevenson v. Reliance Petroleum Ltd., </w:t>
      </w:r>
      <w:hyperlink r:id="rId346" w:history="1">
        <w:r>
          <w:rPr>
            <w:rFonts w:ascii="arial" w:eastAsia="arial" w:hAnsi="arial" w:cs="arial"/>
            <w:i/>
            <w:color w:val="0077CC"/>
            <w:sz w:val="20"/>
            <w:u w:val="single"/>
            <w:shd w:val="clear" w:color="auto" w:fill="FFFFFF"/>
            <w:lang w:val="en-US" w:eastAsia="en-US" w:bidi="ar-SA"/>
          </w:rPr>
          <w:t>[1956] S.C.R. 936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the former it was held that where a taxi driver let out a child across the street from his home rather than getting out and walking the child to his home as he was required to do, a later accident did not arise from the use of the taxi which was stationary at the time. The chain of causation originating with the use of the vehicle was broken by the intervening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In the present case, however, the driving did continue and it is the result of the driving which is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Stevenson, a fire resulted from the overfilling of a gasoline tank from a tanker truck, and it was held that the vehicle was continuing to fulfil its intended purpose of delivering gasoline notwithstanding that it was sitting still at the time. In this case, however, it is not necessary for us to consider if there was a severable activity being carried out because the complained of use is a primary one for a vehicle, the carrying of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Counsel also cited Amos v. I.C.B.C., </w:t>
      </w:r>
      <w:hyperlink r:id="rId347" w:history="1">
        <w:r>
          <w:rPr>
            <w:rFonts w:ascii="arial" w:eastAsia="arial" w:hAnsi="arial" w:cs="arial"/>
            <w:i/>
            <w:color w:val="0077CC"/>
            <w:sz w:val="20"/>
            <w:u w:val="single"/>
            <w:shd w:val="clear" w:color="auto" w:fill="FFFFFF"/>
            <w:lang w:val="en-US" w:eastAsia="en-US" w:bidi="ar-SA"/>
          </w:rPr>
          <w:t>[1995] 3 S.C.R. 405</w:t>
        </w:r>
      </w:hyperlink>
      <w:r>
        <w:rPr>
          <w:rFonts w:ascii="arial" w:eastAsia="arial" w:hAnsi="arial" w:cs="arial"/>
          <w:color w:val="000000"/>
          <w:sz w:val="20"/>
          <w:lang w:val="en-US" w:eastAsia="en-US" w:bidi="ar-SA"/>
        </w:rPr>
        <w:t>, a case concerning the liability of the insurer to pay Part 7 benefits where a driver was shot in the course of resisting and attempting to flee from the efforts of a gang to stop his vehicle as it drove down a street in California. It was held that the shooting arose out of the insured's ownership, use, and operation of his vehicle. The court drew a distinction between a case where the vehicle contributes or adds to the injury and cases where the vehicle plays a purely incidental role such as one of time or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argues that the real cause of the additional injury was delay and that the vehicle was simply the locus of the delay, not the proximate cause or part of the cause in the sense discussed in Amos. Much as I agree that I.C.B.C. likely did not contemplate this sort of claim when they issued the policy, I must be bound by the language used by them in the policy and by the legislature in the Insurance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worsening of the plaintiff's condition could in logic arise from the continued use of the vehicle in circumstances such as these. Whether it did or not and whether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Scargill must be decided later. I would therefore impose a duty to defend upon I.C.B.C. for both petitioners if that were all that was involved. However, counsel for I.C.B.C. at the second set of dates for hearing this matter and during its reply raised an exclusionary clause in its garage policy coverage pursuant to Rider APV4D prescribed pursuant to regulations made under the Insurance (Motor Vehicle) Act found at the third page of tab 27 of the I.C.B.C. book of authorities and headed up "Insuring Agreements":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Corporation agrees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Subsection 1A of the APV4 to indemnify the Insured in accordance with Regulation Part 6 for third party legal liability imposed by law upon the Insured, for loss or damage arising from the use or operation of an owned vehicle ... Provided always that the Corporation shall not be liable under this Subsection: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legal liability imposed upon any person insured by this policy for bodily injury to or the death of any partner, officer or employee of such person while engaged in the business of the named insured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appears to me that that exclusionary clause must be interpreted to exclude coverage for the corporate petitioner since the plaintiff Forsen in the Washington action was an employee of "such person" and "engaged in the business of the named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corporate petitioner seeks to avoid the application of the clause by arguing that, although Forsen and Scargill were in the course of their employment in returning from the trade show, that they were not then engaged in "the business of" the company. I cannot draw that distinction.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view of the matter however, that does not assist the insurer with respect to Mr. Scargill since Forsen was clearly never his partner, officer or employee and I.C.B.C. must provide a defence and cover his costs to date. The untimely raising of the argument may have a bearing on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turn to the issue of the duty of Co-Operators to defend under its general liability policy. Under Coverage A, on page VIII-A-1, the policy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Coverage A - Bodily Injury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pay on behalf of the "Insured" all sums assumed by the "Insured" under "contract" or agreement, or which the "Insured" shall become legally obligated to pay as compensatory damages because of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exclusions applicable to Coverage A, the following exclusions are found:</w:t>
      </w:r>
      <w:r>
        <w:rPr>
          <w:rFonts w:ascii="arial" w:eastAsia="arial" w:hAnsi="arial" w:cs="arial"/>
          <w:sz w:val="20"/>
          <w:lang w:val="en-US" w:eastAsia="en-US" w:bidi="ar-SA"/>
        </w:rPr>
        <w:cr/>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arising out of the ownership, use or operation by or on behalf of the "Insured" of any "automobile" ...</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caused intentionally by or at the direction of the "Insured" ...</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to any employee of the "Insured" arising out of and in the course of their employment by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exclusion (a) must be found to apply for the reasons I expressed earlier. The injuries arose out of the use of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view, exclusion (d) must be read in the same manner as the exclusionary clause in Scalera in that there must have been an intention not just to do the act but to cause the bodily injury. That exclusion does not apply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to exclusion (e), the injury here did arise in the course of employment. That exclusion does apply and by reason of both exclusionary clauses (a) and (e), coverage is not available under Coverage A for bodily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next turn to Coverage D set out on page VIII-A-1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pay on behalf of the "Insured" all sums which the "Insured" shall become legally obligated to pay as compensatory damages because of "bodily injury" sustained, or alleged to have been sustained, by any employee of the "Insured" arising out of and in the course of his employment by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That provision obviously applies to Mr. Forsen. Here the only issue is whether the exclusion found on page VIII-A-5 applies. It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specifically endorsed hereon, this coverage does not apply to:</w:t>
      </w:r>
    </w:p>
    <w:p>
      <w:pPr>
        <w:numPr>
          <w:numId w:val="20"/>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obligation for which the "Insured" or his Insurer may be held liable under any Workmen's Compensation Law except: ...</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person elects to take action against the "Insured" in addition to or in lieu of coverage under the Workmen's Compensation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What is required to be interpreted here is not the exclusion which on the face of it applies, but the exclusion to the exclusion found in subparagraph (iii).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this is clearly a case where Forsen has "elected to take action ... in addition to or in lieu of coverage under the Workmen's Compensation law". The insurer must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answer to the petitioners' arguments concerning this aspect of the case, counsel for the Co-Operators raises the following clause found in the "Definitions" section of the policy at page VIII-A-12: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inclusion of any employee(s) as "Insured" herein shall not apply liability arising from:</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to</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employee of the "Named Insured" arising out of or in the course of his employment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have two difficulties with the provision. First, I have no idea as to how the word "apply" should be interpreted and secondly, I cannot understand why, if the clause is to provide an exclusion to Coverage D, some provision in that regard is not made directly. In any event, applying the "contra proferentum" rule, I cannot hold that the clause excludes the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Although I have found a duty to defend under Coverage D, I will also consider the duty under Coverage C for personal injury liability. Personal injury does not have its ordinary meaning. It is defined under the policy at page VIII-A-13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 Injury" means: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False arrest, detention or imprisonment, or malicious prosecution;</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publication or utterance of a libel or slander or of other defamatory or disparaging material, or a publication or utterance in violation of an individual's rights of privacy; except publications or utterances in the course of or related to advertising, broadcasting or telecasting activities conducted by or on behalf of the "Named Insured";</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Wrongful entry or eviction, or other invasion of the right of private occupancy;</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Humiliation or discrimination, the insurance of which is not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only matter from the above upon which the petitioners seek to rely is coverage for "detention" under definition (a). They say that although detention is not specifically pleaded in the Washington action, it may be implied by the continued driving, particularly where it is alleged that Mr. Forsen was at times unconscious.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not necessary in these cases that the court be satisfied that the relevant claim is assured of success or even that it is likely to succeed. The mere possibility of success is sufficient. In my view, there is a sufficient element of detention in the circumstances outlined in the pleadings here that coverage is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conclusion, I find that I.C.B.C. is liable to defend the Washington action against the petitioner Scargill. I have heard nothing to indicate that any different ruling would apply to the Co-Operators' responsibility to provide excess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addition, I rule that Co-Operators is liable under its general liability coverage to defend the Washington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the end of argument I was asked to comment upon the question as to primary responsibility to defend as between the two respondents. In my view, neither the pleadings nor argument make that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Costs may be spoken to but otherwise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WILKINSON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8"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McNeil v. Younger, [2009] B.C.J. No. 168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5-9 and 15-16,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S055622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Brenda J. McNeil, Plaintiff, and Dr. Alistair Younger and Dr. Mohammad Awwal,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9"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8" w:name="Keywords_13"/>
      <w:bookmarkEnd w:id="178"/>
      <w:r>
        <w:rPr>
          <w:rFonts w:ascii="arial" w:eastAsia="arial" w:hAnsi="arial" w:cs="arial"/>
          <w:b/>
          <w:color w:val="000000"/>
          <w:sz w:val="20"/>
          <w:lang w:val="en-US" w:eastAsia="en-US" w:bidi="ar-SA"/>
        </w:rPr>
        <w:t xml:space="preserve">Health law — Liability (malpractice) — Battery — Absence of valid consent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diagnose — Standard of care — Action by plaintiff against doctor for negligent operating procedure and post-operative care dismissed — Defendant performed gastrocnemius slide to lengthen calf muscle — Plaintiff's testimony inconsistent with objective evidence and her expert based opinions on mere speculation — Defendant credible and had credible expert witness — Defendant explained risks of surgery to plaintiff and alleged injury to sural nerve standard risk of surgery, not due to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failed to attend post-operative consults on time and her complaints were sporadic so defendant not negligent in referring to her specialist months later — Plaintiff failed to prove sural nerve damaged.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9" w:name="Case Summary_12"/>
            <w:bookmarkEnd w:id="1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judgment against the defendant, a foot and ankle surgery specialist, for negligent operating procedure and post-operative care. The plaintiff had been suffering arthritis in her big toes and was in so much pain that she had asked the defendant to amputate her toes. The plaintiff agreed to a surgery to fuse the joints but denied being informed that the defendant also intended to perform a gastrocnemius slide to lengthen her calf muscle. The defendant gave evidence of his standard procedure to explain the reason for the surgery and the risks. The defendant testified that he always provided patients with a booklet that explained the surgery and the risks in great detail. The slide was conducted to take the pressure off the plaintiff's foot. On cross-examination the plaintiff admitted she simply did not recall receiving the booklet or discussing the slide and that she would have agreed to it regardless. The plaintiff produced an expert who examined the defendant's records and concluded the defendant did not inform the plaintiff of the slide because there was no specific mention in his notes of telling the plaintiff about possible damage to the sural nerve. The expert admitted that the booklet provided patients with far more information than he did. The plaintiff signed a consent form that listed the slide as a procedure she would undergo. The surgery was conducted and the defendant did not note any complications during the surgery or that he had been unable to locate the sural nerve before proceeding. The defendant's expert explained that the sural nerve could be damaged during surgery and this did not indicate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testified that she complained to the defendant about being in terrible pain in post-operative consultations but he did not refer her to a specialist until several consultations later.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0" w:name="Holdings of Court_9"/>
            <w:bookmarkEnd w:id="180"/>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account of her dealings with the defendant was inconsistent and contradicted objective evidence. The plaintiff had been preoccupied by another surgery at the time. The defendant was a credible witness and his explanations of standard procedure were accepted. The plaintiff's expert made great assumptions to reach his conclusions and appeared quick to assume the worst of the defendant, whereas the defendant's expert was non-argumentative and credible. The plaintiff was found to have given informed consent for the slide. This was supported by the fact that the plaintiff did not complain about the incision in her calf, which she surely would have had she only expected to have foot surgery. The evidence of the defendant and his expert established that nothing unusual occurred during the surgery and that the sural nerve can be damaged, even with the best of care. Furthermore, the plaintiff had not proven her sural nerve had been damaged as the specialist she had seen was unable to definitively diagnose the problem. Nor was the defendant negligent in failing to immediately refer the plaintiff to a specialist. The records of the plaintiff's post-operative care indicated that the plaintiff missed consultations and complained about adnominal bruising and did not complain about numbness to leg until well after the surgery.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1" w:name="Counsel_14"/>
      <w:bookmarkEnd w:id="1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R.A. Holness.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Alistair Younger: D.W. Pilley and K. Kinch.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2" w:name="Judgment_14"/>
      <w:bookmarkEnd w:id="182"/>
      <w:r>
        <w:pict>
          <v:line id="_x0000_s1101" style="position:absolute;z-index:2517760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3" w:name="P.W. WALKER J."/>
            <w:bookmarkEnd w:id="183"/>
            <w:r>
              <w:rPr>
                <w:rFonts w:ascii="arial" w:eastAsia="arial" w:hAnsi="arial" w:cs="arial"/>
                <w:b/>
                <w:color w:val="000000"/>
                <w:sz w:val="30"/>
                <w:lang w:val="en-US" w:eastAsia="en-US" w:bidi="ar-SA"/>
              </w:rPr>
              <w:t>P.W. WALKER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Brenda McNeil, seeks judgment against the defendant, Dr. Alistair Younger, for what she alleges was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of the operative procedure to lengthen her left calf muscle as well as in the provision of post-operative care. That procedure is known as a gastrocnemius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gastrocnemius slide was performed by Dr. Younger on October 31, 2003 (the "Surgery"). Ms. McNeil claims that during the course of the Surgery, her sural nerve was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agreed that this trial would concern only the issue of liability. The parties also have agreed that should Dr. Younger be found liable, the assessment of damages will take place at the same time as the trial of two actions brought by Ms. McNeil in respect of two motor vehicle accidents involving rear end collisions. That trial is scheduled to take place later this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co-defendant, Dr. Mohammad Awwad (misspelled in the style of cause as "Awwal"), was not involved at the trial as he was never served with the Writ of Summons.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Basic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Surgery, Ms. McNeil was 43 years old. She had been previously diagnosed with arthritis in both big toes. In fact, Ms. McNeil had been suffering with pain and disability in both big toes for many years. She had silastic implants placed into both toes over 20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McNeil's right toe first became a problem at age 9. Her first surgery to insert an artificial joint in that toe was at age 19. A plastic disc was inserted to rectify her condition which was "bone on bone". Surgery to her left big toe occurred approximately three years later. Ms. McNeil's second surgery to her right toe followed five years after the first; further surgery has since been performed. She has also had a second surgery to her left toe. She understood that she would have to replace the artificial joints in both toes every three to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Ms. McNeil suffered from pain in both big toes for some time, given that she was married and looking after her young children, she decided not to proceed with any further surgeries even though the joints in both toes were deteriorating.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Ultimately, Ms. McNeil's left foot became so swollen, some three times the size of her right foot, and painful, she attended at the Emergency Department at Vancouver General Hospital ("VGH") on November 25, 2002. She then obtained a referral from her family doctor to Dr. Younger who specializes in foot and ankle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meeting with Dr. Younger on May 20, 2003, Ms. McNeil decided to proceed with surgery to her left big toe first since it was the pain in that toe that caused her to attend VGH, even though the x-rays showed her right toe to be more deteriorated. She agreed to have surgery to the right big toe done later. Ms. McNeil also agreed to joint fusion as opposed to replacing the silastic implants.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Ms. McNeil says that she was not told and did not know that Dr. Younger would be carrying out the gastrocnemius slide as part of the joint fusion. Nor was she told, she says, of the risks associated with that procedure. She also alleges that Dr. Younger damaged her sural nerve during the Surgery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Lastly, Ms. McNeil alleges that Dr. Younger was negligent in failing to detect, post operatively, that she suffered from sural nerve injury and as a result failed to provide appropriate treatment causing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Younger is an orthopaedic surgeon specializing in foot and ankle surgery. He is a fellow of the Royal College of Surgeons. Most of his practice is focused on foot and ankle surgery although he is presently required (and was at the time the Surgery took place) to spend approximately 15 per cent of his practice dealing with trauma cases at St. Paul's Hospital in Vancouver, British Columbia ("St. Paul's").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Younger graduated from medical school in Scotland (there was no evidence as to the date). He worked for one year in Aberdeen, Scotland as a "junior house officer" and then for two years as a "senior house officer" just outside of Edinburgh. Both of those positions are akin to a resident in British Columbia. Even so, those positions do not qualify in this province towards residency requirements. After he emigrated to Canada, Dr. Younger completed his residency and then spent some considerable time training in specific subjects. Dr. Younger completed his residency in orthopaedics at the University of British Columbia Hospital in 1995. From there, he spent: six months in training in joint and knee replacement at VGH; nine months training in arthritis at Harvard in Boston, Massachusetts; and five months in the foot and ankle program at the University of Washington in Seattle, Washington.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receiving an award in general orthopaedics that is handed out once per year to a Canadian orthopaedic surgeon, he commenced full-time practice in foot and ankle surgery in 1998. Dr. Younger reached his current level of practice - 85% dedicated to foot and ankle surgery - by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Dr. Younger, the tarsalmetatarsal joint ("TMT") is a rigid joint that joins the metatarsal shaft, which is the long bone of the big toe extending from the middle of the foot to a metatarsophalangeal joint ("MTP"). The TMT assists in supporting the arch of the foot. The MTP joints are the joints between the five metatarsal bones and bones of the toes. Silastic implants were placed in the MTP joints in Mc. McNeil's big toes. Dr. Younger performs approximately 60 TMT and 10 to 20 MTP surgeries per year. He has performed some 300 TMT surgeries since he began to practice medicine. Dr. Younger performs approximately 40 gastrocnemius slides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Younger is also involved in training medical students from the University of British Columbia who are rotated into the Foot and Ankle Clinic at St. Paul's. Those students are required to complete two months in that clinic before graduating. He also works with and trains orthopaedic fellows who have completed their residency requirements and who are seeking to specialize in the foot and ankle sub-specialty of orthopaedics.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Younger gave his evidence in a very candid and credible manner. Apart from his very poor handwriting, which he seems unable to resolve, and which, fortunately nothing turns on in this case, Dr. Younger presented as a meticulous surgeon committed to provide top quality patient care and concerned to ensure that his patients understand and agree to the proposed treatment plan and surgery as well as the risks associated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Purpose of the Gastrocnemius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gastrocnemius slide is carried out as part of treatment to correct deformities of the foot. The specific purpose of the gastrocnemius slide is to lengthen the heel cord in order to promote a positive result to the actual foot surgery. To carry out the gastrocnemius slide, the surgeon cuts through the structure at the junction between the heel cord tendon and the gastroc muscle at knee level, and then lengthens the overall length of the tendon by some three to four centimetres.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heel cord joins the gastroc muscle to the tip of the heel and provides power and gait to push and run. A tight heel cord means more weight gets placed on the front of a person's foot, which will contribute to overloading. A tight heel cord may cause pain, or may worsen the pain, or prevent the ability of the surgeon to perform surgery to the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carrying out that procedure, the surgeon must take care not to injure the sural nerve. That nerve is formed by the union of the medial and lateral cutaneous nerves of the leg that originate from the tibial and common peroneal nerves. It typically runs down the back of the calf at a point below the backside of the knee, and as it runs down the calf, it moves towards the right or lateral side of the leg toward the lateral side or outside of the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sural nerve is a sensory nerve; it supplies sensation to the skin at the back of the leg. As it continues down the leg towards and then along the lateral side of the foot and little toe, it is known as the lateral dorsal cutaneous nerve and communicates with the dorsum of the foot. The sural nerve does not provide any motor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Younger will not carry out a gastrocnemius slide on a patient who has a tight heel cord but no problems with their forefoot.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issues to be decided in this case are as follows:</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McNeil provide informed consent to the Surgery?</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performing the Surgery, did Dr. Younger meet the standard of care of an ordinary, competent orthopaedic surgeon?</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Younger meet the same standard of care of an ordinary, competent orthopaedic surgeon in the provision of post-operative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Ms. McNeil's evidence: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her evidence in chief, Ms. McNeil was certain that she saw Dr. Younger for the first time at VGH, and, certain that it was at that time that Dr. Younger told her to obtain a referral to see him. Following that attendance at VGH on November 25, 2002, Ms. McNeil obtained a referral from her family doctor to Dr. Younger. She thought she saw him at his office on Burrard Street in Vancouver as opposed to the Foot and Ankle Clinic at St. Vincent's Hospital on May 20, 2003. She said the only medical persons she saw that day were Dr. Younger and his receptionist.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 to Ms. McNeil, the following occurred at her consultation with Dr. Younger on May 20, 2003:</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discussed her prior history including past surgeries;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Younger reviewed x-rays of her left and right foot;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examined by Dr. Younger;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discussed potential treatment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McNeil did not wish to have any further surgeries. She told Dr. Younger she wanted to have her toe amputated. She could not convince her family doctor or Dr. Younger to amputate. Dr. Younger would not amputate for two reasons: Ms. McNeil required her big toe for balance and he was concerned that she would suffer from phantom pain. Ms. McNeil said she has a clear recollection of this part of their discussion; she simply "disbelieved" the reasons he provided. Dr. Younger also recommended a joint fusion since silastic implants were no longer being used because they wear out quickly due to the amount of use to which feet are 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deterioration in her right toe joint was worse than the left. Given that the pain in her left foot was significant enough to send her to the emergency department at VGH, Dr. Younger suggested that they deal with her left toe first. Surgery to the right toe would follow later. Doing it in this order would also allow Ms. McNeil to be able to drive her vehicle. Dr. Younger's recommended treatment plan was to fuse the left big toe joint. To do that, he would use bone taken from below her knee. She asked that he not fuse the joint flat since she is four feet ten inches tall and wanted to continue to wear high heels. She understood from Dr. Younger that she would no longer be able to wear cowboy boots.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her evidence in chief, Ms. McNeil was adamant that she was not told that Dr. Younger would be carrying out a gastrocnemius slide and adamant that the risks inherent in that procedure were not explained to her. At first, Ms. McNeil told me that she and Dr. Younger never discussed the fact that she had a tight heel cord. Later, she said: "I don't remember Dr. Younger saying anything about lengthening my heel cord". The first time she learned that the gastrocnemius slide had been performed was after the Surgery was performed. She denied, for quite some time in her evidence, that Dr. Younger explained the risks of the heel cord lengthening procedure to her. Later, in cross-examination, she was not as definite, conceding that she could not recall being told that her heel cord was too tight or that her heel cord had to be lengthened for the fusion to work. As for the latter, she eventually conceded: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believe that he told me my heel cord was too tight and had to be lengthened - I don't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McNeil also admitted that the following evidence she gave at her examination for discovery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let me just understand what you're saying: You have no recollection of him discussing an issue with your heel cord with you,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not saying he didn't?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McNeil said the only risks related to the Surgery explained to her by Dr. Younger were general risks inherent in all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denied receiving a patient information booklet (the "Booklet") from Dr. Younger that explained the many risks associated with the surgical procedures she was about to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following admission from her examination for discovery transcript concerning the Booklet was put to Ms. McNeil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I'm just showing you page 13 of Dr. Younger's record, and there it goes from page 13 to 25 in his chart. You can't say one way or another whether or not this is the pamphlet you received?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word "pamphlet" is used, pages 13 to 25 of the chart, put in evidence during the trial, are clearly excerpts from the Booklet.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McNeil sought to qualify that answer, stating that she "meant, no this is not the document I received". She said she received a one page document, double sided, entitled "Foot and/or Ankle Surgery" that described the daily events a patient can expect after surgery. That document advises, in the first portion entitled "Before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surgeon will give you a prescription for a boot and the Foot &amp; Ankle Patient Information booklet.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Nor could she recall if Dr. Younger's receptionist asked her during this appointment if Dr. Younger had provided her with a copy of a patient information booklet. Ms. McNeil said: "I don't recall the receptionist asking me about a booklet. I don't know. I don't deny it. Whatever she asked me I told her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McNeil was also pre-occupied in July 2003 with another medical problem as she was consulting a different surgeon to carry out bowel surgery to relieve her pain. In the course of answering questions regarding risks that may have been explained to her by Dr. Younger, Ms. McNeil contrasted his lack of information to that provided by her bowel surgeon, Dr. Panton, whom she said provided her with an information booklet as well as an explanation of the general risks of surgery including anaesthetic: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[Dr. Panton] told me what could happen, what to do, when to get out of bed, etc. He gave me an extensive booklet because a lot - a bag [was] to be attached. I remember Dr. Panton discussing a lot of different risks with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gave that evidence at trial even though she gave a different answer to the following question at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advance of undergoing that surgery, I imagine you had a discussion with Dr. Panton about the risks of that surgery?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once again I just trusted that they were doing what was necessary for me to be better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for the Surgery at issue in this case, Ms. McNeil agreed that she signed a consent form document ("Consent form") entitled "CONSENT for TREATMENT/PROCEDURE/SURGICAL OPERATION" on May 20, 2003 ("Consent"). The first portion of the document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the person signed below, give consent for the following treatment, procedure or surgical operation: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Immediately below is a line for the surgeon to write the procedures to be carried out. Included in the description of surgical procedures is the notation: "GASTROC SLIDE" written in hand by Dr. Younger. The next line of the Consent states: "under the direction of:" and to the left of those words is the notation in hand: "A. Younger".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body of the Consent includes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and possible effects, including the significant risks and alternatives to this treatment, procedure or surgical operation, have been explained to me and I understand the explanation and the alternatives.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consent to receiving an anesthetic, and to the use of anesthetics as may be considered necessary ... I understand ... that there may be residents/students in attendance or participating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McNeil said she could not read Dr. Younger's handwritten notation of the surgical procedures noted on the Consent. She agreed that he wrote those notations in front of her. She denied he read the procedures out loud to her as he wrote them down. She could not read his handwriting. Even so, Ms. McNeil signed the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are two different versions of the Booklet in evidence. Despite some differences in content, the explanation of the risks arising from surgery are the same. The risks are described in detail in two pages. The introductory comments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RISKS and BENEFITS of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your operation is to decrease pain and improve the function of the foot. In some cases, that involved fusion of parts of the foot and/or tendon transfers.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of the time the operation goes smoothly and after the operation you recover with no problems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Complications occur in 10% of cases on average. Your particular procedure may have higher risks of complications and your surgeon will advise you of these if they may affect your decisions on surgery. Only you know how the pain that you are suffering now affects your lifestyle, so only you can make the decision to have or not have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Consent goes on to set out complications that may occur, including some that may require further surgery to correct such as non or mal-aligned bone union. The risks are also described, in the following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problems, fortunately rare, cause long term problems. These include: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Reflex sympathetic dystrophy. This is a persisting painful nerve reflex to the operation and can cause persisting burning pain in the foot.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Nerve damage during the operation can cause similar problems. If the nerve is completely cut, then a numb foot results. If the injury is partial then burning discomfort can result. The damage may be secondary to compression of the nerve by a tourniquet on the thing or ankle (used during the operation to control bleeding), or secondary to the surgery itself.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correction of the operation by failure of the bones to join. Smoking can cause delayed bone healing. Stop smoking two weeks before the operation and do not start again for at least six months.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Infection in the bone. This may cause a long-term problem but fortunately it is rare.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General health problems are also identified to include heart attack, chest infection, blood clots, death, and amputation.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Booklet also invites patients to call specific doctors, including Dr. Younger, if they have any questions. Their telephone numbers are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Although agreeing that Dr. Younger saw her in the holding area of the hospital just prior to Surgery to review the proposed surgical procedure, Ms. McNeil has no recollection of Dr. Younger telling her then that he was going to lengthen her heel cord, nor recalling that he showed her where he would make the incision.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McNeil ultimately admitted, in cross-examination, that she would have likely agreed to the gastrocnemius slide had Dr. Younger recommended it in order to ensure a good result in her foot: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he had asked me, I would have questioned it because I have two legs and had been a runner my entire life ... I would have questioned it but likely I would have gone ahead with what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McNeil did not complain of the incision at the site of the gastrocnemius slide after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Dr. Younger's evidence: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Although he recalls some of his dealings with Ms. McNeil, most of Dr. Younger's evidence is derived from his standard practice. Dr. Younger has an extensive routine practice for the provision of informed consent. Dr. Younger reviews the specific surgical procedures to be performed with patients during the consent discussion, at which time the Consent form is in front of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Consent form and the Booklet are kept in a different room. Dr. Younger leaves his patient part way through their discussion of the proposed treatment to get those two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Younger's standard practice is to complete the Consent form in front of patients as he explains the proposed treatment plan including surgical procedures. He reviews each procedure as he writes it down in the body of the Consent form. In Ms. McNeil's case, he wrote down "GASTROC SLIDE" on the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During the consent discussion, it is Dr. Younger's practice to point out where the incisions will be made and to go through the risks and benefits of the proposed surgical procedures. He has a specific recollection of his concern for Ms. McNeil due to the amount of erosion or bone destruction caused to her big toe joints from the silastic implants.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Consent form and the planned surgical procedures are reviewed with the patient a further time on the day of the operation while the patient is in the holding area at the hospital. Dr. Younger will not proceed with the surgery if the patient voices reluctance or has any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addition, his practice is to provide patients with the Booklet which contains detailed information concerning the proposed surgery, what the patient should expect following the surgery, and the risks of surgery. That Booklet has undergone several iterations since the location of the Foot and Ankle clinic, established in 2002, moved its location from St. Vincent's Hospital to St. Paul's. The Booklet was revised to make it relevant to St. Paul's. Dr. Younger's purpose in providing the Booklet is to make sure patients understand the nature and risks of surgery since it is his experience that patients only retain a small amount of information provided to them orally. The expert called on behalf of Ms. McNeil, Dr. Goytan, holds the same view regarding the ability of patients to retain information provided to them orally.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Younger was also motivated to publish the Booklet having seen many patients have questions and some patients failing to adequately prepare for surgery or take post-surgical care despite being given handouts prepared by the Foot &amp; Ankle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Younger's standard practice is to advise patients of the following general risks: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of fusion in the big toe joint;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breakdown of the wound;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irritation of hardware that may require its removal;</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after surgery that may be the same or worse than that suffered prior to surgery;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results cannot be guaranteed as pain may persist (estimated at approximately 20%) or become worse (estimated at approximately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Younger also makes sure to review what is involved in a gastrocnemius slide since the incision is being made at a point not located near the foot. He tells patients why he proposes carrying out that procedure and that it is a debatable procedure since not all doctors choose to perform it. And since it is debatable, he advises patients of the following risks associated with it: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scarring;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hematoma from bleeding;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sural nerve, which he usually describes as "nerve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Younger seeks to make sure that the patient is comfortable that they are making the right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two booklets in evidence are not exact copies of the Booklet provided to Ms. McNeil. The Booklet was revised when the Foot and Ankle Clinic moved to St. Paul's from St. Vincent's Hospital (which has since been torn down). He was able to obtain the two marked in evidence from patients after this litigation was commenced. There is no issue in this case nor was it suggested that the explanation of risks in the Booklet given to Ms. McNeil differs from the two Booklets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Maureen Morrison's evidence: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Morrison works for Dr. Younger and did so throughout his dealings with Ms. McNeil. She is responsible for booking operations at the hospital, office administration, and billing. She presented as a diligent, conscientious, honest, and precise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Once the booking is made for a patient with the hospital, Ms. Morrison puts together a package to send to it, which includes the patient's Consent form, a patient questionnaire filled out by the patient, a caution sheet, and a document known as "physician's orders". Ms. Morrison then telephones that patient to let them know the approximate date for surgery and to ask if the patient has received and read the Booklet. She also invites the patient to contact Dr. Younger should they have any questions. If she sees from the patient questionnaire that the patient is a smoker, she tells them that they must stop smoking before the surgery takes place. She also tells them that if they have difficulty to stop smoking, they should see their family doctor or attend at programmes offered by the Heart and Lung and Cancer Society. Ms. Morrison identified one of the Booklets marked in evidence as the one that would have been given to Ms. McNeil in May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The Hospital Records: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Records kept by St. Vincent's Hospital include an "Interdisciplinary Discharge Summary" dated November 3, 2003. The bottom of the first page of that document contains a direction to nursing staff to ask four specific questions to the patient prior to discharge. The document reads, </w:t>
      </w:r>
      <w:r>
        <w:rPr>
          <w:rFonts w:ascii="arial" w:eastAsia="arial" w:hAnsi="arial" w:cs="arial"/>
          <w:i/>
          <w:color w:val="000000"/>
          <w:sz w:val="20"/>
          <w:lang w:val="en-US" w:eastAsia="en-US" w:bidi="ar-SA"/>
        </w:rPr>
        <w:t xml:space="preserve">inter alia: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Nursing</w:t>
      </w:r>
      <w:r>
        <w:rPr>
          <w:rFonts w:ascii="arial" w:eastAsia="arial" w:hAnsi="arial" w:cs="arial"/>
          <w:color w:val="000000"/>
          <w:sz w:val="20"/>
          <w:lang w:val="en-US" w:eastAsia="en-US" w:bidi="ar-SA"/>
        </w:rPr>
        <w:t xml:space="preserve"> - PRIOR TO DISCHARGE, ASK THE PATIENT THESE QUESTIONS AND RECORD PT'S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scale of 1 to 3 (1 = not helpful; 2 = helpful; 3 = very helpful) - Did Foot &amp; Ankle Surgery Patient Information booklet help you understand What to expect during your hospital stay? ... Circle Patient's Response: ...</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Foot &amp; Ankle Surgery Patient Information booklet help you prepare for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answer provided to question three was "2", or "helpful"; the answer to question four was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This document was prepared by someone other than Dr. Younger.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asked during cross-examination if a member of the hospital staff asked her, following the Surgery, if Ms. McNeil had read the Booklet and whether she found it helpful, Ms. McNeil replied: "I don't think so." Ms. McNeil did not deny being asked those questions by hospital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Dr. Goytan's evidence: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Michael Goytan testified on behalf of Ms. McNeil. He is an orthopaedic surgeon practising at the University of Manitoba. He graduated from its medical school in 1989, and from there completed a one-year mixed surgical internship at that university's hospital in 1990. After that, he entered into its orthopaedic residency program which he completed in 1995. Dr. Goytan became a Fellow of the Royal College of Surgeons in orthopaedic surgery in November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Goytan then worked for a six month period with another prominent orthopaedic surgeon at the University of British Columbia in 1997. From there, Dr. Goytan began a clinical practice at the University of Manitoba where he has remained. His role within that university's orthopaedics program is, as he described it: "that of a complex spine surgeon which includes performing clinical research and teaching and assessing orthopaedic residents". He is currently the Program Director for the Winnipeg Spine Program. Dr. Goytan has confined his practice to spinal surgery in 2005. Although not referred to in his curriculum vitae, Dr. Goytan carried out approximately 20 gastrocnemius slides, 10 while in residency between 1991 to 1995. He performed an additional ten between 1998 to 2004 at the Health Sciences Centre in Winnipeg. These comprised a very small aspect of his practice (with the major aspect being and continuing to be spinal surgery). Even so, Dr. Goytan felt confident to provide expert opinion as to the medical standard for an ordinary competent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his written report produced for this litigation, Dr. Goytan provided an opinion to several questions put to him by counsel, including the informed consent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Goytan reviewed the medical records and Dr. Younger's examination for discovery transcript in order to prepare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Goytan concluded that Dr. Younger did not explain the "possible complications related to a gastrocnemius slide" or a sural nerve injury to Ms. McNeil. He reached that conclusion in a curious way after having reviewed two documents and Dr. Younger's examination for discovery transcript.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Goytan's starting point was the Consent. He saw that it included a reference to a "Gastroc Slide" to be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then identified certain portions of the Booklet, some of which are set out in paragraph 40-41 of these reasons. Even though the Consent and Dr. Younger's notes state that the risks and benefits of surgery were discussed with Ms. McNeil, Dr. Goytan wrote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it is stated on the surgical consent and in Dr. Younger's note that the risks and benefits of surgery were discussed, is nowhere infatically [sic] stated that the effects of nerve injury were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After that, Dr. Goytan referred to portions of Dr. Younger's discovery evidence where Dr. Younger: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[A]greed that he did not have a specific or independent recollection of discussing the gastrocnemius slide with Ms. McNeil beyond his chart notes; and where he admitted having a patient suffer a sural nerve injury amongst the hundreds of gastrocnemius slide procedures he has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Goytan then expressed his opinion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aforementioned, it does not appear that Dr. Younger did explain the possible complications related to a gastrocnemius slide, most importantly that of a sural nerve injury resulting in a neuroma and/or dysesthesia numbness in the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view, this is pure conjecture.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Goytan's opinion flies in the face of the very clear discussion of risks contained in the Booklet and the reference to a discussion of risks between Dr. Younger and Ms. McNeil and Dr. Younger's consultation notes. Further, Dr. Goytan's opinion does not take into account Dr. Younger's evidence of his standard practice nor of Ms. McNeil's admissions on cross-examination. Part of the problem may stem from his review of the discovery transcript as opposed to providing Dr. Goytan with a list of assumptions which is the usual and preferable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addition, Dr. Younger's opinion goes to the ultimate issue, which is for the court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Regardless, Dr. Goytan opined that the procedure was medically appropriate for Ms.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Dr. Goytan highlighted Dr. Younger's findings that Ms. McNeil suffered "mass destruction of metartarsal phalangeal joints with silastic implants bilaterally" and suffered from a "tight gastrocnemius muscle with no dorsiflexion with the knee extended". He concluded, from Ms. McNeil's subjective complaints and physical examination, that the procedure prescribed by Dr. Younger did meet the appropriate medical standard. In his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he told me that Dr. Younger's surgical procedure, which included the gastrocnemius slide,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Goytan was critical of Dr. Younger's alleged failure to provide informed consent, even though Dr. Goytan admitted that he does not provide written materials to his own patients prior to spinal surgery when he knows that patients will not retain the doctor's explanation because they are in pain, or nervous, or the concepts are too difficult for some to understand.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Nor does Dr. Goytan specifically advise patients of the possibility of sural nerve injury. Dr. Goytan advises of the possibility of nerve damage generally and points to possible locations of the nerve injury such as the calf, foot, or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terms of explanation of risks found in the Booklet, Dr. Goytan agreed that it goes beyond the explanations he provides to patients since the Booklet tells them of the much more "unusual" result - that they can suffer pain. He also agreed that it was good advice to invite patients to call with questions or for help and to provide them with telephone numbers for several surgeons (which includes Dr. Younger's telephone number). The Booklet contains that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addition, Dr. Goytan admitted that he could see from Dr. Younger's consultation report that he had a discussion with Ms. McNeil concerning the risks and benefits of the Surgery. He also admitted that he did not know if it was cursory or detailed. He did not know what the specifics of the discussion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found Dr. Goytan to be argumentative in his opinion, expressed in his report and in his testimony, that Dr. Younger did not explain the possible complications of the gastrocnemius slide to Ms.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reject Dr. Goytan's criticism that the Booklet was deficient because it did not cover all functional problems. The risks identified in the Booklet are clear and explicit. Some relate directly to foot and ankle surgery. Pain, persisting burning pain, nerve damage, and numbness are all identified as possible "long term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Disposition: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find that Ms. McNeil gave her informed consent to the Surgery, including the gastrocnemius slide during their first meeting which occurred on May 20, 2003 (and not at VGH).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do not accept Ms. McNeil's assertion that she was never told that a gastrocnemius slide was to be performed or of its risks. I am not able to accept Ms. McNeil's account of her dealings and communications with Dr. Younger as reliable. Although she believes in what she said during the trial, her recollection of events varies between poor, incomplete, and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reaching my decision, I have also considered the decision of the British Columbia Court of Appeal in </w:t>
      </w:r>
      <w:r>
        <w:rPr>
          <w:rFonts w:ascii="arial" w:eastAsia="arial" w:hAnsi="arial" w:cs="arial"/>
          <w:b/>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355"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 4 W.W.R. 171: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McNeil's memory does not accord with much of the objective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McNeil was troubled about a post-operative bruise on her abdomen to the point that she had it photographed by others. She did not complain about the gastrocnemius slide incision on her calf. She made no mention in her evidence about being troubled or surprised to find an incision on the inside of her calf. One would think that would be forefront in her mind if she was not expecting to have an incision there. She stated her stitches were removed by Dr. Awwad but does not state that she complained of an unexpected wound when the stitches were removed. The most reasonable factual inference is that she was not at all surprised to find that she had a wound in that location, because the gastrocnemius slide was explained to her. Dr. Younger's evidence is that he makes a point of explaining this procedure for exactly this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is no objective basis for Ms. McNeil's contention that Dr. Younger did not spend much time with her in the initial consultation discussion, when the Consent was signed. In her evidence in cross-examination, she remembered that she told him aspects of her history, that he examined both legs and feet and "asked [her] to do a lot of things", reviewed the x-rays with her, and told her the procedures he thought she should have (which on Ms. McNeil's evidence included the fusion of the TMT and MTP joints and the tibial bone graft).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McNeil alleges that she first saw Dr. Younger when she attended at VGH emergency department in November 2002. Dr. Younger's evidence is that he does not have privileges at VGH and has not set foot in the emergency department since he was a resident. The records from her visit at VGH in November 2002 make no mention of Dr. Younger being present; reference is made, however, to the necessity of obtaining a referral to Dr. Younger to be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She thinks that she saw Dr. Younger for the first consultation on May 20, 2003 in his Burrard Street office, but Dr. Younger's evidence is that the appointment would have been in the Foot and Ankle clinic at St. Vincent's Hospital, and his consultation note is dictated with the following letterhead: "Providence Health Care St. Vincent's Hospital Heather Outpatient Department Clinic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McNeil was also preoccupied with her bowel problems, that ultimately led to surgery, in and about the time she provided her consent to Dr. Younger.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the whole, I find Ms. McNeil's memory to be unreliable, and where her evidence conflicts with Dr. Younger and others, I prefer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accept Dr. Younger's evidence concerning his extensive routine practice of providing his patients with information necessary for informed consent - conveying that information verbally to patients and then complimenting their discussion with the Booklet he also provides. Dr. Younger reviews the surgical procedures to be performed with his patients during the consent discussion, with the Consent form in hand, and again reviews those procedures with the patient in the holding area of the hospital prior to surgery. I find that the Booklet identified by Ms. Morrison was provided to Ms. McNeil by Dr. Younger at the time she signed the Consent form and further, that Dr. Younger told Ms. McNeil of his plan to perform a gastrocnemius slide and the risks associated with that surgery which included the possibility of nerve damage, burning, and pain which may be worse than the pain experienced by Ms. McNeil before the Surgery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usefulness of evidence regarding a physician's routine or usual practice has been considered by our Court of Appeal. The Court of Appeal has stated that a physician's usual practice is reliable evidence upon which the Court can make findings of fact. In </w:t>
      </w:r>
      <w:r>
        <w:rPr>
          <w:rFonts w:ascii="arial" w:eastAsia="arial" w:hAnsi="arial" w:cs="arial"/>
          <w:b/>
          <w:i/>
          <w:color w:val="000000"/>
          <w:sz w:val="20"/>
          <w:lang w:val="en-US" w:eastAsia="en-US" w:bidi="ar-SA"/>
        </w:rPr>
        <w:t>Belknap v. Greater Victoria Hospital Society</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at 465-66, </w:t>
      </w:r>
      <w:hyperlink r:id="rId310" w:history="1">
        <w:r>
          <w:rPr>
            <w:rFonts w:ascii="arial" w:eastAsia="arial" w:hAnsi="arial" w:cs="arial"/>
            <w:i/>
            <w:color w:val="0077CC"/>
            <w:sz w:val="20"/>
            <w:u w:val="single"/>
            <w:shd w:val="clear" w:color="auto" w:fill="FFFFFF"/>
            <w:lang w:val="en-US" w:eastAsia="en-US" w:bidi="ar-SA"/>
          </w:rPr>
          <w:t>1 C.C.L.T. (2d) 192</w:t>
        </w:r>
      </w:hyperlink>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person can say of something he regularly does in his professional life that he invariably does it that way, that surely is evidence and possibly convincing evidence that he did it in that way on the day in question.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Wigmore: On Evidence</w:t>
      </w:r>
      <w:r>
        <w:rPr>
          <w:rFonts w:ascii="arial" w:eastAsia="arial" w:hAnsi="arial" w:cs="arial"/>
          <w:color w:val="000000"/>
          <w:sz w:val="20"/>
          <w:lang w:val="en-US" w:eastAsia="en-US" w:bidi="ar-SA"/>
        </w:rPr>
        <w:t xml:space="preserve">, vol. IA (Tillers rev. 1983) states that there is no reason why habit should not be used as evidence either of negligent action or of careful action (para. 97), and that habit should be admissible as a substitute for present recollection. </w:t>
      </w:r>
      <w:r>
        <w:rPr>
          <w:rFonts w:ascii="arial" w:eastAsia="arial" w:hAnsi="arial" w:cs="arial"/>
          <w:i/>
          <w:color w:val="000000"/>
          <w:sz w:val="20"/>
          <w:lang w:val="en-US" w:eastAsia="en-US" w:bidi="ar-SA"/>
        </w:rPr>
        <w:t>Phipson on Evidence</w:t>
      </w:r>
      <w:r>
        <w:rPr>
          <w:rFonts w:ascii="arial" w:eastAsia="arial" w:hAnsi="arial" w:cs="arial"/>
          <w:color w:val="000000"/>
          <w:sz w:val="20"/>
          <w:lang w:val="en-US" w:eastAsia="en-US" w:bidi="ar-SA"/>
        </w:rPr>
        <w:t>, 13th ed. (1982), paras. 9-22, reaches a similar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test on informed consent has two aspects: whether the plaintiff had the requisite information, and if not, whether a reasonable person in the plaintiff's circumstances would have consented if adequately informed of the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Prior to proceeding with a course of treatment a physician must disclose to the patient the nature of the proposed treatment, its gravity, any material risks and any special or unusual risks attendant upon the treatment: </w:t>
      </w:r>
      <w:r>
        <w:rPr>
          <w:rFonts w:ascii="arial" w:eastAsia="arial" w:hAnsi="arial" w:cs="arial"/>
          <w:b/>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at 245, </w:t>
      </w:r>
      <w:hyperlink r:id="rId293" w:history="1">
        <w:r>
          <w:rPr>
            <w:rFonts w:ascii="arial" w:eastAsia="arial" w:hAnsi="arial" w:cs="arial"/>
            <w:i/>
            <w:color w:val="0077CC"/>
            <w:sz w:val="20"/>
            <w:u w:val="single"/>
            <w:shd w:val="clear" w:color="auto" w:fill="FFFFFF"/>
            <w:lang w:val="en-US" w:eastAsia="en-US" w:bidi="ar-SA"/>
          </w:rPr>
          <w:t>25 C.C.L.T. 159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the case at bar, Ms. McNeil received information about the procedures to be performed and the risks and benefits of those procedures from Dr. Younger, and from the Booklet he provided. The Booklet which Dr. Younger testified was the version which was most likely in use at the time of Ms. McNeil's surgery, and the one identified by Ms. Morrison, describes the risks of pain, numbness, burning, and nerve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During submissions, counsel for Ms. McNeil drew my attention to </w:t>
      </w:r>
      <w:r>
        <w:rPr>
          <w:rFonts w:ascii="arial" w:eastAsia="arial" w:hAnsi="arial" w:cs="arial"/>
          <w:b/>
          <w:i/>
          <w:color w:val="000000"/>
          <w:sz w:val="20"/>
          <w:lang w:val="en-US" w:eastAsia="en-US" w:bidi="ar-SA"/>
        </w:rPr>
        <w:t>Brock v. Anderson</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2003 BCSC 1359</w:t>
        </w:r>
      </w:hyperlink>
      <w:r>
        <w:rPr>
          <w:rFonts w:ascii="arial" w:eastAsia="arial" w:hAnsi="arial" w:cs="arial"/>
          <w:color w:val="000000"/>
          <w:sz w:val="20"/>
          <w:lang w:val="en-US" w:eastAsia="en-US" w:bidi="ar-SA"/>
        </w:rPr>
        <w:t xml:space="preserve">, CarswellBC 2185, where Mr. Justice Barrow found the qualitative aspect of the warning deficient and concluded the surgeon did not meet her duty of care in explaining the material risks associated with the procedure (i.e., laparoscopic cholecystectomy in which damage to the major blood vessels underlying the umbilicus is a risk during surgery). The situation in this case is different than that in </w:t>
      </w:r>
      <w:r>
        <w:rPr>
          <w:rFonts w:ascii="arial" w:eastAsia="arial" w:hAnsi="arial" w:cs="arial"/>
          <w:b/>
          <w:i/>
          <w:color w:val="000000"/>
          <w:sz w:val="20"/>
          <w:lang w:val="en-US" w:eastAsia="en-US" w:bidi="ar-SA"/>
        </w:rPr>
        <w:t>Brock</w:t>
      </w:r>
      <w:r>
        <w:rPr>
          <w:rFonts w:ascii="arial" w:eastAsia="arial" w:hAnsi="arial" w:cs="arial"/>
          <w:color w:val="000000"/>
          <w:sz w:val="20"/>
          <w:lang w:val="en-US" w:eastAsia="en-US" w:bidi="ar-SA"/>
        </w:rPr>
        <w:t>. Mr. Justice Barrow concluded, at para. 31, that the booklet outlining all of the material risks of the surgery (describing the risk as "small") did not "adequately convey the magnitude of the consequences of its occurrence". In approximately 36% of cases in which damage to the major blood vessels occurs in the surgery in issue in that case, death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his submissions, counsel for Ms. McNeil argues that the choice of the words "fortunately rare" in the Booklet diminishes the magnitude of the consequences of the risk. I respectfully disagree as the Booklet makes it very clear that pain, even pain that is worse than being suffered prior to surgery, can occur as well as numbness. In my view, the Booklet is quite blunt and concise in its description, leaving no doubt as to the possible consequences of an adverse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accept Dr. Younger's evidence as to his usual practice of explaining the procedures, the risks and benefits of those procedures and surgery generally, and prefer his evidence to Ms. McNeil's assertion that she was not told of the gastrocnemius slide (and therefore none of the risks). There is nothing to suggest Dr. Younger departed from his standard practice to obtain the patient's informed consent at the initial consultation, to make sure that they have the Booklet when the surgery is booked, and then to ensure that he has the patient's informed consent in the holding room at the hospital just prior to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Younger's evidence is consistent with all of the surrounding circumstances. The evidence shows a carefully planned strategy on the part of Dr. Younger to provide patients with information and to obtain their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This case is similar to </w:t>
      </w:r>
      <w:r>
        <w:rPr>
          <w:rFonts w:ascii="arial" w:eastAsia="arial" w:hAnsi="arial" w:cs="arial"/>
          <w:b/>
          <w:i/>
          <w:color w:val="000000"/>
          <w:sz w:val="20"/>
          <w:lang w:val="en-US" w:eastAsia="en-US" w:bidi="ar-SA"/>
        </w:rPr>
        <w:t>Raina v. Shaw</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2006 BCSC 832</w:t>
        </w:r>
      </w:hyperlink>
      <w:r>
        <w:rPr>
          <w:rFonts w:ascii="arial" w:eastAsia="arial" w:hAnsi="arial" w:cs="arial"/>
          <w:color w:val="000000"/>
          <w:sz w:val="20"/>
          <w:lang w:val="en-US" w:eastAsia="en-US" w:bidi="ar-SA"/>
        </w:rPr>
        <w:t>, CarswellBC 1324. One of the allegations made by the plaintiff, a mother who gave birth to a child with Down Syndrome, was that her family physician did not provide her with genetic counselling during her pregnancy, which was expected for a woman of the patient's age. Dr. Shaw gave evidence as to her usual practice, which the court accepted at paras. 71-72 and 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Whose version, that of Ms. Raina or that of Dr. Shaw, is more consistent with all of the surrounding circumstances? Dr. Shaw is an experienced physician who has seen a large number of pre-natal patients. She is a mother who herself has undergone CVS and amniocentesis. One of her children was born after she was 35. She covers a large number of important topics in the first ante-natal visit: family history, physical health of the mother and so on. It would be entirely inconsistent with her practice if I were to accept the evidence of Ms. Raina that genetic counselling did not come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nothing remarkable about the fact that Dr. Shaw does not specifically recall routine discussions with a patient that took place two years ago. Indeed, it would be remarkable if she did remember. Professionals often testify about what they asked or told a client or patient based on their invariable standard practice. It is an admissible substitute for present recollection and can be convincing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simply on the surrounding circumstances, I prefer the evidence of Dr. Shaw to that of Ms. Raina. What Ms. Raina described is highly unlikely. There is no explanation for what would be an extraordinary variation from Dr. Shaw's standard procedure. Ms. Raina's explanation would mean that Dr. Shaw omitted any mention of genetic testing for a patient in her late 30s; Dr. Shaw photocopied the circular maternity calendar and placed a copy in Ms. Raina's file but failed to give a copy of the calendar to the patient, even though a copy of the calendar is typically placed in a patient's file to indicate a copy has been given to the patient; Dr. Shaw's office failed to provide the blue folder even though blood tests were obtained and the requisitions are found in the folder; and Dr. Shaw's office varied from its standard procedure and made multiple pre-natal appointments with Ms. Raina, even though the office would have had no appointment calendar for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court went on to cite </w:t>
      </w:r>
      <w:r>
        <w:rPr>
          <w:rFonts w:ascii="arial" w:eastAsia="arial" w:hAnsi="arial" w:cs="arial"/>
          <w:b/>
          <w:i/>
          <w:color w:val="000000"/>
          <w:sz w:val="20"/>
          <w:lang w:val="en-US" w:eastAsia="en-US" w:bidi="ar-SA"/>
        </w:rPr>
        <w:t>Belknap</w:t>
      </w:r>
      <w:r>
        <w:rPr>
          <w:rFonts w:ascii="arial" w:eastAsia="arial" w:hAnsi="arial" w:cs="arial"/>
          <w:color w:val="000000"/>
          <w:sz w:val="20"/>
          <w:lang w:val="en-US" w:eastAsia="en-US" w:bidi="ar-SA"/>
        </w:rPr>
        <w:t xml:space="preserve"> for the proposition that evidence of a physician's routine practice is acceptable and "possibly convincing"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Similarly, in this case, Dr. Younger's usual standard practice, which is corroborated by objective evidence, is the most convincing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the event that Ms. McNeil failed to appreciate the risk of nerve damage related to a gasatrocnemius slide or to the Surgery in general, her lack of understanding cannot be visited upon Dr. Younger who, in my view, makes every effort to convey information to his patients in a form and manner that can be readily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surgeon's disclosure obligation is the obligation to ensure a patient's comprehension of the information communicated. In </w:t>
      </w:r>
      <w:r>
        <w:rPr>
          <w:rFonts w:ascii="arial" w:eastAsia="arial" w:hAnsi="arial" w:cs="arial"/>
          <w:b/>
          <w:i/>
          <w:color w:val="000000"/>
          <w:sz w:val="20"/>
          <w:lang w:val="en-US" w:eastAsia="en-US" w:bidi="ar-SA"/>
        </w:rPr>
        <w:t>Sadlowski v. Yeung</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2008 BCSC 456</w:t>
        </w:r>
      </w:hyperlink>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57 C.C.L.T. (3d) 305</w:t>
        </w:r>
      </w:hyperlink>
      <w:r>
        <w:rPr>
          <w:rFonts w:ascii="arial" w:eastAsia="arial" w:hAnsi="arial" w:cs="arial"/>
          <w:color w:val="000000"/>
          <w:sz w:val="20"/>
          <w:lang w:val="en-US" w:eastAsia="en-US" w:bidi="ar-SA"/>
        </w:rPr>
        <w:t>, Mr. Justice Slade said at paras. 103-105: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[103] Related to the physician's disclosure obligation is the obligation to ensure patient's comprehension of the information communicated: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Prior to </w:t>
      </w: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there was some doubt as to whether the doctor had the duty to ensure that he was understood. However, Laskin C.J. made it quite clear in that case that it was incumbent on the doctor to make sure that he was understood, particularly where it appears that the patient had some difficulty with the language spoken by the doctor.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[55] Indeed, it is appropriate that the burden should be placed on the doctor to show that the patient comprehended the explanation and instructions given.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Ciarlariello</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[1993] 2 S.C.R. 119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para. 54, 55]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[104] The physician's duty to "ensure" understanding does not mean that a physician is strictly liable in every case where the patient misunderstands the information conveyed. Picard &amp; Robertson in </w:t>
      </w:r>
      <w:r>
        <w:rPr>
          <w:rFonts w:ascii="arial" w:eastAsia="arial" w:hAnsi="arial" w:cs="arial"/>
          <w:i/>
          <w:color w:val="000000"/>
          <w:sz w:val="20"/>
          <w:lang w:val="en-US" w:eastAsia="en-US" w:bidi="ar-SA"/>
        </w:rPr>
        <w:t>Legal Liability of Doctors in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describe the standard as one of reasonableness: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To require a doctor in every case to ensure the patient understands the information, and to place the burden of proof on the doctor to establish that this was done, seems far too onerous and impracticable a duty, especially in light of studies which indicate that many patients do not understand (or remember) what doctors tell them. The doctor should only be required to take reasonable steps to ensure that the patient understands the information, and Justice Cory's dictum in Ciarlariello should be interpreted accordingly.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Exactly what constitutes "reasonable steps" in this context will, of course, depend on the particular circumstances of each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[Picard &amp; Robertson, </w:t>
      </w:r>
      <w:r>
        <w:rPr>
          <w:rFonts w:ascii="arial" w:eastAsia="arial" w:hAnsi="arial" w:cs="arial"/>
          <w:i/>
          <w:color w:val="000000"/>
          <w:sz w:val="20"/>
          <w:lang w:val="en-US" w:eastAsia="en-US" w:bidi="ar-SA"/>
        </w:rPr>
        <w:t>Legal Liability of Doctors and Hospitals in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p. 137]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[105] In </w:t>
      </w:r>
      <w:r>
        <w:rPr>
          <w:rFonts w:ascii="arial" w:eastAsia="arial" w:hAnsi="arial" w:cs="arial"/>
          <w:b/>
          <w:i/>
          <w:color w:val="000000"/>
          <w:sz w:val="20"/>
          <w:lang w:val="en-US" w:eastAsia="en-US" w:bidi="ar-SA"/>
        </w:rPr>
        <w:t>Byciuk v. Hollingsworth</w:t>
      </w:r>
      <w:r>
        <w:rPr>
          <w:rFonts w:ascii="arial" w:eastAsia="arial" w:hAnsi="arial" w:cs="arial"/>
          <w:color w:val="000000"/>
          <w:sz w:val="20"/>
          <w:lang w:val="en-US" w:eastAsia="en-US" w:bidi="ar-SA"/>
        </w:rPr>
        <w:t xml:space="preserve">, the Alberta Court of Queen's Bench agreed that it was too onerous to expect the doctor to literally ensure understanding in every situation. Instead, it is sufficient for the physician to take reasonable steps to ascertain whether the patient understood the message being conveyed. What are reasonable steps is determined by the circumstances of each case. Where the patient has a limited understanding of the English language, or has difficulty in comprehension by reason of infirmity or disability, the physician's burden of his duty to disclose is naturally higher: </w:t>
      </w:r>
      <w:r>
        <w:rPr>
          <w:rFonts w:ascii="arial" w:eastAsia="arial" w:hAnsi="arial" w:cs="arial"/>
          <w:b/>
          <w:i/>
          <w:color w:val="000000"/>
          <w:sz w:val="20"/>
          <w:lang w:val="en-US" w:eastAsia="en-US" w:bidi="ar-SA"/>
        </w:rPr>
        <w:t>Byciuk v. Hollingsworth</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2004 ABQB 370</w:t>
        </w:r>
      </w:hyperlink>
      <w:r>
        <w:rPr>
          <w:rFonts w:ascii="arial" w:eastAsia="arial" w:hAnsi="arial" w:cs="arial"/>
          <w:color w:val="000000"/>
          <w:sz w:val="20"/>
          <w:lang w:val="en-US" w:eastAsia="en-US" w:bidi="ar-SA"/>
        </w:rPr>
        <w:t>, para.33.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find that Dr. Younger took all reasonable steps to determine that Ms. McNeil gave her informed consent to the gastrocnemius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Even where a court finds that a physician did not disclose all of the information that a reasonable person would want to know, that is not the end of the matter. The Court engages in a "causation" analysis, which the plaintiff has the burden of proving. There are two aspects of causation. First, did a risk which was not disclosed, materialize and cause the damage from which Ms. McNeil now suffers? Second, if the risk which arose was not disclosed and should have been, would a reasonable person, in her position, having been fully informed of the risks involved, have consented to the procedure: </w:t>
      </w:r>
      <w:r>
        <w:rPr>
          <w:rFonts w:ascii="arial" w:eastAsia="arial" w:hAnsi="arial" w:cs="arial"/>
          <w:b/>
          <w:i/>
          <w:color w:val="000000"/>
          <w:sz w:val="20"/>
          <w:lang w:val="en-US" w:eastAsia="en-US" w:bidi="ar-SA"/>
        </w:rPr>
        <w:t>Reibl</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Arndt v. Smith</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at paras. 6-7, </w:t>
      </w:r>
      <w:hyperlink r:id="rId292" w:history="1">
        <w:r>
          <w:rPr>
            <w:rFonts w:ascii="arial" w:eastAsia="arial" w:hAnsi="arial" w:cs="arial"/>
            <w:i/>
            <w:color w:val="0077CC"/>
            <w:sz w:val="20"/>
            <w:u w:val="single"/>
            <w:shd w:val="clear" w:color="auto" w:fill="FFFFFF"/>
            <w:lang w:val="en-US" w:eastAsia="en-US" w:bidi="ar-SA"/>
          </w:rPr>
          <w:t>35 B.C.L.R (3d) 187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Arndt</w:t>
      </w:r>
      <w:r>
        <w:rPr>
          <w:rFonts w:ascii="arial" w:eastAsia="arial" w:hAnsi="arial" w:cs="arial"/>
          <w:color w:val="000000"/>
          <w:sz w:val="20"/>
          <w:lang w:val="en-US" w:eastAsia="en-US" w:bidi="ar-SA"/>
        </w:rPr>
        <w:t>, Cory J. reviewed in detail the test which should be applied when determining whether the loss claimed by the plaintiff was caused by the doctor's failure to advise of the risk. Cory J. sets out the modified objective test for causation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These words are as persuasive today as they were when they were written. The test enunciated relies on a combination of objective and subjective factors in order to determine whether the failure to disclose </w:t>
      </w:r>
      <w:r>
        <w:rPr>
          <w:rFonts w:ascii="arial" w:eastAsia="arial" w:hAnsi="arial" w:cs="arial"/>
          <w:color w:val="000000"/>
          <w:sz w:val="20"/>
          <w:u w:val="single"/>
          <w:lang w:val="en-US" w:eastAsia="en-US" w:bidi="ar-SA"/>
        </w:rPr>
        <w:t>actually</w:t>
      </w:r>
      <w:r>
        <w:rPr>
          <w:rFonts w:ascii="arial" w:eastAsia="arial" w:hAnsi="arial" w:cs="arial"/>
          <w:color w:val="000000"/>
          <w:sz w:val="20"/>
          <w:lang w:val="en-US" w:eastAsia="en-US" w:bidi="ar-SA"/>
        </w:rPr>
        <w:t xml:space="preserve"> caused the harm of which the plaintiff complains. It requires that the court consider what the reasonable patient </w:t>
      </w:r>
      <w:r>
        <w:rPr>
          <w:rFonts w:ascii="arial" w:eastAsia="arial" w:hAnsi="arial" w:cs="arial"/>
          <w:color w:val="000000"/>
          <w:sz w:val="20"/>
          <w:u w:val="single"/>
          <w:lang w:val="en-US" w:eastAsia="en-US" w:bidi="ar-SA"/>
        </w:rPr>
        <w:t>in the circumstances of the plaintiff</w:t>
      </w:r>
      <w:r>
        <w:rPr>
          <w:rFonts w:ascii="arial" w:eastAsia="arial" w:hAnsi="arial" w:cs="arial"/>
          <w:color w:val="000000"/>
          <w:sz w:val="20"/>
          <w:lang w:val="en-US" w:eastAsia="en-US" w:bidi="ar-SA"/>
        </w:rPr>
        <w:t xml:space="preserve"> would have done if faced with the same situation. The trier of fact must take into consideration any "particular concerns" of the patient and any "special considerations affecting the particular patient" in determining whether the patient would have refused treatment if given all the information about possible risks.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test for causation in such cases in British Columbia has not changed since McEachern C.J.S.C. (as he then was) stated in </w:t>
      </w:r>
      <w:r>
        <w:rPr>
          <w:rFonts w:ascii="arial" w:eastAsia="arial" w:hAnsi="arial" w:cs="arial"/>
          <w:b/>
          <w:i/>
          <w:color w:val="000000"/>
          <w:sz w:val="20"/>
          <w:lang w:val="en-US" w:eastAsia="en-US" w:bidi="ar-SA"/>
        </w:rPr>
        <w:t>Diack</w:t>
      </w:r>
      <w:r>
        <w:rPr>
          <w:rFonts w:ascii="arial" w:eastAsia="arial" w:hAnsi="arial" w:cs="arial"/>
          <w:color w:val="000000"/>
          <w:sz w:val="20"/>
          <w:lang w:val="en-US" w:eastAsia="en-US" w:bidi="ar-SA"/>
        </w:rPr>
        <w:t>, at 248: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the onus is on the plaintiff to establish he would not have been injured if he had received a proper warning ... I also have in mind that this issue cannot be decided just on the say so of either party for, as Laskin C.J.C. points out in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supra, a patient suing his doctor or dentist will seldom admit he would have agreed to undergo the surgery even if he knew all the possible consequences, and the surgeon cannot always succeed by showing that the procedure was necessary as the court will not infer that every patient with full knowledge of the risk will always consent to undergo the procedure. The test therefore is an objective one and the particular circumstances of each case and of each patient must be carefully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"modified" aspect of the objective test outlined in </w:t>
      </w:r>
      <w:r>
        <w:rPr>
          <w:rFonts w:ascii="arial" w:eastAsia="arial" w:hAnsi="arial" w:cs="arial"/>
          <w:b/>
          <w:i/>
          <w:color w:val="000000"/>
          <w:sz w:val="20"/>
          <w:lang w:val="en-US" w:eastAsia="en-US" w:bidi="ar-SA"/>
        </w:rPr>
        <w:t>Reibl</w:t>
      </w:r>
      <w:r>
        <w:rPr>
          <w:rFonts w:ascii="arial" w:eastAsia="arial" w:hAnsi="arial" w:cs="arial"/>
          <w:color w:val="000000"/>
          <w:sz w:val="20"/>
          <w:lang w:val="en-US" w:eastAsia="en-US" w:bidi="ar-SA"/>
        </w:rPr>
        <w:t xml:space="preserve"> and restated in </w:t>
      </w:r>
      <w:r>
        <w:rPr>
          <w:rFonts w:ascii="arial" w:eastAsia="arial" w:hAnsi="arial" w:cs="arial"/>
          <w:b/>
          <w:i/>
          <w:color w:val="000000"/>
          <w:sz w:val="20"/>
          <w:lang w:val="en-US" w:eastAsia="en-US" w:bidi="ar-SA"/>
        </w:rPr>
        <w:t>Arndt</w:t>
      </w:r>
      <w:r>
        <w:rPr>
          <w:rFonts w:ascii="arial" w:eastAsia="arial" w:hAnsi="arial" w:cs="arial"/>
          <w:color w:val="000000"/>
          <w:sz w:val="20"/>
          <w:lang w:val="en-US" w:eastAsia="en-US" w:bidi="ar-SA"/>
        </w:rPr>
        <w:t xml:space="preserve"> is that the reasonable person in the place of Ms. McNeil must be taken to have similar beliefs and expectations. As stated in </w:t>
      </w:r>
      <w:r>
        <w:rPr>
          <w:rFonts w:ascii="arial" w:eastAsia="arial" w:hAnsi="arial" w:cs="arial"/>
          <w:b/>
          <w:i/>
          <w:color w:val="000000"/>
          <w:sz w:val="20"/>
          <w:lang w:val="en-US" w:eastAsia="en-US" w:bidi="ar-SA"/>
        </w:rPr>
        <w:t>Arndt</w:t>
      </w:r>
      <w:r>
        <w:rPr>
          <w:rFonts w:ascii="arial" w:eastAsia="arial" w:hAnsi="arial" w:cs="arial"/>
          <w:color w:val="000000"/>
          <w:sz w:val="20"/>
          <w:lang w:val="en-US" w:eastAsia="en-US" w:bidi="ar-SA"/>
        </w:rPr>
        <w:t>,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this means that the "reasonable person" who sets the standard for the objective test must be taken to possess the patient's reasonable beliefs, fears, desires and expectations. Further, the patient's expectations and concerns will usually be revealed by the questions posed. Certainly, they will indicate the specific concerns of the particular patient at the time consent was given to a proposed course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task of a trial judge in determining whether a reasonable, fully informed patient would have agreed to a planned course of treatment is summarized by McEachern C.J.S.C. in </w:t>
      </w:r>
      <w:r>
        <w:rPr>
          <w:rFonts w:ascii="arial" w:eastAsia="arial" w:hAnsi="arial" w:cs="arial"/>
          <w:b/>
          <w:i/>
          <w:color w:val="000000"/>
          <w:sz w:val="20"/>
          <w:lang w:val="en-US" w:eastAsia="en-US" w:bidi="ar-SA"/>
        </w:rPr>
        <w:t>Diack</w:t>
      </w:r>
      <w:r>
        <w:rPr>
          <w:rFonts w:ascii="arial" w:eastAsia="arial" w:hAnsi="arial" w:cs="arial"/>
          <w:color w:val="000000"/>
          <w:sz w:val="20"/>
          <w:lang w:val="en-US" w:eastAsia="en-US" w:bidi="ar-SA"/>
        </w:rPr>
        <w:t>, at 248-249, wherein he describes a "hypothetical dialogue" between the plaintiff and the defendant. The court must decide whether a reasonable person in the plaintiff's particular circumstances would have proceeded with the surgery after being fully informed of all the attendant risks. Constructing a "hypothetical dialogue" between the physician and the patient assists "to create the context in which ... the [patient] would reach [her]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accept the submissions of counsel for Dr. Younger that in this case, the hypothetical dialogue between the plaintiff and Dr. Younger would have included consideration of the following:</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 so much pain she wanted her toe amputated;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 stranger to surgery. Although she did not want more surgery, she knew it was necessary. Her personal experience told her that surgery would be helpful;</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Younger was of the opinion that the silastic implants needed to be removed, and that the two joints then needed to be fused. He was also of the opinion that the tight heel cord would reduce the chance of a successful result, in part because it increased the chance of a non-union. Dr. Younger gave Ms. McNeil priority in booking the initial assessment since her joints would continue to break down if not treated; and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Younger was also of the view that the need to perform the gastrocnemius slide arose not from the tightness of the heel cord alone, but from the tightness combined with the forefoot problems. Lengthening the heel cord was not a primary objective; it was a necessary objective because Ms. McNeil's forefoot was being reconstructed and pressure needed to be taken off the forefoot, otherwise the result may be compromised. The gastrocnemius slide procedure provided the benefit of reduced stress on Ms. McNeil's forefoot and the greater likelihood that the fusion would be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I have already pointed out, Dr. Goytan agreed the gastrocnemius slide was medically indicated for Ms.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find that Dr. Younger obtained Ms. McNeil's informed consent for the Surgery. Further, I find that a reasonable person in Ms. McNeil's circumstances would have consented to the Surgery knowing of the risks including damage to the sural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 Surgery Negligently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Dr. Younger's evidence: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Younger explained that Ms. McNeil's MTP joints were breaking down due to the silastic implants which sit in between her MTP and TMT joints. Dr. Younger's treatment plan called for the fusion of those two joints. The fusion required a graft of bone material taken from the patient or a bone bank. Silastic implants are no longer used since they are now recognized as causing bone loss when they break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Younger relied on his standard practice to describe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 the day of surgery, the patient is brought through the hospital's holding area where he sees the patient prior to surgery. He marks the patient's leg at the appropriate spot and reviews the Consent form with the patient one further time. The patient is then moved into the operating room and placed on the operating table. A further check is made to ensure that he will be operating on the correct leg. Dr. Younger then reviews the Consent form with the nurse, confirms again the procedures to be carried out, and marks out on the patient all of the incision sites. In Ms. McNeil's case, a marking pen is used to mark the inside of her left calf, the outside of her left knee, and the top of her left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Local anesthetic is injected in all five nerves around the foot before general anesthetic is delivered in order to minimize the amount of general anesthetic the patient receives. Anesthetic is also injected just above those sites where the incisions are to be made at the gastroc muscle and the tibia with a 26 gauge needle some 2 1/2 inches in length (its diameter is smaller than the shaft of a paper clip).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gastrocnemius slide is usually performed first, before the fusion. An incision is made on the medial or inside of the calf where, following a visual examination of the leg and an assessment, the heel cord tendon is determined to be. Once the incision is made, dissection is carried out through to the deep fascia to reach the fascia that sits above the muscle. Once that fascia is reached, the knife is put aside so that fascia can be tagged; dissection with a finger or a blunt instrument is used to define the various layers of the gastrocnemius, the soleus, and the deep fascia.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Younger then dissects above the gastrocnemius muscle. Further and very specific steps are taken to ensure that he is at the correct location. Dissection is then taken outside the gastroc muscle and the tendon right across to the other side; dissection is made in the plane between the muscle and the tendon and the fascia. It is at that point that the sural nerve is looked for. If it is present, it will be in that plane. Once identified, the sural nerve will be elevated off of the tendon.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It is not always possible to visualize the sural nerve. In that event, Dr. Younger will palpate for it. There are occasions when the sural nerve cannot be identified at all. In Dr. Younger's experience, he is able to visualize the nerve 60% of the time, palpate the nerve 20% of the time, and in the remaining 20% of the time he is not able to identify it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those cases where Dr. Younger is unable to identify the nerve through visualization or palpation, he is very careful to make absolutely certain that all tissue is taken off the back of the gastrocnemius muscle and the fascia above and below the level where he is to be cutting to make sure it is not located in any of the tissue that he intends to dissect. Dr. Younger explained that in those cases where he cannot see or feel the sural nerve, he is absolutely meticulous to make sure that all of the structures that are to be dissected are examined to ensure that an inadvertent transection of the sural nerve is not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Younger is almost always accompanied by a surgical resident during the surgery. He will not permit a resident to perform any part of the gastrocnemius slide unless he is completely satisfied with that individual's surgical abilities, and even then, Dr. Younger examines that resident's work on a step-by-step basis as it is being carried out to ensure that the sural nerve has been identified. In Ms. McNeil's case, Dr. Younger was attended by resident and co-defendant, Dr. Awwad. As Dr. Younger was not satisfied with the quality of Dr. Awwad's surgical technique, he would not permit him to carry out the Surgery let alone the gastrocnemius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Once the back of the gastroc muscle is cleared so that Dr. Younger can see that portion of the muscle to be cut, a retractor is placed in that area and the nerve position is double checked. A retractor is then placed on the other side of the tendon. All of the soft tissue is retracted out of the way. The retractors are used in such a way as to leave the tendon alone in the wound. Under direct visualization, the tendon is cut, usually with scissors, and then only with a tiny opening of the blades to ensure that only the tendon is cut. The tendon is checked to make sure the lengthening is appropriate. The foot is then manipulated and pushed upwards into position with the knee straight to make sure a complete release has been performed. There are times when the manipulation is not entirely complete on the lateral side, which requires further use of the retractors and manipulation; this is not in an area where the sural nerve is likely to be located. Once manipulation is complete, the wound is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There are several ways in which the sural nerve can be damaged during a gastrocnemius slide, including:</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retractors which are used to hold the nerve away from the surgical field;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cord lengthening process;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tourniquet;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those cases where the nerve cannot be identified, through inadvertence as a result of an anatomical variation of the course of the nerve even though the surgeon takes great care to work within a surgical field where the nerve is usually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Younger takes every precaution to keep clear of the sural nerve. He instructs residents that it is a central part of the procedure to look for the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those cases where the sural nerve is damaged, the patient ends up with a numb outside border of their foot; the numbness is usually temporary.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Younger notes what he referred to as "unusual" events in the operative report prepared following each surgery. He admitted that failing to identify the sural nerve would be unusual; a note would be made. The operative report for the Surgery ("Operative Report") makes no mention of the sural nerve. Although Dr. Younger has no specific recollection of identifying the sural nerve during the Surgery, he told me that he would have done so, explaining: "In my mind, it's a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cross-examination, Dr. Younger's attention was drawn to a pre-surgical assessment document completed in part by Ms. McNeil and in part by Dr. Younger prior to the Surgery. There is no note of the proposed gastrocnemius slide procedure in that part of the document entitled "</w:t>
      </w:r>
      <w:r>
        <w:rPr>
          <w:rFonts w:ascii="arial" w:eastAsia="arial" w:hAnsi="arial" w:cs="arial"/>
          <w:b/>
          <w:color w:val="000000"/>
          <w:sz w:val="20"/>
          <w:lang w:val="en-US" w:eastAsia="en-US" w:bidi="ar-SA"/>
        </w:rPr>
        <w:t>GENERAL INFORMATION</w:t>
      </w:r>
      <w:r>
        <w:rPr>
          <w:rFonts w:ascii="arial" w:eastAsia="arial" w:hAnsi="arial" w:cs="arial"/>
          <w:color w:val="000000"/>
          <w:sz w:val="20"/>
          <w:lang w:val="en-US" w:eastAsia="en-US" w:bidi="ar-SA"/>
        </w:rPr>
        <w:t>" which was filled out by Dr. Younger. I accept Dr. Younger's evidence that the document he works from well before and just prior to the surgery is the Consent form, which, in this case, was the Consent he reviewed with Ms. McNeil on May 20, 2003 and on the day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That assessment document also shows the booking time for the operation to have been set originally at 1.5 hours and then crossed out and changed to two hours. I accept Dr. Younger's evidence that this is an administrative issue between himself and the hospital. He tries to ensure that he has allowed sufficient time to complete surgery as any underestimate will usually result in the surgery being bumped. In Ms. McNeil's case, VGH increased the time to two hours. That estimate is not confined to the actual surgical procedure itself (referred to as "skin to skin"); it is meant to allow for patient preparation and transport into the recovery room. Dr. Younger denied the suggestion, put to him in cross-examination, that Ms. McNeil's surgery was rushed since he completed it, on a skin to skin basis, in approximately one hour and six minutes. I accept Dr. Younger's explanation that his booking time is an estimate only. Further, there was absolutely no evidence, expert or otherwise, to show that the actual time taken by Dr. Younger to perform the Surgery was inappropriate or rushed.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Goytan, on behalf of Ms. McNeil, opined that her sural nerve may have been injured during the gastrocnemius slide through blunt or sharp trauma. In Ms. McNeil's case, Dr. Goytan "postulated that the sural nerve was injured over the medial incision of the calf where the gastrocnemius slide was performed." That incision, he said, continues from the medial or inside aspect of the calf deep to the lateral side. According to Dr. Goytan: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incision continuing deep to the lateral side of the calf, thereby </w:t>
      </w:r>
      <w:r>
        <w:rPr>
          <w:rFonts w:ascii="arial" w:eastAsia="arial" w:hAnsi="arial" w:cs="arial"/>
          <w:i/>
          <w:color w:val="000000"/>
          <w:sz w:val="20"/>
          <w:lang w:val="en-US" w:eastAsia="en-US" w:bidi="ar-SA"/>
        </w:rPr>
        <w:t>could have</w:t>
      </w:r>
      <w:r>
        <w:rPr>
          <w:rFonts w:ascii="arial" w:eastAsia="arial" w:hAnsi="arial" w:cs="arial"/>
          <w:color w:val="000000"/>
          <w:sz w:val="20"/>
          <w:lang w:val="en-US" w:eastAsia="en-US" w:bidi="ar-SA"/>
        </w:rPr>
        <w:t xml:space="preserve"> damaged the sural nerve, resulting in a painful neuroma and numbness to the lateral aspect of the leg.</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When asked if there are methods to avoid or to prevent sural nerve injury, Dr. Goytan replied that: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preoperative investigations available to map out the course of the nerve;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surgical incision is "well enough away from the course of the nerve to avoid the complication";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identification of the nerve so that steps could be taken to protect it during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Dr. Goytan's opinion, Dr. Younger's failure to note in his Operative Report identification of the sural nerve constitutes "substandard surgical technique".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At no point in Dr. Goytan's report does he opine that Ms. McNeil's sural nerve was damaged as a result of any substandard surgical technique or care on the part of Dr. Younger. Instead Dr. Goytan identifies Dr. Younger's failure to note his identification of the sural nerve in the Operative Report and any steps he undertook to "avoid a sural nerve complication". From there, Dr. Goytan undertakes a quantum leap to conclude that Dr. Younger did not identify the sural nerve: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Dr. Younger's patient would have had a better outcome had the sural nerve not been injured with the gastrocnemius slide. His failure to identify the nerve at the time of surgery resulted in a poor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Goytan conceded in cross-examination that he read over Dr. Younger's examination for discovery transcript because the documents he was provided with, including the Operative Report, did not disclose whether Dr. Younger had visualized and taken steps to protect the sural nerve. Dr. Goytan acknowledged that he read "as much as I could of that [the transcript]" and found it "difficult to follow who was the questioner and who was the answerer". What Dr. Goytan did was to select questions he saw of particular importance to him. He did not select those which were of "some importance" in providing his opinion. He could not identify the questions that fell into those two categories without having the transcript in front of him to review. Finally, and of significance is Dr. Goytan's admission that when he read the discovery transcript he noticed that Dr. Younger was never asked if he had identified the sural nerve during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Goytan also admitted during cross-examination that the sural nerve may be damaged when retractors are used to separate out adjacent structures. He agreed that surgeons need to use one or more retractors to isolate the gastroc muscle. The nerve can be injured, he agreed, by blunt force trauma from the retractor or from the act of stretching the nerve itself. He acknowledged that simply placing the retractor has the potential to cause nerve injury. As well, he admitted, in the rare event that the nerve is tethered to the structure above or below, the nerve may be damaged. The nerve, he said, could also become damaged if caught in a forcep clip used during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Finally, when pressed, he acknowledged that Dr. Younger did not refer to the following other matters in his Operative Report: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identifying the curve of the belly of the muscle externally - yet, he conceded that Dr. Younger must have done or probably did that;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cauterized the veins - Dr. Goytan agreed that cauterization is done in modern surgeries;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type of scalpel blade used - yet, Dr. Goytan said he would not be interested to know the type of surgical instrument used;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retractors - which Dr. Goytan conceded Dr. Younger may or may not have required;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wound closure - which Dr. Goytan agreed must have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Goytan admitted he did not expect those matters to be disclosed in the Operative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Dryden is an orthopaedic surgeon who provided expert evidence on behalf of Dr. Younger. Dr. Dryden graduated from medical school at the University of British Columbia in 1996. He completed his orthopaedic residency in 2001 at that university. He performed some foot and ankle surgeries during his residency, comprising 15 to 20% of his residency. Part of his residency training was provided by Dr. Younger. Dr. Dryden then pursued a further six months of foot and ankle training at St. Michael's Hospital in Toronto. Dr. Dryden has practiced medicine in British Columbia in orthopaedic surgery with a special interest in foot and ankle surgery since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Dryden has jointly authored a medical article with Dr. Younger. They know each other professionally. They do not socialize. Their relationship has been strictly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reject the suggestion that Dr. Dryden is biased or that his opinion was influenced in any way as a result of his residency training by Dr. Younger or their association in preparing a medical article. I found Dr. Dryden to be a most careful and precise witness whose opinions were carefully expressed. In one instance, which I discuss in paragraph 193, Dr. Dryden gave evidence that was adverse to the interests of Dr. Younger. Unlike Dr. Goytan, Dr. Dryden did not engage in conjecture or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Dryden has performed approximately 40 gastrocnemius slides. In his experience, he has been able to visualize the sural nerve in approximately 50% of the cases he has seen. He has been able to palpate the nerve in 10% of those cases where he has not been able to see it. In 50% of cases he has encountered, Dr. Dryden has not been able to identify the nerve at all. He carried out the gastrocnemius slide procedure notwithstanding.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Dr. Dryden's opinion, a surgeon performing a gastrocnemius slide cannot always identify the location of the sural nerve due to anatomical variation in some patients. In that event, the surgeon has to proceed with the surgery based on assumptions as to where the nerve is situated. This is why, Dr. Dryden explained, the surgeon operates on the medial or inside of the leg in order to stay away from those places where the nerve may potentially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Ms. McNeil's case, Dr. Younger made the incision on the medial side of her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According to Dr. Dryden, the sural nerve may be damaged by use of retractors, surgical scissors, or other instruments used during surgery, even in those cases where the surgeon identifies the nerve. There is the possibility that damage can occur to the sural nerve no matter how careful a surgeon is in performing a gastrocnemius slide. Since the sural nerve is purely a sensory nerve, most of the time the damage to that nerve results in numbness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Disposition: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my opinion, Dr. Younger met the requisite standard of care. I reject Dr. Goytan's opinion evidence to the contrary as it is based on conjecture without foundation. I accept Dr. Younger's evidence as to his standard practice in carrying out the gastrocnemius slide procedure. There is no evidence to show that Dr. Younger departed from his standard practice when carrying out that procedure to Ms.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accept Dr. Younger's explanation that he would have made a note regarding the sural nerve in the event he had not identified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his submissions, counsel for Ms. McNeil suggested that this is not a case where Dr. Younger did not see the nerve; otherwise, he said Dr. Younger would have made a note of it. Yet, on the other hand, counsel submitted that although Dr. Younger had the opportunity to identify the nerve, he failed to do so in this case. With respect, those submissions are inconsistent. It is irrelevant whether the nerve was there to be identified. The question is whether Dr. Younger did so. If he did not, then he would have made a note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evidence establishes that the sural nerve may be damaged with the best of care even where the nerve is identified. Damage may result from any one of several surgical instruments without fault or any breach of the standard of care on the part of the surgeon. That is why the patient is advised of that risk when informed consent is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Goytan opined that Dr. Younger's failure to note in the Operative Report his identification of the sural nerve is substandard practice. Dr. Dryden disagrees. In his opinion, each surgeon has his own approach in making their notes. Dr. Dryden said it is not necessary for a surgeon to note identification of the sural nerve in the Operative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do not accept Dr. Goytan's opinion. As I have said, he jumped to conclusions without a foundation. He also made several minor mistakes in his report that taken together suggest a lack of precision. For example:</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Goytan referred in his report to a doctor who is clearly identified in the hospital records as a radiologist, as an orthopaedic surgeon;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misidentified the location of the Foot &amp; Ankle Clinic to be Mount St. Joseph's Hospital based on a cover letter to the records, even though the pages comprising the hospital records clearly show them to be on the letterhead of St. Vincent's Hospital;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Goytan mistakenly referred to the distribution of the surval nerve to be located in the "upper part of the leg", which it clearly is not, instead of stating it was located in the upper part of the lower part of the leg below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all, I found Dr. Goytan to have assumed the worse of Dr. Younger wherever possible. He jumped to conclusions concerning informed consent and Dr. Younger's failure to identify the sural nerve. He also criticized Dr. Younger for proceeding with the Surgery when Ms. McNeil had not stopped smoking, courting the risk of non-union of the bone graft as a result. His evidence left the impression that Dr. Younger had failed to deal with the fact that Ms. McNeil was a smoker. He raised this issue as a point of criticism even though smoking is not an issue in this case. Further, Dr. Goytan's opinion ignored notes in the hospital records that clearly show that the issue was brought to Ms. McNeil's attention well before and again just prior to the Surgery. His opinion does not take into account Ms. Morrison's evidence that she raised the issue of smoking with Ms. McNeil during a telephone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prefer the evidence of Dr. Dryden who was careful, precise, and candid in providing his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This is not a case where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made out that Dr. Younger is not able to rebut: </w:t>
      </w:r>
      <w:r>
        <w:rPr>
          <w:rFonts w:ascii="arial" w:eastAsia="arial" w:hAnsi="arial" w:cs="arial"/>
          <w:b/>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156 D.L.R. (4th) 577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find Dr. Younger met the standard of care of an ordinary, competent orthopaedic surgeon in carrying out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Dr. Younger Negligent in Respect of his Provision of Post-Surgical Care to Ms.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McNeil claims she suffered damage to her sural nerve from the Surgery. She alleges that Dr. Younger failed to appreciate the possibility that she suffered from sural nerve damage following the Surgery until some 19 months later in June 2005, which resulted in delayed treatment and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McNeil says that her complaints to Dr. Younger remained consistent, from her first post-operative consultation with him to their last which took place in June 2005. She describes suffering from pain, burning, tingling, and numbness. She described her leg as feeling hot although not to touch. She described the location of her symptoms as extending from the mid calf down the outer left side of her leg to the big toe (which she said was also numb to touch).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Ms. McNeil says she knew at the hospital following Surgery that something was not right since her pain was worse than before Surgery. She had three post-operative consultations with Dr. Younger. She could not recall the dates. Upon her release from the hospital, she was initially focused on some bruising on her abdomen caused by pressure from support structures during Surgery that turned out to be of no consequence. Ms. McNeil said she never stopped complaining about the pain. She was in tears it was so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Given my concerns regarding the reliability of Ms. McNeil's account of events, I must look to the evidence contained in the objective evidence as well as the opinions of the medical experts to determine this aspect of her claim against Dr. Younger. I should also point out that when providing her account of events for this aspect of her claim, Ms. McNeil had trouble recalling dates and time frames. Further, when faced with a referral letter written by her family doctor in March 2005 that is inconsistent with Ms. McNeil's account of her pain and discomfort, Ms. McNeil sought to explain it away, stating that her doctor did not record all of their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Once Dr. Younger appreciated that Ms. McNeil may be suffering from a nerve injury, he referred her, without delay, to Dr. Clarke,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McNeil's complaints to Dr. Clarke when she saw him on August 3, 2005, the first of two occasions, were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her left foot surgery a couple of years ago, she presented with gross swelling of her left foot which she says has happened in the past. Subsequent to her surgery she has experienced a sensory disturbance which is from the knee down posteriorly, over a surface of the calf. It varies in its intensity from time to time but it is perceived as "a numb area --- sometimes my left heel feels fuzzy". The numbness does not extend onto to the top of the foot or the lateral border of the foot. About 10 or 11 months ago she was actually having pain from her hip down all the way through her left leg but at this time she feels normal from the knee to the hip and her symptoms are just posteriorly from knee and below ... She says "it throbs and burns". There is great variability day-to-day in the severity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Ms. McNeil told Dr. Clarke that her pain was on the outside of the calf but when the incision healed, the worst part was on the lateral part of the walking cast below her knee to where her toe was 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Clarke found, on examination, all light touch randomly applied from below the knee and all dermatomal and nerve areas to be intact. Ms. McNeil reported to him a difference in touch on the posterior calf from the mid calf distally. Dr. Clarke was not able to obtain the left sural sensory response on nerve conduction studies "despite trying multiple stimulation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Despite these findings, Dr. Clarke's opinion was not definitive. He wrote that Ms. McNeil "probably had experienced some damage to the sural nerve in one of the medial branches". He also reported, in a subsequent report, that Ms. McNeil was suffering from "significant orthopaedic problems" which are not related to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McNeil also saw a neurologist, Dr. Beckman, on October 10, 2008 at the request of counsel for Dr. Younger. Dr. Beckman is a clinical neurologist. He obtained his medical degree from the University of Western Ontario in 1977, and completed his residency program in internal medicine in 1980. He completed his residency in neurology in 1983. He has practiced in British Columbia since 1984 and is currently the program director for neurology at the University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Ms. McNeil told Dr. Beckman her symptoms were in her left leg, and consisting of constant pain that gets worse as the day goes on. She told him she experiences numbness involving the left lateral (outside) calf and left lateral foot (which is numb or "dead feeling"). She also told him that her left leg pain is better in the morning and gets worse as the day goes on. She gets throbbing pain if she sits for more than 15 minutes. The pain, which she described as "burning and feeling hot", and involves the whole lower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When Dr. Beckman examined Ms. McNeil, he found reduction of light touch and pin prick in the distribution of the sural nerve on the left. He did not find any hyperesthesia (burning electrical pain), allodynia (abnormal or residual pain from pin pricks longer than expected) on palpation of the skin over the sural nerve distribution, change in the colour of her leg (as Ms. McNeil says), temperature change, swelling, or dystrophic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Although Dr. Beckman could not opine as to the mechanism by which the sural nerve deficit arose, he said it was possible that it could have been caused by traction or stretching associated with the use of retractors.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Beckman expects a patient who has suffered a sural nerve injury as a cause of pain to complain of hypersensitivity on touching the skin over the sural nerve (which is typical of neuropathic pain). According to Dr. Beckman: "This type of pain is usually present all of the time." Another mechanism of pain resulting from sural nerve injury, he wrote, could be related to a complex regional pain syndrome (also called reflex sympathetic dystrophy), which Dr. Beckman has ruled out in Ms. McNeil's case. According to Dr. Beckman, reflex sympathetic dystrophy presents with chronic pain which, in his experience, is usually present all of the time as opposed to becoming worse as the day goes on, or present only at certain times of the day. Reflex sympathetic dystrophy is associated with features of coldness of the extremity or of the extremity feeling too hot. Objective findings are obvious swelling, temperature change, colour change, changes of the skin including loss of hair or thinning of the skin or shininess of the skin. Occasionally, abnormal motor movements can also be seen in complex regional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According to Dr. Beckman, a sural nerve injury and burning along the entire leg do not follow one another since the sural nerve is below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Beckman opined that Ms. McNeil does not suffer from complex regional pain syndrome, nor does he consider that Ms. McNeil suffers from neurogenic pain (pain involving a nerve injury). In his opinion, the patient's description of pain "sounds more deep soft tissue type pain". Neurogenic pain, he said: "tends to be hypersensitive to touch over the skin where the nerve has been damaged ... the typical presentation of neurogenic pain to the sural nerve is one of burning and hypersensitivity to light touch, rather than a deep throbbing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Goytan agreed, in cross-examination, that despite his earlier opinion (see paragraph 133) he does not know if Ms. McNeil is actually suffering from a neuroma (which is an injury to the nerve that results in neurogenic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Thus, while it seems that Ms. McNeil suffers from a sural nerve deficit, it has not been proven, on the balance of probabilities, such deficit is the cause of her reported pain and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Notes of Dr. Younger's post-operative consultations with Ms. McNeil show four visits following Surgery: November 13 and December 3, 2003; January 15, 2004; and June 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Notes of the visit on November 13, 2003, show Ms. McNeil complaining of abdominal bruising. There are no notes reporting pain, throbbing, or numbness. In fact, the notes read: "Now no complaints". These notes were made by Dr. Awwad who was assisting Dr. Younger.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Younger was present during the November 13, 2003 follow-up appointment even though the notes made on the document are in Dr. Awwad's handwriting. Dr. Younger specifically remembers the abdominal bruising issue arising. Dr. Younger was not sure if the reference to "Now no complaints" refers to the bruising of the abdomen or to post-operative recovery overall. Dr. Younger expected Ms. McNeil to have pain at this point after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progress notes made from the December 3, 2003 consultation read, in part: "from mid calf down all round back worse". Dr. Younger thinks the word "back" refers to the back of Ms. McNeil's leg. According to Dr. Younger, it is not unusual for patients to have numbness at this stage following the type of surgery Ms. McNeil underwent. There is no note to reference of pain contained in the progress notes. In reviewing those notes at trial, Dr. Younger remarked that the notation of numbness might indicate that the sural nerve has been stretched. If the pain was out of proportion at this stage, Dr. Younger would have made a note of it. In fact, no notes of pain were made in any of the post-operative visits on November 13 and December 3, 2003 and on January 15, 2004. If the pain reported by the patient is unusual, Dr. Younger has an arrangement to refer them to a specialist, Dr. MacDonald, for a quick referral. The other note of interest contained in the progress notes for December 3, 2003 indicate that neurological signs were "N" and showed Dr. Younger asked Ms. McNeil to return in six weeks and to have x-rays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Younger did not think, during the December 3, 2003 consultation with Ms. McNeil, that the sural nerve had been involved even though he noted numbness on the top of her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On the January 15, 2004 visit, the progress notes record Ms. McNeil's complaints to be: "2 1/2 month post-op L foot in walker boot. R foot bothering her more. Still swollen/numb on L side". On examination, Dr. Younger found numbness from the dorsum of the foot "proximally to the calf, a swollen ankle". He asked Ms. McNeil to return in three months and to have x-rays of both feet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Ms. McNeil did not return as she was asked. Instead, she waited until mid-fall 2004 to call Dr. Younger's office to schedule an appointment. She was told by his office that as she was now beyond the six months post treatment, she must have a new referral from her family doctor. In his evidence, Dr. Younger explained that this is a requirement of the Medical Services Plan of British Columbia. There would have been no need for Ms. McNeil to obtain a referral to return to see Dr. Younger before July 14,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Even though Ms. McNeil described, during the trial, being in constant pain, she waited to see her family doctor, Dr. James, until February 28,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James wrote a referral letter to Dr. Younger on March 1, 2005. In that letter, Dr. James described Ms. McNeil's reported complaints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known to yourself - having severe pain in her Rt great toe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Pt is very keen to see you + discuss ongoing management (+ also to follow up the pain in her L toe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There is no mention made of any problems with any part of Ms. McNeil's legs including her calf or her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Ms. McNeil said Dr. James did not record everything that was discussed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Dr. Younger's office received the referral letter and scheduled an appointment for June 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When Ms. McNeil attended on June 8, she completed a new patient questionnaire. In it, she was asked: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 the last two months, has your pain become: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568"/>
        <w:gridCol w:w="3346"/>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Better</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Worse</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Remained the same</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Ms. McNeil ticked the box next to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It was during that visit that she described to Dr. Younger in some detail the problems she was having with her left leg and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When Dr. Younger examined Ms. McNeil in June 2005, he examined her leg and palpated it. He could not come up with a specific diagnosis for the cause of her pain. He did not think that the sural nerve was involved because there was no complaint of numbness in the distribution of the sural nerve on examination or subjectively. He did not think that she was suffering from sympathetic reflex dystrophy since that diagnosis was not consistent with the appearance of her leg. Dr. Younger considered the possibility that Ms. McNeil suffered from multiple sclerosis due to the variable complaints she presented. As a result, he referred her to Dr. Clarke and ordered nerve conduction studies. Dr. Younger first became aware that Ms. McNeil probably suffered from a sural nerve injury when he received Dr. Clarke's report dated August 3,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Between seeing Dr. Younger and Dr. Clarke, Ms. McNeil was involved in two motor vehicle accidents. She failed to attend an MRI appointment scheduled for her by Dr. Clarke. She had no reason for missing the appointment. She conceded: "I just missed the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During the course of his cross-examination, Dr. Younger's translation of his chart notes for the Plaintiff's visit on December 3, 2003 was read to Dr. Dryden. Dr. Dryden agreed that those notes would be consistent with the possibility of sural nerve damage. That evidence, Ms. McNeil says, should lead me to conclude that Dr. Younger was negligent in determining the possibility of sural nerve damage at that early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While a retrospective look at that document may conveniently support a conclusion that Dr. Younger should have reached that determination, hindsight cannot, on the facts of this case, be confined to only that one document. Other evidence suggests that Ms. McNeil's symptoms had a different and perhaps more recent origin. Consider, for example:</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McNeil's accounts of her symptoms have been variable;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Doctors Clarke and Beckman have struggled to determine the precise cause of her complaints;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McNeil's account to Dr. James, as reported in her referral letter of March 1, 2005 suggests her problems concerned her right foot and left big toe;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McNeil failed to attend on Dr. Younger in three months following her visit on January 15, 2004, even though she says she was in constant pain and discomfort;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her complaints of pain and discomfort, upon learning from Dr. Younger's office in mid-fall 2004 that she needed another referral from her family doctor, she waited to see Dr. James until February 28, 2005;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answer on the patient questionnaire completed on June 8, 2005 leads to the conclusion that her pain became worse over the last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argument, counsel for the plaintiff highlighted a difference between Dr. Younger's referral report to Dr. Clarke and his report of findings on the EMG and Nerve Conduction referral document. The latter document refers to pain; the letter to Dr. Clarke does not. The latter document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ONGOING PAIN AND NUMBNESS BOTH LEGS-L + R </w:t>
      </w:r>
      <w:r>
        <w:rPr>
          <w:rFonts w:ascii="arial" w:eastAsia="arial" w:hAnsi="arial" w:cs="arial"/>
          <w:i/>
          <w:color w:val="000000"/>
          <w:sz w:val="20"/>
          <w:lang w:val="en-US" w:eastAsia="en-US" w:bidi="ar-SA"/>
        </w:rPr>
        <w:t>SINCE</w:t>
      </w:r>
      <w:r>
        <w:rPr>
          <w:rFonts w:ascii="arial" w:eastAsia="arial" w:hAnsi="arial" w:cs="arial"/>
          <w:color w:val="000000"/>
          <w:sz w:val="20"/>
          <w:lang w:val="en-US" w:eastAsia="en-US" w:bidi="ar-SA"/>
        </w:rPr>
        <w:t xml:space="preserve"> THE FUSION.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It was submitted that this note is proof of Dr. Younger's early knowledge of Ms. McNeil's pain and numbness following the Surgery. Such an interpretation ignores the objective evidence. It also ignores Dr. Younger's testimony (which I accept), and presumes the accuracy and reliability of Ms. McNeil's account (which I do not accept). It also ignores the fact that Ms. McNeil never complained of pain and numbness in both legs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While that difference in Dr. Younger's reporting in those two documents permits the submission to be made, it does not mean the submission is correct. In my view, the note in the request for an EMG study shows, on the balance of probabilities, that Ms. McNeil advised Dr. Younger, at the consultation in June 2005, for the first time, that she had been suffering from ongoing pain and numbness in both legs since the fusion. Ms. McNeil never complained of numbness and pain in both legs in her evidence. The reports of Drs. Clarke and Beckman do not show any such complaint having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Finally, should there be any merit in the submission that Dr. Younger should have detected the possibility of a sural nerve injury on December 3, 2003, Ms. McNeil has not proven that early detection has caused a loss. She has not proven that early detection and treatment would have made a difference to her pain and suffering or to the degree and extent of her injury including recovery time. There is no causal connection between any alleged breach and injury or damage established: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72 D.L.R. (4th) 289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Goytan does not opine that an early diagnosis would have meant a different result for Ms.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Ms. McNeil has failed to prove that Dr. Younger was negligent in respect of the provision of post-surgical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award costs to Dr. Younger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Miller v. Merck Frosst Canada Ltd., [2013] B.C.J. No. 613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11-14, 2012; supplementary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27, 2012 (plaintiff) and September 24,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S110437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613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544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C.C.L.T. (3d) 208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804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Miller, Plaintiff, and Merck Frosst Canada Ltd., Merck Frosst Canada &amp; Co., Merck &amp; Co., Inc., Merck Sharpe &amp; Dohme Corp.,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3"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4" w:name="Keywords_14"/>
      <w:bookmarkEnd w:id="184"/>
      <w:r>
        <w:rPr>
          <w:rFonts w:ascii="arial" w:eastAsia="arial" w:hAnsi="arial" w:cs="arial"/>
          <w:b/>
          <w:color w:val="000000"/>
          <w:sz w:val="20"/>
          <w:lang w:val="en-US" w:eastAsia="en-US" w:bidi="ar-SA"/>
        </w:rPr>
        <w:t xml:space="preserve">Civil litigation — Civil procedure — Parties — Class or representative actions — Certification — Common interests and issues — Definition of class — Representative plaintiff — Application by plaintiff to certify action concerning drugs Propecia and Proscar as class proceeding and to be appointed as representative plaintiff allowed — Application met requirements for certification under s. 4 of Class Proceedings Act — Pleadings disclosed cause of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based on defendants' duty to warn of side effect of sexual dysfunction and under Business Practices and Consumer Protection Act — There was identifiable class of over 50 individuals — Claim also raised common issues — Plaintiff was appropriate representative — Class proceeding was preferable procedure — Class Proceedings Act, s. 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5" w:name="Case Summary_13"/>
            <w:bookmarkEnd w:id="1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certify an action concerning the drugs Propecia and Proscar as a class proceeding and to be appointed as representative plaintiff. Proscar was sold for the treatment of prostate problems and Propecia for the treatment of male pattern baldness. The active drug in each was finasteride. The plaintiff alleged the defendants were negligent and in breach of the Business Practices and Consumer Protection Act ("BPCPA") in failing to warn men that sexual dysfunction might persist after discontinuation of treatment with the drugs. The plaintiff's proposed class definition was: "All persons who were prescribed Propecia and/or Proscar for hair loss in British Columbia." Proposed common issues were whether the drugs could cause side effects that continued after ceasing to take them, the existence of, nature and possible breach of a duty of care, the appropriateness of punitive damages, and issues related to the breach of the BPCPA. The defendants opposed certification and challenged the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6" w:name="Holdings of Court_10"/>
            <w:bookmarkEnd w:id="18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application was assessed against the requirements for certification under s. 4 of the Class Proceedings Act. First, the pleadings disclosed a cause of action. The notice of claim provided particulars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the defendants' duty to warn of the side effect of sexual dysfunction; it was not plain and obvious the claim could not succeed. The plaintiff also had a cause of action under the BPCPA: the defendants were suppliers and there was a "consumer transaction" between the defendants and a patient prescribed the drugs. Second, there was an identifiable class of two or more persons. The plaintiff's proposed class definition was overly broad and was modified to include males who were prescribed the drugs for male pattern baldness prior to November 18, 2011. There was some basis in fact that there were over 50 putative class members in B.C., and that the modified class definition was sufficiently clear so as to allow those potential members to decide whether to join the class. Third, the claim raised common issues. The common issue was relevant to the claims of all class members; the plaintiff had provided sufficient evidence to establish a rational relationship between the proposed class definition in that an answer to the common issue could be extrapolated to each potential class member. The common issue also moved the litigation forward. The full scope of the defendants' duty of care was not in issue: the only breach rationally connected to the claim was of the duty to warn of drug-related adverse reactions related to persistent sexual dysfunction. A breach of a duty to warn could be applied commonly to class members. The claim for punitive damages was to be certified as a common issue. The common issues related to the BPCPA were substantial ingredients of each potential class members' claim and were appropriately formulated as common issues. Fourth, the plaintiff was an appropriate representative. The fact that he had received a product warning went to the merits of the claim and was not for determination on the application. The plaintiff was capable of asserting a claim on behalf of users of both Proscar and Propecia as they shared the same active ingredient. However, the plaintiff's litigation plan was deficient as to how proposed experts were going to be identified and retained: certification was subject to the rectification of this deficiency. Fifth, the advantages of a class proceeding outweighed individual trials and was the preferable procedure.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7" w:name="Legislation Cited_12"/>
      <w:bookmarkEnd w:id="1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4"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Practices and Consumer Protection Act, </w:t>
      </w:r>
      <w:hyperlink r:id="rId368" w:history="1">
        <w:r>
          <w:rPr>
            <w:rFonts w:ascii="arial" w:eastAsia="arial" w:hAnsi="arial" w:cs="arial"/>
            <w:i/>
            <w:color w:val="0077CC"/>
            <w:sz w:val="20"/>
            <w:u w:val="single"/>
            <w:shd w:val="clear" w:color="auto" w:fill="FFFFFF"/>
            <w:lang w:val="en-US" w:eastAsia="en-US" w:bidi="ar-SA"/>
          </w:rPr>
          <w:t>SBC 2004, CHAPTER 2, s. 171</w:t>
        </w:r>
      </w:hyperlink>
      <w:r>
        <w:rPr>
          <w:rFonts w:ascii="arial" w:eastAsia="arial" w:hAnsi="arial" w:cs="arial"/>
          <w:color w:val="000000"/>
          <w:sz w:val="20"/>
          <w:lang w:val="en-US" w:eastAsia="en-US" w:bidi="ar-SA"/>
        </w:rPr>
        <w:t>, s. 171(1)(a), s.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123" w:history="1">
        <w:r>
          <w:rPr>
            <w:rFonts w:ascii="arial" w:eastAsia="arial" w:hAnsi="arial" w:cs="arial"/>
            <w:i/>
            <w:color w:val="0077CC"/>
            <w:sz w:val="20"/>
            <w:u w:val="single"/>
            <w:shd w:val="clear" w:color="auto" w:fill="FFFFFF"/>
            <w:lang w:val="en-US" w:eastAsia="en-US" w:bidi="ar-SA"/>
          </w:rPr>
          <w:t>RSBC 1996, CHAPTER 50, Part 2, s. 1</w:t>
        </w:r>
      </w:hyperlink>
      <w:r>
        <w:rPr>
          <w:rFonts w:ascii="arial" w:eastAsia="arial" w:hAnsi="arial" w:cs="arial"/>
          <w:color w:val="000000"/>
          <w:sz w:val="20"/>
          <w:lang w:val="en-US" w:eastAsia="en-US" w:bidi="ar-SA"/>
        </w:rPr>
        <w:t>, s. 2, s. 4, s. 4(1), s. 4(1)(b), s. 4(1)(e), s. 4(1)(e)(ii), s. 4(2), s. 5(5)(c)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Consumer Protection Act, </w:t>
      </w:r>
      <w:hyperlink r:id="rId369" w:history="1">
        <w:r>
          <w:rPr>
            <w:rFonts w:ascii="arial" w:eastAsia="arial" w:hAnsi="arial" w:cs="arial"/>
            <w:i/>
            <w:color w:val="0077CC"/>
            <w:sz w:val="20"/>
            <w:u w:val="single"/>
            <w:shd w:val="clear" w:color="auto" w:fill="FFFFFF"/>
            <w:lang w:val="en-US" w:eastAsia="en-US" w:bidi="ar-SA"/>
          </w:rPr>
          <w:t>RSBC 1996, CHAPTER 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Food and Drugs Act, </w:t>
      </w:r>
      <w:hyperlink r:id="rId274" w:history="1">
        <w:r>
          <w:rPr>
            <w:rFonts w:ascii="arial" w:eastAsia="arial" w:hAnsi="arial" w:cs="arial"/>
            <w:i/>
            <w:color w:val="0077CC"/>
            <w:sz w:val="20"/>
            <w:u w:val="single"/>
            <w:shd w:val="clear" w:color="auto" w:fill="FFFFFF"/>
            <w:lang w:val="en-US" w:eastAsia="en-US" w:bidi="ar-SA"/>
          </w:rPr>
          <w:t>R.S.C. 1985, c. F-27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Sale of Goods Act, </w:t>
      </w:r>
      <w:r>
        <w:rPr>
          <w:rFonts w:ascii="arial" w:eastAsia="arial" w:hAnsi="arial" w:cs="arial"/>
          <w:i/>
          <w:color w:val="000000"/>
          <w:sz w:val="20"/>
          <w:lang w:val="en-US" w:eastAsia="en-US" w:bidi="ar-SA"/>
        </w:rPr>
        <w:t>RSBC 1996, CHAPTER 410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3-1, Rule 3-7(9), Rule 11-6, Rule 22-2(12), Rule 22-2(13)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Trade Practice Act, </w:t>
      </w:r>
      <w:hyperlink r:id="rId370" w:history="1">
        <w:r>
          <w:rPr>
            <w:rFonts w:ascii="arial" w:eastAsia="arial" w:hAnsi="arial" w:cs="arial"/>
            <w:i/>
            <w:color w:val="0077CC"/>
            <w:sz w:val="20"/>
            <w:u w:val="single"/>
            <w:shd w:val="clear" w:color="auto" w:fill="FFFFFF"/>
            <w:lang w:val="en-US" w:eastAsia="en-US" w:bidi="ar-SA"/>
          </w:rPr>
          <w:t>RSBC 1996, CHAPTER 457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8" w:name="Counsel_15"/>
      <w:bookmarkEnd w:id="1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5"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 Klein, N.C. Hartigan, (D.J. Lennox,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J.M. Sullivan, R.L. Reinertson, (C. Beagan-Flood, Ontario).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9" w:name="Judgment_15"/>
      <w:bookmarkEnd w:id="189"/>
      <w:r>
        <w:pict>
          <v:line id="_x0000_s1106"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0" w:name="R.D. PUNNETT J."/>
            <w:bookmarkEnd w:id="190"/>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Michael Miller, applies to certify this action as a class proceeding pursuant to s. 4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and to be appointed as representative plaintiff pursuant to s. 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The defendants oppose certification. In doing so they raise numerous challenges to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concerns the prescription drugs marketed under the trade names Propecia and Proscar. The active drug in each is finasteride. The defendants are the drug's inventors and also manufacture, market and distribute it. Proscar is sold for the treatment of prostate problems including benign prostatic hyperplasia and the prevention of urologic events. Propecia is sold for the treatment of male pattern baldness, also known as androgenic alopecia.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that the defendants were negligent in failing to warn Canadian men of the risk that sexual dysfunction may persist after discontinuation of treatment with either Propecia or Proscar.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also alleges the defendants are in breach of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for failing to "disclose that some men may experience persistent and serious symptoms of sexual dysfunction, and in making statements that any side effects experienced would go away after discontinuing use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the two products are approved for and marketed for specific and quite different purposes, in May 2008 the 25-year-old plaintiff Michael Miller obtained from his physician a prescription for Proscar for treatment of hair loss. That is, Proscar, the drug for treatment of prostate problems, was prescribed by his physician for male pattern baldness because it was cheaper for the plaintiff to purchase the 5 mg Proscar tablet and then use a drug splitter to divide it into four 1.25 mg pieces than it was to purchase the 1 mg Propecia tablets for hair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were required to publish a product monograph with respect to each of Proscar and Propecia. Such monographs are approved by Health Canada. The product monographs provide information respecting the drugs and their use. As new information becomes available they are updated.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Proscar product monograph approved by Health Canada on April 27, 2007 was the product monograph in effect between May 21, 2008 and January 31, 2009, the period during which the plaintiff alleges he used Proscar. The April 2007 product monograph for Proscar expressly references erectile dysfunction, decreased libido and ejaculation disorder. In part it reads as follows:</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Clinical Trial Adverse Drug Reactions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PLESS, 1524 patients treated with PROSCAR (R) 5 mg daily and 1516 patients treated with placebo were evaluated for safety over a period of 4 years. 4.9% (74 patients) were discontinued from treatment due to side effects associated with PROSCAR (R) compared with 3.3% (50 patients) treated with placebo. 3.7% (57 patients) treated with PROSCAR (R) and 2.1% (32 patients) treated with placebo discontinued therapy </w:t>
      </w:r>
      <w:r>
        <w:rPr>
          <w:rFonts w:ascii="arial" w:eastAsia="arial" w:hAnsi="arial" w:cs="arial"/>
          <w:color w:val="000000"/>
          <w:sz w:val="20"/>
          <w:u w:val="single"/>
          <w:lang w:val="en-US" w:eastAsia="en-US" w:bidi="ar-SA"/>
        </w:rPr>
        <w:t>as a result of side effects related to sexual function, which were the most frequently reported side effects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Table 1 presents the only clinical adverse reactions considered possibly, probably or definitely drug related by the investigator, for which the incidence on PROSCAR (R) was </w:t>
      </w:r>
      <w:r>
        <w:rPr>
          <w:rFonts w:ascii="arial" w:eastAsia="arial" w:hAnsi="arial" w:cs="arial"/>
          <w:b/>
          <w:color w:val="000000"/>
          <w:sz w:val="20"/>
          <w:lang w:val="en-US" w:eastAsia="en-US" w:bidi="ar-SA"/>
        </w:rPr>
        <w:t>&gt;</w:t>
      </w:r>
      <w:r>
        <w:rPr>
          <w:rFonts w:ascii="arial" w:eastAsia="arial" w:hAnsi="arial" w:cs="arial"/>
          <w:color w:val="000000"/>
          <w:sz w:val="20"/>
          <w:lang w:val="en-US" w:eastAsia="en-US" w:bidi="ar-SA"/>
        </w:rPr>
        <w:t xml:space="preserve"> 1% and greater than placebo over the 4 years of the study. In years 2-4 of the study, there was no significant difference between treatment groups in the incidences of impotence, decreased libido and ejaculation disorder.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Health Canada also approved the wording of the "Consumer Information" package insert for Proscar. The package insert in the form approved in April 2007 for the product monograph says this: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SIDE EFFECTS AND WHAT TO DO ABOUT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PROSCAR (R) is generally well tolerated in men.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 should discuss side effects with your physician before taking PROSCAR (R) and any time you think you are having a side effect.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Like any medicine, PROSCAR (R) may have unintended or undesirable effects, so-called side effects. These are uncommon and do not affect most men. Side effects due to PROSCAR (R) </w:t>
      </w:r>
      <w:r>
        <w:rPr>
          <w:rFonts w:ascii="arial" w:eastAsia="arial" w:hAnsi="arial" w:cs="arial"/>
          <w:color w:val="000000"/>
          <w:sz w:val="20"/>
          <w:u w:val="single"/>
          <w:lang w:val="en-US" w:eastAsia="en-US" w:bidi="ar-SA"/>
        </w:rPr>
        <w:t>may include impotence (an inability to have an erection) or less desire to have sex. Some men may have changes or problems with ejaculation, such as a decrease in the amount of semen released during sex.</w:t>
      </w:r>
      <w:r>
        <w:rPr>
          <w:rFonts w:ascii="arial" w:eastAsia="arial" w:hAnsi="arial" w:cs="arial"/>
          <w:color w:val="000000"/>
          <w:sz w:val="20"/>
          <w:lang w:val="en-US" w:eastAsia="en-US" w:bidi="ar-SA"/>
        </w:rPr>
        <w:t xml:space="preserve"> This decrease in the amount of semen does not appear to interfere with normal sexual function. In some cases, these side effects disappeared while the patient continued to take PROSCAR (R). If symptoms persisted, they </w:t>
      </w:r>
      <w:r>
        <w:rPr>
          <w:rFonts w:ascii="arial" w:eastAsia="arial" w:hAnsi="arial" w:cs="arial"/>
          <w:color w:val="000000"/>
          <w:sz w:val="20"/>
          <w:u w:val="single"/>
          <w:lang w:val="en-US" w:eastAsia="en-US" w:bidi="ar-SA"/>
        </w:rPr>
        <w:t>usually</w:t>
      </w:r>
      <w:r>
        <w:rPr>
          <w:rFonts w:ascii="arial" w:eastAsia="arial" w:hAnsi="arial" w:cs="arial"/>
          <w:color w:val="000000"/>
          <w:sz w:val="20"/>
          <w:lang w:val="en-US" w:eastAsia="en-US" w:bidi="ar-SA"/>
        </w:rPr>
        <w:t xml:space="preserve"> resolved on discontinuing PROSCAR (R).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addition, some men may have breast swelling and/or tenderness. Some men have also reported allergic reactions such as rash, itching, hives and swelling of the lips and face; and testicular pain. You should promptly report to your physician any changes in your breasts such as lumps, pain or nipple discharge.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Notify your physician about any illness which may develop during your treatment with PROSCAR (R) and about any new prescription or non-prescription medication you may take. If you require medical help for other reasons, inform the attending physician that you are taking PROSCAR (R). [Emphasis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Proscar product monograph and consumer information insert therefore warned of a risk of sexual dysfunction that "usually" (i.e. not always) resolved upon discontinuing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Approximately one month after using Proscar the plaintiff alleges he experienced a diminished sex-drive. Over the ensuing months, he became completely disinterested in sexual activity and was unable to maintain an erection. On January 31, 2009 the plaintiff stopped taking Proscar expecting that these alleged side effects would disappear. To date, the plaintiff continues to experience symptoms of sexual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certification as a class action in this instance however is not limited to the uses of Proscar, the medication used by the plaintiff. The plaintiff seeks as well to represent those who took Propecia, the medication actually marketed for treatment of male pattern baldness.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Propecia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Propecia is marketed as a different prescription medication from Proscar its approval by Health Canada and its monographs and consumer information inserts are specific to it and differ from those for Proscar.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was approved for sale in Canada in 1998. The package insert approved by Health Canada as of July 2006, which was the version in effect during the period of time that the plaintiff alleges he used Proscar, says this: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SIDE EFFECTS AND WHAT TO DO ABOUT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Like any medicine, PROPECIA (R) may have unintended or undesirable effects, so-called side effects. These are uncommon and do not affect most men.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Only a small number of </w:t>
      </w:r>
      <w:r>
        <w:rPr>
          <w:rFonts w:ascii="arial" w:eastAsia="arial" w:hAnsi="arial" w:cs="arial"/>
          <w:color w:val="000000"/>
          <w:sz w:val="20"/>
          <w:u w:val="single"/>
          <w:lang w:val="en-US" w:eastAsia="en-US" w:bidi="ar-SA"/>
        </w:rPr>
        <w:t>men may experience less desire to have sex and/or difficulty in achieving an erection. An even smaller number may have a decrease in the amount of semen released during sex</w:t>
      </w:r>
      <w:r>
        <w:rPr>
          <w:rFonts w:ascii="arial" w:eastAsia="arial" w:hAnsi="arial" w:cs="arial"/>
          <w:color w:val="000000"/>
          <w:sz w:val="20"/>
          <w:lang w:val="en-US" w:eastAsia="en-US" w:bidi="ar-SA"/>
        </w:rPr>
        <w:t xml:space="preserve"> (this does not appear to interfere with normal sexual function). In clinical studies, these side effects disappeared in men who stopped taking PROPECIA (R) and in most men (58%) who continued treatment.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general use, the following have been reported infrequently: allergic reactions including rash, itching, hives, and swelling of the lips and face; </w:t>
      </w:r>
      <w:r>
        <w:rPr>
          <w:rFonts w:ascii="arial" w:eastAsia="arial" w:hAnsi="arial" w:cs="arial"/>
          <w:color w:val="000000"/>
          <w:sz w:val="20"/>
          <w:u w:val="single"/>
          <w:lang w:val="en-US" w:eastAsia="en-US" w:bidi="ar-SA"/>
        </w:rPr>
        <w:t>problems with ejaculation</w:t>
      </w:r>
      <w:r>
        <w:rPr>
          <w:rFonts w:ascii="arial" w:eastAsia="arial" w:hAnsi="arial" w:cs="arial"/>
          <w:color w:val="000000"/>
          <w:sz w:val="20"/>
          <w:lang w:val="en-US" w:eastAsia="en-US" w:bidi="ar-SA"/>
        </w:rPr>
        <w:t>; breast tenderness and enlargement; and testicular pain.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Tell your physician or pharmacist promptly about these or any other unusual symptoms. ... [Emphasis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asserts that the defendants were aware of the long-term side effects and that the warnings given in Canada were inadequate. He refers to product monographs and warnings given in other countries in support of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April 2007 the Swedish Medical Products Agency requested that Merck include a warning in the Swedish version of the Propecia product monograph regarding the possibility of persistent erectile dysfunction continuing after discontinuation of use of the drug. In 2008 Merck agreed to do so and included the following language in the "Undesirable Effects" section of the Swedish product monograph:</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Persistence of erectile dysfunction after discontinuation of treatment with PROPECIA has been reported in post-marketing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Similar changes were then made to the Propecia product monographs in a number of European countries and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Until November 18, 2011, the Canadian product monograph for Propecia included warnings in respect of decreased libido, erectile dysfunction, and ejaculation disorder. The product monograph also stated "[r]esolution of these adverse reactions occurred in men who discontinued therapy with Propecia and in most who continued therapy." It was not until November 18, 2011 that the product monograph for Propecia was updated in Canada to warn of the possibility that sexual dysfunction could persist after discontinuation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treats Proscar and Propecia as the same medication: finasteride. It is not disputed that finasteride is the active ingredient in both Proscar and Propecia. What differs however, in addition to their respective dosages, are the approval process for each, the testing of each, the product monographs for each and the purpose of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in treating Proscar and Propecia as simply variants in quantity of finasteride argues that they are the same drug. While that is true I am not satisfied that the situation is necessarily that simple as it ignores that they were manufactured, approved and marketed as two separate drugs. The plaintiff submits that even the defendants have treated the two as one and the same given they provided data respecting Proscar to Health Canada in support of their application concerning Propecia.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the defendants point out the users of the drug include those who take 5 mg for prostate issues, users who take 1 mg Propecia for male pattern baldness and others who take Proscar and divide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his affidavit filed in support of the certification application the plaintiff states that he took Proscar and divided it into four pieces because it was cheaper than purchasing Propecia. He states that he had reviewed Merck's website respecting the use of Propecia before taking the Proscar and that after about a month of taking the drug he felt different, specifically that he became completely disinterested in sexual activity. The symptoms of sexual dysfunction increased over the following months. He adverted to various sexual difficulties as well as feelings of anxiety and upset. He asserts that he believed that these changes were due to the side effects of the Proscar and he again reviewed the Merck website respecting Propecia in order to obtain information respecting the drug's side effects. As the website stated sexual side effects would resolve either with continued use or after cessation of taking the drug he continued to take the drug. He then became aware of websites where users alleged sexual dysfunction did not go away after use of Propecia and he as a result ceased taking Proscar.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does not say that he reviewed the Proscar website or the Proscar product monographs or inserts despite the fact that it was Proscar that he consumed.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also filed an affidavit from Alicyn Cumming, an administrative assistant at his counsel's office, sworn on July 12, 2011. Ms. Cumming appended to her affidavit various product monographs and articles. She also swore that she had been advised by a lawyer in the plaintiff's law firm that the lawyer had been contacted by 170 Canadian men who had advised that they wished to participate in a claim for damages arising from personal injury due to the use of Propecia and/or Proscar. Thirty-nine of them are from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An affidavit of Ms. Wong, a paralegal in the plaintiff counsel's firm, sworn October 14, 2011, was also filed. Ms. Wong attached searches of Health Canada's Drug Product Database and swore that the number of men in B.C. who had contacted the plaintiff's law firm had grown to 44 all except for one of whom had started taking "the drug" before February 1, 2010 (the date generic finasteride became available); 32 of the 44 reported having stopped taking the drug before that date. She does not give the source of this information nor which drug the men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second affidavit of Ms. Wong, sworn March 16, 2012, asserts 281 men in Canada of whom 55 are from B.C. had now contacted the plaintiff's counsel's law firm. Again, no source is given nor which drug is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Ms. Wong's final affidavit, sworn May 11, 2012, she clarifies that those men who called had asserted that they suffered from personal injury from ingesting finasteride; specifically, that they suffered from sexual dysfunction as alleged in para. 2 of the amended notice of claim. She then confirms that of the 55 men from B.C., 40 of them reported one or more side effects of sexual dysfunction that persisted after discontinuation of Propecia or Proscar. She also attached a copy of the Propecia product monograph for the US that was revised in April 2012 to refer to sexual dysfunction and depression continuing after discontinuation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Wright, a Professor in the Department of Anaesthesiology, Pharmacology &amp; Therapeutics and the Department of Medicine, at the University of British Columbia, filed two affidavits on behalf of the plaintiff, sworn July 11, 2011 and March 16, 2012,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July 11, 2011 affidavit Dr. Wright attaches as exhibits his written report as well as copies of the documents he refers to in that report. He states that other than the higher dose of finasteride in Proscar that Proscar and Propecia are identical and have the same contraindications and the same mechanism of action. He also states that the adverse reactions are the same for both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describes the mechanism of action of finasteride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Propecia is a Type II alpha-reductase inhibitor. It acts by competitively inhibiting Type II alpha-reductase, an intracellular enzyme that converts testosterone to dihydrotestosterone (DHT) and results in significant decreases in serum and tissue DHT concentrations. DHT has an androgenic potency that is about 5 times as much as testosterone.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His report then addresses issues of adverse reactions to the drugs and comments about the lack of long term-controlled trials of finasteride. It also comments on Merck's knowledge and failure to warn. The admissibility of these latter assertions are challenged by the defendants. I will address them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Wright's March 16 affidavit responds to the affidavits filed by the defendants. The most significant comment of Dr. Wright relates to his opinion respecting biological plausibility: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fact given the mechanism of action of finasteride to inhibit the production of dihydrotestosterone, it is not only biologically plausible but expected that sexual side effects would occur. Given the complexity and vulnerability of sexual function in man, including libido, erections and ejaculation, </w:t>
      </w:r>
      <w:r>
        <w:rPr>
          <w:rFonts w:ascii="arial" w:eastAsia="arial" w:hAnsi="arial" w:cs="arial"/>
          <w:color w:val="000000"/>
          <w:sz w:val="20"/>
          <w:u w:val="single"/>
          <w:lang w:val="en-US" w:eastAsia="en-US" w:bidi="ar-SA"/>
        </w:rPr>
        <w:t>it is, in my opinion, biologically plausible</w:t>
      </w:r>
      <w:r>
        <w:rPr>
          <w:rFonts w:ascii="arial" w:eastAsia="arial" w:hAnsi="arial" w:cs="arial"/>
          <w:color w:val="000000"/>
          <w:sz w:val="20"/>
          <w:lang w:val="en-US" w:eastAsia="en-US" w:bidi="ar-SA"/>
        </w:rPr>
        <w:t xml:space="preserve"> that in some of the men who experience sexual dysfunction while taking finasteride, the sexual dysfunction would be persistent.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will address this affidavit, as well as the other affidavits filed by both parties, later in these reasons. Generally the defendants challenge the affidavits of Dr. Wright, Alicyn Cumming and Deborah Wong as containing inadmissible hearsay. Their admissibility will be addressed as the requirements of s. 4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are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rely on affidavit material from: Mohamed Shakeel Bhatti, a pharmacist; Dr. Stacy Elliott, a physician and the Medical Manager of the B.C. Centre for Sexual Medicine; Dr. Sheldon L. Goldenberg C.M., O.B.C., M.D., F.R.C.S. (C) Professor and Head, Department of Urologic Sciences, University of British Columbia; Dr. Keith D. Kaufman, M.D., the Vice president, Project Leadership and Management, Diabetes and Endocrinology for Merck, Sharpe, and Dohme Corp; Dr. Lynn Stothers, M.D., Professor of Urological Sciences, University of British Columbia and Sandra Lee Wainwright, the Director of Regulatory Affairs at Merck Canada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Bhatti provides evidence on the information provided by pharmacies to their customers and addresses the need for pharmacological information concerning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Elliott addresses sexual function, the myriad of causes of male dysfunction and the high level of complexity of any assessment of the causes of sexual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Kaufman was the lead scientist responsible for the clinical development of Propecia and states he is familiar as well with the clinical development and post-marketing experience of Proscar. He addresses the approval process for any new drug including clinical studies and meeting the requirements of the U.S. Food and Drug Administration ("USFDA"). He confirms that the active ingredient of both Proscar and Propecia is finasteride and that the side effects reported by users of Propecia include decreased libido, erectile dysfunction and ejaculation disorder. He states: "[r]esolution of these drug-related adverse experiences occurred in men who discontinued therapy with Propecia (R) and in most who continued therapy." He qualifies this statement however by noting that the side effects reported cannot be taken to confirm that a causal relationship exists. This is because the USFDA does not require proof of a causal relationship between a product and an adverse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Goldenberg addresses what a plausible biological mechanism of action is and how it would be proven by the expert medical community, the mechanism of action of finasteride, whether a plausible biological mechanism of action has been identified linking persistent sexual dysfunction with the use of finasteride, and finally whether the expert material relied on by Dr. Wright identifies such a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Stothers addresses the issue of causation in medical science and factors contributing to it and whether the materials relied on by Dr. Wright identify a plausible biological mechanism of action linking persistent sexual dysfunction with the use of finasteride.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Sandra Wainwright provides in her affidavit detailed information respecting the approval process for the drugs, the testing done and the results of the drug study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Requirements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Part 2(4)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addresses the requirements for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The court must certify a proceeding as a class proceeding on an application under section 2 or 3 if all of the following requirements are met: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bears the onus of establishing that the action satisfies the requirements set out in s. 4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Section 4(1) is mandatory. If the case meets the requirements set out in subparagraphs (a) through (e), then it </w:t>
      </w:r>
      <w:r>
        <w:rPr>
          <w:rFonts w:ascii="arial" w:eastAsia="arial" w:hAnsi="arial" w:cs="arial"/>
          <w:i/>
          <w:color w:val="000000"/>
          <w:sz w:val="20"/>
          <w:lang w:val="en-US" w:eastAsia="en-US" w:bidi="ar-SA"/>
        </w:rPr>
        <w:t>must</w:t>
      </w:r>
      <w:r>
        <w:rPr>
          <w:rFonts w:ascii="arial" w:eastAsia="arial" w:hAnsi="arial" w:cs="arial"/>
          <w:color w:val="000000"/>
          <w:sz w:val="20"/>
          <w:lang w:val="en-US" w:eastAsia="en-US" w:bidi="ar-SA"/>
        </w:rPr>
        <w:t xml:space="preserve"> be certified as a class proceeding (</w:t>
      </w:r>
      <w:r>
        <w:rPr>
          <w:rFonts w:ascii="arial" w:eastAsia="arial" w:hAnsi="arial" w:cs="arial"/>
          <w:i/>
          <w:color w:val="000000"/>
          <w:sz w:val="20"/>
          <w:lang w:val="en-US" w:eastAsia="en-US" w:bidi="ar-SA"/>
        </w:rPr>
        <w:t>Wakelam v. Johnson &amp; Johnson</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2011 BCSC 1765</w:t>
        </w:r>
      </w:hyperlink>
      <w:r>
        <w:rPr>
          <w:rFonts w:ascii="arial" w:eastAsia="arial" w:hAnsi="arial" w:cs="arial"/>
          <w:color w:val="000000"/>
          <w:sz w:val="20"/>
          <w:lang w:val="en-US" w:eastAsia="en-US" w:bidi="ar-SA"/>
        </w:rPr>
        <w:t xml:space="preserve">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Gatekeeper Function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B.C., an action cannot move forward as a class proceeding until it is certified for class treatment by the court. Although the evidentiary threshold for meeting the statutory criteria of s. 4 is low, the court must exercise a gatekeeper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Certification is a procedural step. The issue at the certification stage is whether the proceeding is appropriately prosecuted as a class proceeding. It is not a preliminary merits test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purpose of evidence on a certification motion has been described in a number of ways. In </w:t>
      </w:r>
      <w:r>
        <w:rPr>
          <w:rFonts w:ascii="arial" w:eastAsia="arial" w:hAnsi="arial" w:cs="arial"/>
          <w:i/>
          <w:color w:val="000000"/>
          <w:sz w:val="20"/>
          <w:lang w:val="en-US" w:eastAsia="en-US" w:bidi="ar-SA"/>
        </w:rPr>
        <w:t>Martin v. Astrazeneca Pharmaceuticals PLC,</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2012 ONSC 2744</w:t>
        </w:r>
      </w:hyperlink>
      <w:r>
        <w:rPr>
          <w:rFonts w:ascii="arial" w:eastAsia="arial" w:hAnsi="arial" w:cs="arial"/>
          <w:color w:val="000000"/>
          <w:sz w:val="20"/>
          <w:lang w:val="en-US" w:eastAsia="en-US" w:bidi="ar-SA"/>
        </w:rPr>
        <w:t xml:space="preserve">, Horkins J. states at para. 21 that "[e]vidence explains the background to the action. A certification motion is not the time "to resolve conflicts in the evidence or to engage in finely calibrated assessments of evidentiary weight": </w:t>
      </w:r>
      <w:r>
        <w:rPr>
          <w:rFonts w:ascii="arial" w:eastAsia="arial" w:hAnsi="arial" w:cs="arial"/>
          <w:i/>
          <w:color w:val="000000"/>
          <w:sz w:val="20"/>
          <w:lang w:val="en-US" w:eastAsia="en-US" w:bidi="ar-SA"/>
        </w:rPr>
        <w:t>Cloud v. Canada (Attorney General)</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[2004] O.J. No. 4924</w:t>
        </w:r>
      </w:hyperlink>
      <w:r>
        <w:rPr>
          <w:rFonts w:ascii="arial" w:eastAsia="arial" w:hAnsi="arial" w:cs="arial"/>
          <w:color w:val="000000"/>
          <w:sz w:val="20"/>
          <w:lang w:val="en-US" w:eastAsia="en-US" w:bidi="ar-SA"/>
        </w:rPr>
        <w:t xml:space="preserve"> at para. 50 (C.A.) (</w:t>
      </w:r>
      <w:r>
        <w:rPr>
          <w:rFonts w:ascii="arial" w:eastAsia="arial" w:hAnsi="arial" w:cs="arial"/>
          <w:i/>
          <w:color w:val="000000"/>
          <w:sz w:val="20"/>
          <w:lang w:val="en-US" w:eastAsia="en-US" w:bidi="ar-SA"/>
        </w:rPr>
        <w:t>"Cloud"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burden on the plaintiff is only to adduce evidence to show some "basis in fact" to meet the requirements of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Evidence introduced by the defendant is relevant only to show that there is </w:t>
      </w:r>
      <w:r>
        <w:rPr>
          <w:rFonts w:ascii="arial" w:eastAsia="arial" w:hAnsi="arial" w:cs="arial"/>
          <w:color w:val="000000"/>
          <w:sz w:val="20"/>
          <w:u w:val="single"/>
          <w:lang w:val="en-US" w:eastAsia="en-US" w:bidi="ar-SA"/>
        </w:rPr>
        <w:t>no basis in fact</w:t>
      </w:r>
      <w:r>
        <w:rPr>
          <w:rFonts w:ascii="arial" w:eastAsia="arial" w:hAnsi="arial" w:cs="arial"/>
          <w:color w:val="000000"/>
          <w:sz w:val="20"/>
          <w:lang w:val="en-US" w:eastAsia="en-US" w:bidi="ar-SA"/>
        </w:rPr>
        <w:t xml:space="preserve"> for the plaintiff's assertions. It is only to that extent that it is to be used to assess the merits of the claim (</w:t>
      </w:r>
      <w:r>
        <w:rPr>
          <w:rFonts w:ascii="arial" w:eastAsia="arial" w:hAnsi="arial" w:cs="arial"/>
          <w:i/>
          <w:color w:val="000000"/>
          <w:sz w:val="20"/>
          <w:lang w:val="en-US" w:eastAsia="en-US" w:bidi="ar-SA"/>
        </w:rPr>
        <w:t>Lambert v. Guidant Corporation</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(2009) 72 C.P.C. (6th) 120</w:t>
        </w:r>
      </w:hyperlink>
      <w:r>
        <w:rPr>
          <w:rFonts w:ascii="arial" w:eastAsia="arial" w:hAnsi="arial" w:cs="arial"/>
          <w:color w:val="000000"/>
          <w:sz w:val="20"/>
          <w:lang w:val="en-US" w:eastAsia="en-US" w:bidi="ar-SA"/>
        </w:rPr>
        <w:t xml:space="preserve"> (Ont. S.C.J.)). As explained by Cullity J. in </w:t>
      </w:r>
      <w:r>
        <w:rPr>
          <w:rFonts w:ascii="arial" w:eastAsia="arial" w:hAnsi="arial" w:cs="arial"/>
          <w:i/>
          <w:color w:val="000000"/>
          <w:sz w:val="20"/>
          <w:lang w:val="en-US" w:eastAsia="en-US" w:bidi="ar-SA"/>
        </w:rPr>
        <w:t>Heward v. Eli Lilly &amp; Co.</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(2007), 39 C.P.C. (6th) 153</w:t>
        </w:r>
      </w:hyperlink>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154 A.C.W.S. (3d) 1020</w:t>
        </w:r>
      </w:hyperlink>
      <w:r>
        <w:rPr>
          <w:rFonts w:ascii="arial" w:eastAsia="arial" w:hAnsi="arial" w:cs="arial"/>
          <w:color w:val="000000"/>
          <w:sz w:val="20"/>
          <w:lang w:val="en-US" w:eastAsia="en-US" w:bidi="ar-SA"/>
        </w:rPr>
        <w:t xml:space="preserve"> (Ont. S.C.J.)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 All of this evidence is directly relevant to the merits of the litigation, and, of course, it is admissible on this motion -- and has been considered -- only to the limited extent that it may serve to rebut the plaintiffs' attempts to demonstrate the minimal basis of fact required to establish each of the requirements in section 5(1)(b) through 5(1)(e) of the CPA. </w:t>
      </w:r>
      <w:r>
        <w:rPr>
          <w:rFonts w:ascii="arial" w:eastAsia="arial" w:hAnsi="arial" w:cs="arial"/>
          <w:color w:val="000000"/>
          <w:sz w:val="20"/>
          <w:u w:val="single"/>
          <w:lang w:val="en-US" w:eastAsia="en-US" w:bidi="ar-SA"/>
        </w:rPr>
        <w:t>I have found it ... helpful to the extent that it bears on the commonality, or lack of commonality, of the proposed common issues; the extent to which any issues that are common would advance the proceedings; the extent to which a class proceeding would be manageable and efficient; and, generally, whether such a proceeding would accord with, and advance, the objectives of the CPA and be preferable to other methods of resolving the plaintiffs' claims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requirement to show "some basis in fact" for the certification requirements has been explained in a number of decisions. It is a step beyond establishing the existence of a cause of action based on the pleadings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Dow Chemical Company v. Ring, Sr.</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2010 NLCA 20</w:t>
        </w:r>
      </w:hyperlink>
      <w:r>
        <w:rPr>
          <w:rFonts w:ascii="arial" w:eastAsia="arial" w:hAnsi="arial" w:cs="arial"/>
          <w:color w:val="000000"/>
          <w:sz w:val="20"/>
          <w:lang w:val="en-US" w:eastAsia="en-US" w:bidi="ar-SA"/>
        </w:rPr>
        <w:t>, the Newfoundland and Labrador Court of Appeal described it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When, in </w:t>
      </w:r>
      <w:r>
        <w:rPr>
          <w:rFonts w:ascii="arial" w:eastAsia="arial" w:hAnsi="arial" w:cs="arial"/>
          <w:b/>
          <w:color w:val="000000"/>
          <w:sz w:val="20"/>
          <w:lang w:val="en-US" w:eastAsia="en-US" w:bidi="ar-SA"/>
        </w:rPr>
        <w:t>Hollick</w:t>
      </w:r>
      <w:r>
        <w:rPr>
          <w:rFonts w:ascii="arial" w:eastAsia="arial" w:hAnsi="arial" w:cs="arial"/>
          <w:color w:val="000000"/>
          <w:sz w:val="20"/>
          <w:lang w:val="en-US" w:eastAsia="en-US" w:bidi="ar-SA"/>
        </w:rPr>
        <w:t xml:space="preserve">, the Supreme Court established "some basis in fact" as the evidentiary threshold it was signalling a lesser standard of proof than that required for the determination of the merits of the claim. This position is consistent with the fact that at the certification stage the court is dealing with procedural issues, not substantive ones: </w:t>
      </w:r>
      <w:r>
        <w:rPr>
          <w:rFonts w:ascii="arial" w:eastAsia="arial" w:hAnsi="arial" w:cs="arial"/>
          <w:b/>
          <w:color w:val="000000"/>
          <w:sz w:val="20"/>
          <w:lang w:val="en-US" w:eastAsia="en-US" w:bidi="ar-SA"/>
        </w:rPr>
        <w:t>Bisaillon v. Concordia University</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2006 SCC 19</w:t>
        </w:r>
      </w:hyperlink>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[2006] 1 S.C.R. 666</w:t>
        </w:r>
      </w:hyperlink>
      <w:r>
        <w:rPr>
          <w:rFonts w:ascii="arial" w:eastAsia="arial" w:hAnsi="arial" w:cs="arial"/>
          <w:color w:val="000000"/>
          <w:sz w:val="20"/>
          <w:lang w:val="en-US" w:eastAsia="en-US" w:bidi="ar-SA"/>
        </w:rPr>
        <w:t>, para. 17. The fact that opposing parties may also provide evidence does not lead to the conclusion that the standard of proof must be the balance of probabilities. The Trial Division judge was correct when he stated that the evidentiary threshold for certification applications was "some basis 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Tiboni v. Merck Frost Canada Ltd.</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(2008), 295 D.L.R. (4th) 32</w:t>
        </w:r>
      </w:hyperlink>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60 C.P.C. (6th) 65</w:t>
        </w:r>
      </w:hyperlink>
      <w:r>
        <w:rPr>
          <w:rFonts w:ascii="arial" w:eastAsia="arial" w:hAnsi="arial" w:cs="arial"/>
          <w:color w:val="000000"/>
          <w:sz w:val="20"/>
          <w:lang w:val="en-US" w:eastAsia="en-US" w:bidi="ar-SA"/>
        </w:rPr>
        <w:t xml:space="preserve"> (Ont. S.C.J.), Cullity J.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In the six volumes that constitute the defendants' responding motion record, an enormous amount of information and medical and scientific literature is provided.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All of this evidence is helpful for the purpose of explaining the factors that will bear on the issues at a trial and, to that extent, it provides context for the issues that arise on certification. Although defendants' counsel took care, and exercised some skill, in relating the evidence to the issues on certification, inevitably its relevance to the merits of the plaintiff's claims -- irrelevant at this stage -- was not entirely absent from their submissions. In particular, I note that, in determining whether there are common issues for the purpose of certification, the inquiry is not the same as that into the existence of genuine issues for trial as required on motions for summary judgment. Such motions test the merits of a plaintiff's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It was established in </w:t>
      </w:r>
      <w:r>
        <w:rPr>
          <w:rFonts w:ascii="arial" w:eastAsia="arial" w:hAnsi="arial" w:cs="arial"/>
          <w:i/>
          <w:color w:val="000000"/>
          <w:sz w:val="20"/>
          <w:lang w:val="en-US" w:eastAsia="en-US" w:bidi="ar-SA"/>
        </w:rPr>
        <w:t>Hollick v. City of Toronto</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that only a minimum factual basis needs to be established by evidence for the existence of common issues. Once provided, the question whether the defendants could obtain summary judgment by providing additional conflicting evidence that demonstrates that there are no genuine issues for trial will not arise and evidence directed at the question is irrelevant and inadmissible. If this were not correct, every opposed certification motion would be likely to involve, in effect, the same test of the merits as on a motion for summary judgment, and the evidential burden on plaintiffs would be increased enormously.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It follows that, when, as here, the defendants' deliver affidavit evidence that is relevant only to the merits of the plaintiffs' claims -- as, for example, expert opinion that Merck's scientific study and testing of Vioxx was "rigorous", that Merck did everything a responsible company could be expected to do, and that, given the benefits of the drug, the risks involved in its use are tolerable -- the plaintiffs have no obligation to challenge the accuracy of such opinion on this motion. Statements by defendants' counsel that such evidence is "undisputed" may be literally correct for the present purposes. They are also of no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noted by Cullity J., notwithstanding the procedural nature of a certification application it has become common for the parties, and defendants in particular, to file voluminous materials that, while ostensibly addressing procedural issues, invariably involve the merits of the claim. This case is no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interpreting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the court is to keep in mind the significant advantages that a class action offers as a procedural tool.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the Court formulated those advantages as follows: enhancement of judicial efficiency by avoiding unnecessary duplication in fact-finding and legal analysis, improved access to justice for those claims that might not otherwise be asserted, and modification of the behaviour of actual and potential wrongdoers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At the certification stage of the class proceeding, the court should apply a liberal and purposive analysis and construe the provisions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generously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turn now to the requirements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 says that the pleadings disclose a cause of action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submit that the statutory claims advanced pursuant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are not sustainable in law and that only a limited cause of action for a failure to warn of persistent sexual dysfunction has been adequately pleaded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rely on </w:t>
      </w:r>
      <w:r>
        <w:rPr>
          <w:rFonts w:ascii="arial" w:eastAsia="arial" w:hAnsi="arial" w:cs="arial"/>
          <w:i/>
          <w:color w:val="000000"/>
          <w:sz w:val="20"/>
          <w:lang w:val="en-US" w:eastAsia="en-US" w:bidi="ar-SA"/>
        </w:rPr>
        <w:t>Koubi v. Mazda Canada Inc.,</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2012 BCCA 310</w:t>
        </w:r>
      </w:hyperlink>
      <w:r>
        <w:rPr>
          <w:rFonts w:ascii="arial" w:eastAsia="arial" w:hAnsi="arial" w:cs="arial"/>
          <w:color w:val="000000"/>
          <w:sz w:val="20"/>
          <w:lang w:val="en-US" w:eastAsia="en-US" w:bidi="ar-SA"/>
        </w:rPr>
        <w:t xml:space="preserve">, in support of their argument that at certification the court must determine if the claim is viable. In this case they submit that even if the facts alleged in the pleadings are true there is only a limited cause of action in tort and no cause of action at all pursuant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Therefore the plaintiff has no hope of success and it does not benefit the parties or the court to permit the claim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considering whether the pleadings disclose a cause of action, no evidence is admissible. The court must assume that the facts pleaded in the statement of claim can be proved. The test is whether it is plain and obvious that the plaintiff's claim cannot succeed. The threshold is a very low one (</w:t>
      </w:r>
      <w:r>
        <w:rPr>
          <w:rFonts w:ascii="arial" w:eastAsia="arial" w:hAnsi="arial" w:cs="arial"/>
          <w:i/>
          <w:color w:val="000000"/>
          <w:sz w:val="20"/>
          <w:lang w:val="en-US" w:eastAsia="en-US" w:bidi="ar-SA"/>
        </w:rPr>
        <w:t>Brogaard v. AG Canada</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2002 BCSC 1149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 and obvious test" used to ascertain whether a cause of action has been properly pleaded was explained by the Supreme Court of Canada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While no evidence is permitted on this issue and the court must assume the material facts pleaded are true, the defendants submit that the court does not need to assume that </w:t>
      </w:r>
      <w:r>
        <w:rPr>
          <w:rFonts w:ascii="arial" w:eastAsia="arial" w:hAnsi="arial" w:cs="arial"/>
          <w:color w:val="000000"/>
          <w:sz w:val="20"/>
          <w:u w:val="single"/>
          <w:lang w:val="en-US" w:eastAsia="en-US" w:bidi="ar-SA"/>
        </w:rPr>
        <w:t>evidence improperly</w:t>
      </w:r>
      <w:r>
        <w:rPr>
          <w:rFonts w:ascii="arial" w:eastAsia="arial" w:hAnsi="arial" w:cs="arial"/>
          <w:color w:val="000000"/>
          <w:sz w:val="20"/>
          <w:lang w:val="en-US" w:eastAsia="en-US" w:bidi="ar-SA"/>
        </w:rPr>
        <w:t xml:space="preserve"> pleaded in the amended notice of civil claim is true. A pleading is to plead facts (Rule 3-1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They note the amended notice of civil claim includes quotes from doctors that are expert opinion, not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alleges that by introducing the drug and marketing it as Propecia and Proscar in Canada, and in knowing of its adverse effects, that the defendants were in a close and proximate relationship to the plaintiff and class members such that they owed them a duty of care. The plaintiff further alleges the defendants were negligent in designing, testing, manufacturing, marketing, labeling, promoting, distributing, importing and selling Propecia and Proscar and that they knew or ought to have known that defects in the medication would cause foreseeable injury to the plaintiff and his fellow class members. Finally the plaintiff alleges that the defendants failed to provide adequate and timely disclosure of the potential long-term effects of ingesting Propecia or Proscar and failed to implement an appropriate post-market surveillance system to monitor and quickly identify adverse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in the amended notice of civil claim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test Propecia and Proscar properly and thoroughly before releasing the drug to the market;</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disclose the serious side effects of Propecia and Proscar;</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conduct an adequate and timely analysis of adverse event reports;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instruct their employees to accurately and candidly disclose consumer complaints and serious side effects of Proscar and Propecia to Health Canada in a timely manner, or at all;</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employing inadequately trained personnel;</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adequate warnings of the potential long term effects of ingesting Propecia and Proscar on the package inserts and labels;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marketing Propecia and Proscar in such a way as to give the plaintiff and class members no reason to suspect that Propecia and Proscar had potentially harmful and serious adverse effects;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design and implement an appropriate post marketing surveillance system to monitor and quickly identify adverse risks;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placing Propecia and Proscar on the market when they knew or ought to have known the potential risks of these drugs outweighed their potential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submit that the allegations made by the plaintiff in the certification hearing are not consistent with the pleadings themselves because the amended notice of civil claim does not allege particulars with regard to the allegations of negligent design, manufacture and the importing of the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They submit as well that the plaintiff has failed to plead the material facts required to support some of the allegations made in the pleadings. They note that Rule 3-7(9)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that "[c]onclusions of law must not be pleaded unless the material facts supporting them are pleaded". They argue that the plaintiff must particularize facts that, if proven, would constitute breaches of a duty of care. They state that bare allegations that the defendants were negligent with respect to their pre-market testing and post-market surveillance and disclosure of adverse events are not sufficient to support a cause of action. They rely on </w:t>
      </w:r>
      <w:r>
        <w:rPr>
          <w:rFonts w:ascii="arial" w:eastAsia="arial" w:hAnsi="arial" w:cs="arial"/>
          <w:i/>
          <w:color w:val="000000"/>
          <w:sz w:val="20"/>
          <w:lang w:val="en-US" w:eastAsia="en-US" w:bidi="ar-SA"/>
        </w:rPr>
        <w:t>Ross v. British Columbia (Public Safety),</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2009 BCSC 1811</w:t>
        </w:r>
      </w:hyperlink>
      <w:r>
        <w:rPr>
          <w:rFonts w:ascii="arial" w:eastAsia="arial" w:hAnsi="arial" w:cs="arial"/>
          <w:color w:val="000000"/>
          <w:sz w:val="20"/>
          <w:lang w:val="en-US" w:eastAsia="en-US" w:bidi="ar-SA"/>
        </w:rPr>
        <w:t xml:space="preserve"> at paras. 19-20; </w:t>
      </w:r>
      <w:r>
        <w:rPr>
          <w:rFonts w:ascii="arial" w:eastAsia="arial" w:hAnsi="arial" w:cs="arial"/>
          <w:i/>
          <w:color w:val="000000"/>
          <w:sz w:val="20"/>
          <w:lang w:val="en-US" w:eastAsia="en-US" w:bidi="ar-SA"/>
        </w:rPr>
        <w:t>Victoria Grey Metro Co. v. Fort Gary Trust Co.</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at para. 8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defendants then submit that the plaintiff must satisfy the court that the "class has an apparently authentic cause or causes of action based on the material facts pled and the applicable law." In doing so they rely on </w:t>
      </w:r>
      <w:r>
        <w:rPr>
          <w:rFonts w:ascii="arial" w:eastAsia="arial" w:hAnsi="arial" w:cs="arial"/>
          <w:i/>
          <w:color w:val="000000"/>
          <w:sz w:val="20"/>
          <w:lang w:val="en-US" w:eastAsia="en-US" w:bidi="ar-SA"/>
        </w:rPr>
        <w:t>Hoffman v. Monsanto Canada Inc.</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2007 SKCA 47</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283 D.L.R. (4th) 190</w:t>
        </w:r>
      </w:hyperlink>
      <w:r>
        <w:rPr>
          <w:rFonts w:ascii="arial" w:eastAsia="arial" w:hAnsi="arial" w:cs="arial"/>
          <w:color w:val="000000"/>
          <w:sz w:val="20"/>
          <w:lang w:val="en-US" w:eastAsia="en-US" w:bidi="ar-SA"/>
        </w:rPr>
        <w:t>, where the Saskatchewan Court of Appeal said in considering the court's screening function,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 This is consistent with the purposes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lie in improved access to justice, litigation efficiency, and modification of behaviour by wrongdoers. None of these purposes is served by allowing an action to proceed as a class action unless the class appears to have a genuine cause or causes of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This submission raises the often vexing distinction between material facts, particulars and the evidence required to prove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defendants also submit that the pleadings reveal only a limited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assert that the cause of action, as asserted at certification is too broad in that the pleadings only allege harm with respect to sexual dysfunction, not other side effects. Further, as noted above, they alleged the particulars only disclose an action with respect to a duty to warn. They state that given the particular nature of pharmaceuticals, which all carry the potential risk of a myriad of side effects, an overly broad claim is fatal, as was the case in </w:t>
      </w:r>
      <w:r>
        <w:rPr>
          <w:rFonts w:ascii="arial" w:eastAsia="arial" w:hAnsi="arial" w:cs="arial"/>
          <w:i/>
          <w:color w:val="000000"/>
          <w:sz w:val="20"/>
          <w:lang w:val="en-US" w:eastAsia="en-US" w:bidi="ar-SA"/>
        </w:rPr>
        <w:t>Wuttunee v. Merck Frosst Canada Ltd.,</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2009 SKCA 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However, it is my view that the pleadings in the case at bar address the deficiencies found in </w:t>
      </w:r>
      <w:r>
        <w:rPr>
          <w:rFonts w:ascii="arial" w:eastAsia="arial" w:hAnsi="arial" w:cs="arial"/>
          <w:i/>
          <w:color w:val="000000"/>
          <w:sz w:val="20"/>
          <w:lang w:val="en-US" w:eastAsia="en-US" w:bidi="ar-SA"/>
        </w:rPr>
        <w:t>Wuttenee.</w:t>
      </w:r>
      <w:r>
        <w:rPr>
          <w:rFonts w:ascii="arial" w:eastAsia="arial" w:hAnsi="arial" w:cs="arial"/>
          <w:color w:val="000000"/>
          <w:sz w:val="20"/>
          <w:lang w:val="en-US" w:eastAsia="en-US" w:bidi="ar-SA"/>
        </w:rPr>
        <w:t xml:space="preserve"> I reject the submission that the claim is overly broad and find that the plaintiff's pleadings clearly indicate a cause of action limited to a duty to warn with respect to the side effect of sexual dysfunction, not side effects generally. The allegations pleaded particularize facts sufficient to disclose a cause of action with respect to a duty to warn of sexual dysfunction, including post-market surveillance and pre-market testing, and the plaintiff's allegations with respect to negligent design, manufacture and importing the drug fall within that duty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also submit that approval by Health Canada, that is, regulatory compliance, is relevant. Such approval however is "not dispositive of liability"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2011 BCSC 1057</w:t>
        </w:r>
      </w:hyperlink>
      <w:r>
        <w:rPr>
          <w:rFonts w:ascii="arial" w:eastAsia="arial" w:hAnsi="arial" w:cs="arial"/>
          <w:color w:val="000000"/>
          <w:sz w:val="20"/>
          <w:lang w:val="en-US" w:eastAsia="en-US" w:bidi="ar-SA"/>
        </w:rPr>
        <w:t xml:space="preserve"> at para. 47(a)).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defendants further assert that the warnings with respect to both Proscar and Propecia were adequate. The plaintiff submits that the common law imposes heavy obligations on drug and medical device manufacturers to warn consumers. The plaintiff relies on </w:t>
      </w:r>
      <w:r>
        <w:rPr>
          <w:rFonts w:ascii="arial" w:eastAsia="arial" w:hAnsi="arial" w:cs="arial"/>
          <w:i/>
          <w:color w:val="000000"/>
          <w:sz w:val="20"/>
          <w:lang w:val="en-US" w:eastAsia="en-US" w:bidi="ar-SA"/>
        </w:rPr>
        <w:t>Hollis v. Dow Corning Corp.</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[1995] 4 S.C.R. 634</w:t>
        </w:r>
      </w:hyperlink>
      <w:r>
        <w:rPr>
          <w:rFonts w:ascii="arial" w:eastAsia="arial" w:hAnsi="arial" w:cs="arial"/>
          <w:color w:val="000000"/>
          <w:sz w:val="20"/>
          <w:lang w:val="en-US" w:eastAsia="en-US" w:bidi="ar-SA"/>
        </w:rPr>
        <w:t xml:space="preserve"> at para. 23 and </w:t>
      </w:r>
      <w:r>
        <w:rPr>
          <w:rFonts w:ascii="arial" w:eastAsia="arial" w:hAnsi="arial" w:cs="arial"/>
          <w:i/>
          <w:color w:val="000000"/>
          <w:sz w:val="20"/>
          <w:lang w:val="en-US" w:eastAsia="en-US" w:bidi="ar-SA"/>
        </w:rPr>
        <w:t>Buchan v. Ortho Pharmaceutical (Canada) Ltd.</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(1986), 54 O.R. (2d) 92</w:t>
        </w:r>
      </w:hyperlink>
      <w:r>
        <w:rPr>
          <w:rFonts w:ascii="arial" w:eastAsia="arial" w:hAnsi="arial" w:cs="arial"/>
          <w:color w:val="000000"/>
          <w:sz w:val="20"/>
          <w:lang w:val="en-US" w:eastAsia="en-US" w:bidi="ar-SA"/>
        </w:rPr>
        <w:t xml:space="preserve"> (C.A.)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find that the adequacy of the warning of the risks of Propecia and Proscar is a matter for trial. The adequacy of the warning is much in issue and such an issue can form the basis for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2011 BCSC 1057</w:t>
        </w:r>
      </w:hyperlink>
      <w:r>
        <w:rPr>
          <w:rFonts w:ascii="arial" w:eastAsia="arial" w:hAnsi="arial" w:cs="arial"/>
          <w:color w:val="000000"/>
          <w:sz w:val="20"/>
          <w:lang w:val="en-US" w:eastAsia="en-US" w:bidi="ar-SA"/>
        </w:rPr>
        <w:t>). The defendants have a duty to adequately test and to warn (</w:t>
      </w:r>
      <w:r>
        <w:rPr>
          <w:rFonts w:ascii="arial" w:eastAsia="arial" w:hAnsi="arial" w:cs="arial"/>
          <w:i/>
          <w:color w:val="000000"/>
          <w:sz w:val="20"/>
          <w:lang w:val="en-US" w:eastAsia="en-US" w:bidi="ar-SA"/>
        </w:rPr>
        <w:t>Hollis</w:t>
      </w:r>
      <w:r>
        <w:rPr>
          <w:rFonts w:ascii="arial" w:eastAsia="arial" w:hAnsi="arial" w:cs="arial"/>
          <w:color w:val="000000"/>
          <w:sz w:val="20"/>
          <w:lang w:val="en-US" w:eastAsia="en-US" w:bidi="ar-SA"/>
        </w:rPr>
        <w:t xml:space="preserve"> at paras 38-42 and </w:t>
      </w:r>
      <w:r>
        <w:rPr>
          <w:rFonts w:ascii="arial" w:eastAsia="arial" w:hAnsi="arial" w:cs="arial"/>
          <w:i/>
          <w:color w:val="000000"/>
          <w:sz w:val="20"/>
          <w:lang w:val="en-US" w:eastAsia="en-US" w:bidi="ar-SA"/>
        </w:rPr>
        <w:t>Buchan</w:t>
      </w:r>
      <w:r>
        <w:rPr>
          <w:rFonts w:ascii="arial" w:eastAsia="arial" w:hAnsi="arial" w:cs="arial"/>
          <w:color w:val="000000"/>
          <w:sz w:val="20"/>
          <w:lang w:val="en-US" w:eastAsia="en-US" w:bidi="ar-SA"/>
        </w:rPr>
        <w:t xml:space="preserve"> at paras. 54-55).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noted earlier that the defendants rely on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in support of their argument that where a claim has no hope of success it should not be certified.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however was addressing a question of statutory interpretation. It does not change the test that a cause of action must be disclosed by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am satisfied the plaintiff's amended notice of civil claim provides particulars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the defendants' duty to warn of the side effect of sexual dysfunction. In my view it is not plain and obvious that the claims against the defendants as pleaded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shall next address whether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properly pleaded and then the issue of waiver of tort will be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Plaintiff's Position Respecting the </w:t>
      </w:r>
      <w:r>
        <w:rPr>
          <w:rFonts w:ascii="arial" w:eastAsia="arial" w:hAnsi="arial" w:cs="arial"/>
          <w:b/>
          <w:i/>
          <w:color w:val="000000"/>
          <w:sz w:val="20"/>
          <w:lang w:val="en-US" w:eastAsia="en-US" w:bidi="ar-SA"/>
        </w:rPr>
        <w:t>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amended notice of civil claim alleges that the defendant's "solicitations, offers, advertisements, promotions, sales and supply of Propecia and Proscar for personal use by the plaintiff and by class members were "consumer transactions" within the meaning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plaintiff says that as such, the defendants' conduct is governed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plaintiff contends that those solicitations and offers had the capability, tendency or effect of deceiving or misleading consumers as to the safety of Propecia and Proscar, and were therefore deceptive acts and practices contrary to s. 4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In particular, the plaintiff alleges that the defendants failed to disclose the material fact that the side-effect of sexual dysfunction may continue after disuse of the drug, and that this failure to disclose was a deceptive practice within the meaning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The plaintiff seeks: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injunctive relief and declaratory relief and damages and statutory compensation pursuant to ss. 171 and 172 of the BPCPA on his own behalf and on behalf of class members who purchased Propecia or Proscar in British Columbia. Such relief includes the disgorgement of the profits or revenues received by the defendants from the sale of Propecia and Proscar in British Columbia.</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declaratory and injunctive relief sought by the plaintiff in this case includes an order under s. 172 of the BPCPA that the defendants advertise any judgment against them and that they properly inform consumers and their physicians of the risks of persistent side effects of sexual dysfunction associated with the product which includes sending a "Dear Doctor Letter" to alert physicians to this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further notes that:</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for the plaintiff and class members to establish reliance on the defendants' deceptive acts or practices in order to establish breach of the BPCPA and a remedy for that breach. In the alternative, if reliance is required to establish statutory breach and/or remedy, such reliance may be assumed or inferred on the facts of this case. In the further alternative, there was actual reliance by the plaintiff and class members on the defendants' deceptive acts and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relation to this claim, the plaintiff's submission on certification notes that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goes beyond the common law, including shifting the burden to the manufacturer, and added remedies, such as disgorgement of revenue or profits. (para. 71). The plaintiff states that its claim is articulated in a manner consistent with the wording and the applicable case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As set out in the Amended Notice of Claim, the Propecia Product Monograph, with respect to side effects of sexual dysfunction, states: "Resolution of these adverse reactions occurred in men who discontinued therapy with PROPECIA and in most who continued therapy." This is an affirmative statement that is deceptive and misleading. There are men who continue to have adverse sexual side effects after discontinuing the drug. Additionally, the Product Monograph failed to accurately disclose the true risks of the product by omitting to include information about persistent sexual side effects after discontinuation of 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In sum, the Plaintiff pleads that the Defendants have breached their obligations under the </w:t>
      </w:r>
      <w:r>
        <w:rPr>
          <w:rFonts w:ascii="arial" w:eastAsia="arial" w:hAnsi="arial" w:cs="arial"/>
          <w:i/>
          <w:color w:val="000000"/>
          <w:sz w:val="20"/>
          <w:lang w:val="en-US" w:eastAsia="en-US" w:bidi="ar-SA"/>
        </w:rPr>
        <w:t>Consumer Protection Act</w:t>
      </w:r>
      <w:r>
        <w:rPr>
          <w:rFonts w:ascii="arial" w:eastAsia="arial" w:hAnsi="arial" w:cs="arial"/>
          <w:color w:val="000000"/>
          <w:sz w:val="20"/>
          <w:lang w:val="en-US" w:eastAsia="en-US" w:bidi="ar-SA"/>
        </w:rPr>
        <w:t xml:space="preserve"> and asserts a legally plausible cause of action under the statute. He has asserted a claim recognized in other product liability suits. This is a reasonable pleading which satisfies the test under s. 4(1)(a) of the </w:t>
      </w:r>
      <w:r>
        <w:rPr>
          <w:rFonts w:ascii="arial" w:eastAsia="arial" w:hAnsi="arial" w:cs="arial"/>
          <w:i/>
          <w:color w:val="000000"/>
          <w:sz w:val="20"/>
          <w:lang w:val="en-US" w:eastAsia="en-US" w:bidi="ar-SA"/>
        </w:rPr>
        <w:t>CPA.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Defendant's Position Respecting the </w:t>
      </w:r>
      <w:r>
        <w:rPr>
          <w:rFonts w:ascii="arial" w:eastAsia="arial" w:hAnsi="arial" w:cs="arial"/>
          <w:b/>
          <w:i/>
          <w:color w:val="000000"/>
          <w:sz w:val="20"/>
          <w:lang w:val="en-US" w:eastAsia="en-US" w:bidi="ar-SA"/>
        </w:rPr>
        <w:t>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defendants argue that they are not "supplier[s]" to which the statute applies. While they acknowledge that privity of contract is not necessary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they submit that there is no "consumer transaction" between the defendants and a patient prescribed Propecia or Proscar because a learned intermediary is required (a doctor to prescribe the medication). Therefore there is a "lack of immediacy" in the relationship between supplier and consumer. They also claim because of this lack of immediacy the defendants are not suppliers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as they are not "soliciting" in respect of a "consumer transaction" because a consumer's choice to use the medicine is a decision between him and his doctor, not through advertisement. They submit that the product labelling is not primarily used to solicit, promote or advertise the medicine but rather is intended to provide information regarding risks and benefits of medicines to prescribing physicians. Accordingly, the defendants allege there is no statutory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summarize their submission on this issue as follows: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of the circumstances surrounding the disclosure of information, prescription, dispensing and purchase of a prescription medicine, including the involvement of learned intermediaries and the approval of all labelling by Health Canada under federal law remove it from the scope of the </w:t>
      </w:r>
      <w:r>
        <w:rPr>
          <w:rFonts w:ascii="arial" w:eastAsia="arial" w:hAnsi="arial" w:cs="arial"/>
          <w:i/>
          <w:color w:val="000000"/>
          <w:sz w:val="20"/>
          <w:lang w:val="en-US" w:eastAsia="en-US" w:bidi="ar-SA"/>
        </w:rPr>
        <w:t>Consumer Protection Act</w:t>
      </w:r>
      <w:r>
        <w:rPr>
          <w:rFonts w:ascii="arial" w:eastAsia="arial" w:hAnsi="arial" w:cs="arial"/>
          <w:color w:val="000000"/>
          <w:sz w:val="20"/>
          <w:lang w:val="en-US" w:eastAsia="en-US" w:bidi="ar-SA"/>
        </w:rPr>
        <w: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asserts that the type of claim he is advancing has been recognized in other product liability cases. However, the argument that there is no "consumer transaction" between the manufacturer of a prescription drug and the patient and that a manufacturer of a prescription medicine is not a "supplier" within the meaning of the Act was not raised in the certification decisions cited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also submit that the plaintiff has pleaded "wavier of tort", a claim they allege is not supportable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response, the plaintiff submits that whether there is a cause of action is determined on the pleadings alone. Based on the language used by the plaintiff in the pleadings, the plaintiff argues the defendants fit into the definition of "supplier" under the </w:t>
      </w:r>
      <w:r>
        <w:rPr>
          <w:rFonts w:ascii="arial" w:eastAsia="arial" w:hAnsi="arial" w:cs="arial"/>
          <w:i/>
          <w:color w:val="000000"/>
          <w:sz w:val="20"/>
          <w:lang w:val="en-US" w:eastAsia="en-US" w:bidi="ar-SA"/>
        </w:rPr>
        <w:t>BCPCA</w:t>
      </w:r>
      <w:r>
        <w:rPr>
          <w:rFonts w:ascii="arial" w:eastAsia="arial" w:hAnsi="arial" w:cs="arial"/>
          <w:color w:val="000000"/>
          <w:sz w:val="20"/>
          <w:lang w:val="en-US" w:eastAsia="en-US" w:bidi="ar-SA"/>
        </w:rPr>
        <w:t xml:space="preserve">. The plaintiff says the question of whether a medical products company is a "supplier"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has been previously certified as a common issue (see </w:t>
      </w:r>
      <w:r>
        <w:rPr>
          <w:rFonts w:ascii="arial" w:eastAsia="arial" w:hAnsi="arial" w:cs="arial"/>
          <w:i/>
          <w:color w:val="000000"/>
          <w:sz w:val="20"/>
          <w:lang w:val="en-US" w:eastAsia="en-US" w:bidi="ar-SA"/>
        </w:rPr>
        <w:t>Chalmers v. AMO Canada Co.</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2009 BCSC 689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2011 BCSC 1057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Logan v. Dermatech, Intradermal Distribution Inc.</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2011 BCSC 1097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Wakelam v. Johnson &amp; Johnson</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2011 BCSC 1765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regard to the defendants' "lack of immediacy" argument, the plaintiff argues that there is no case law to support that proposition and it is contrary to a plain reading of the statute. The plaintiff also denies pleading "waiver of tort".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Defendant a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purpose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to protect consumers. It is to be broadly construed to carry out that purpose and is to be interpreted generously in favour of consumers (</w:t>
      </w:r>
      <w:r>
        <w:rPr>
          <w:rFonts w:ascii="arial" w:eastAsia="arial" w:hAnsi="arial" w:cs="arial"/>
          <w:i/>
          <w:color w:val="000000"/>
          <w:sz w:val="20"/>
          <w:lang w:val="en-US" w:eastAsia="en-US" w:bidi="ar-SA"/>
        </w:rPr>
        <w:t>Seidel v. TELUS Communications Inc.</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[2011] 1 S.C.R. 531</w:t>
        </w:r>
      </w:hyperlink>
      <w:r>
        <w:rPr>
          <w:rFonts w:ascii="arial" w:eastAsia="arial" w:hAnsi="arial" w:cs="arial"/>
          <w:color w:val="000000"/>
          <w:sz w:val="20"/>
          <w:lang w:val="en-US" w:eastAsia="en-US" w:bidi="ar-SA"/>
        </w:rPr>
        <w:t xml:space="preserve"> at para. 37;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2012 BCCA 260</w:t>
        </w:r>
      </w:hyperlink>
      <w:r>
        <w:rPr>
          <w:rFonts w:ascii="arial" w:eastAsia="arial" w:hAnsi="arial" w:cs="arial"/>
          <w:color w:val="000000"/>
          <w:sz w:val="20"/>
          <w:lang w:val="en-US" w:eastAsia="en-US" w:bidi="ar-SA"/>
        </w:rPr>
        <w:t xml:space="preserve"> at paras. 78 and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defines "consumer transaction"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"consumer transaction"</w:t>
      </w:r>
      <w:r>
        <w:rPr>
          <w:rFonts w:ascii="arial" w:eastAsia="arial" w:hAnsi="arial" w:cs="arial"/>
          <w:color w:val="000000"/>
          <w:sz w:val="20"/>
          <w:lang w:val="en-US" w:eastAsia="en-US" w:bidi="ar-SA"/>
        </w:rPr>
        <w:t xml:space="preserve"> means</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supply of goods or services or real property by a supplier to a consumer for purposes that are primarily personal, family or household, or</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solicitation, offer, advertisement or promotion by a supplier with respect to a transaction referred to in paragraph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except in Parts 4 and 5, includes a solicitation of a consumer by a supplier for a contribution of money or other property by the consumer;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 "supplier" is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"supplier"</w:t>
      </w:r>
      <w:r>
        <w:rPr>
          <w:rFonts w:ascii="arial" w:eastAsia="arial" w:hAnsi="arial" w:cs="arial"/>
          <w:color w:val="000000"/>
          <w:sz w:val="20"/>
          <w:lang w:val="en-US" w:eastAsia="en-US" w:bidi="ar-SA"/>
        </w:rPr>
        <w:t xml:space="preserve"> means a person, whether in British Columbia or not, who in the course of business participates in a consumer transaction by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supplying goods or services or real property to a consumer, or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soliciting, offering, advertising or promoting with respect to a transaction referred to in paragraph (a) of the definition of "consumer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Judicial interpretation of "consumer transaction" has been favourable to consumers. In </w:t>
      </w:r>
      <w:r>
        <w:rPr>
          <w:rFonts w:ascii="arial" w:eastAsia="arial" w:hAnsi="arial" w:cs="arial"/>
          <w:i/>
          <w:color w:val="000000"/>
          <w:sz w:val="20"/>
          <w:lang w:val="en-US" w:eastAsia="en-US" w:bidi="ar-SA"/>
        </w:rPr>
        <w:t>Nanaimo Shipyard Ltd. v. Keith,</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2008 BCSC 1150</w:t>
        </w:r>
      </w:hyperlink>
      <w:r>
        <w:rPr>
          <w:rFonts w:ascii="arial" w:eastAsia="arial" w:hAnsi="arial" w:cs="arial"/>
          <w:color w:val="000000"/>
          <w:sz w:val="20"/>
          <w:lang w:val="en-US" w:eastAsia="en-US" w:bidi="ar-SA"/>
        </w:rPr>
        <w:t>, a commercial shipyard that normally provided repairs to commercial vessels provided repairs to a boat that was used by the owner for personal purposes. The court held that the definition of "consumer transaction" does not depend on the nature of the services, but rather what the consumer uses those services for, saying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 It is not whether the provider of services is a commercial operation. It is whether the purchaser is an individual purchasing for primarily personal, family or household purposes.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This emphasis on the consumer's use of the goods, services or real property in defining what is a "consumer transaction" is also found in </w:t>
      </w:r>
      <w:r>
        <w:rPr>
          <w:rFonts w:ascii="arial" w:eastAsia="arial" w:hAnsi="arial" w:cs="arial"/>
          <w:i/>
          <w:color w:val="000000"/>
          <w:sz w:val="20"/>
          <w:lang w:val="en-US" w:eastAsia="en-US" w:bidi="ar-SA"/>
        </w:rPr>
        <w:t>Bodnar v. The Cash Store Inc.</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2006 BCCA 260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Kilroy v. A OK Payday Loans Inc.</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2006 BCSC 1213</w:t>
        </w:r>
      </w:hyperlink>
      <w:r>
        <w:rPr>
          <w:rFonts w:ascii="arial" w:eastAsia="arial" w:hAnsi="arial" w:cs="arial"/>
          <w:color w:val="000000"/>
          <w:sz w:val="20"/>
          <w:lang w:val="en-US" w:eastAsia="en-US" w:bidi="ar-SA"/>
        </w:rPr>
        <w:t xml:space="preserve">. A transaction still meets the definition even where the service has a commercial element so long as the dominant purpose is for personal use. Similarly, in </w:t>
      </w:r>
      <w:r>
        <w:rPr>
          <w:rFonts w:ascii="arial" w:eastAsia="arial" w:hAnsi="arial" w:cs="arial"/>
          <w:i/>
          <w:color w:val="000000"/>
          <w:sz w:val="20"/>
          <w:lang w:val="en-US" w:eastAsia="en-US" w:bidi="ar-SA"/>
        </w:rPr>
        <w:t>De Graaf et al. v. Brar and Sorongon</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2002 BCSC 1239</w:t>
        </w:r>
      </w:hyperlink>
      <w:r>
        <w:rPr>
          <w:rFonts w:ascii="arial" w:eastAsia="arial" w:hAnsi="arial" w:cs="arial"/>
          <w:color w:val="000000"/>
          <w:sz w:val="20"/>
          <w:lang w:val="en-US" w:eastAsia="en-US" w:bidi="ar-SA"/>
        </w:rPr>
        <w:t xml:space="preserve">, in referring to the former </w:t>
      </w:r>
      <w:r>
        <w:rPr>
          <w:rFonts w:ascii="arial" w:eastAsia="arial" w:hAnsi="arial" w:cs="arial"/>
          <w:i/>
          <w:color w:val="000000"/>
          <w:sz w:val="20"/>
          <w:lang w:val="en-US" w:eastAsia="en-US" w:bidi="ar-SA"/>
        </w:rPr>
        <w:t>Consumer Protection Act,</w:t>
      </w:r>
      <w:r>
        <w:rPr>
          <w:rFonts w:ascii="arial" w:eastAsia="arial" w:hAnsi="arial" w:cs="arial"/>
          <w:color w:val="000000"/>
          <w:sz w:val="20"/>
          <w:lang w:val="en-US" w:eastAsia="en-US" w:bidi="ar-SA"/>
        </w:rPr>
        <w:t xml:space="preserve"> the court adopted a liberal interpretation of the definition of "mortgage transaction" to ensure that the protection of consumers was effected. In </w:t>
      </w:r>
      <w:r>
        <w:rPr>
          <w:rFonts w:ascii="arial" w:eastAsia="arial" w:hAnsi="arial" w:cs="arial"/>
          <w:i/>
          <w:color w:val="000000"/>
          <w:sz w:val="20"/>
          <w:lang w:val="en-US" w:eastAsia="en-US" w:bidi="ar-SA"/>
        </w:rPr>
        <w:t>Watson v. Cull,</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[1992] B.C.J. No. 2339</w:t>
        </w:r>
      </w:hyperlink>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1992 CanLII 939</w:t>
        </w:r>
      </w:hyperlink>
      <w:r>
        <w:rPr>
          <w:rFonts w:ascii="arial" w:eastAsia="arial" w:hAnsi="arial" w:cs="arial"/>
          <w:color w:val="000000"/>
          <w:sz w:val="20"/>
          <w:lang w:val="en-US" w:eastAsia="en-US" w:bidi="ar-SA"/>
        </w:rPr>
        <w:t xml:space="preserve"> (B.C.S.C.), the British Columbia Supreme Court said this concerning the former </w:t>
      </w:r>
      <w:r>
        <w:rPr>
          <w:rFonts w:ascii="arial" w:eastAsia="arial" w:hAnsi="arial" w:cs="arial"/>
          <w:i/>
          <w:color w:val="000000"/>
          <w:sz w:val="20"/>
          <w:lang w:val="en-US" w:eastAsia="en-US" w:bidi="ar-SA"/>
        </w:rPr>
        <w:t>Trade Practice Act,</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 A Consumer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bring this action within the purview of the Act the plaintiff has alleged that by providing members of the public with abortion services, the defendant Clinics have engaged in consumer transactions within the meaning of the Act. Can this be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defined by the Act, to be a "consumer", one need only participate in the transaction; to be a "supplier", one need only advertise or promote the transaction; and, it seems, if a transaction is a "disposition or supply" of "personal property" in the form of "services", and is "for purposes that are primarily personal, family or household", it falls within the scope of the Act. There does not seem to be a need for consideration to pass from the "consumer" to the "supplier".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Act is very broadly drafted, and it seems as if the Legislature intended that virtually every transaction entered into by an individual for a purpose that is primarily personal, family or household in nature, would fall within its embrace</w:t>
      </w:r>
      <w:r>
        <w:rPr>
          <w:rFonts w:ascii="arial" w:eastAsia="arial" w:hAnsi="arial" w:cs="arial"/>
          <w:color w:val="000000"/>
          <w:sz w:val="20"/>
          <w:lang w:val="en-US" w:eastAsia="en-US" w:bidi="ar-SA"/>
        </w:rPr>
        <w:t>. That being so, it would be wrong, on an application of this nature, to decide whether or not the Act does indeed apply to the provision of abortion services. Accordingly, it becomes necessary to consider the allegations of unconscionable and deceptive acts or practices.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Given the liberal approach by the courts and the focus on the use of the goods, I note that Proscar and Propecia are clearly designed and marketed for personal use and that the plaintiff used the former for personal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Turning to the issue of the interpretation of the definition of "supplier" in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Supreme Court of Canada recently considered this definition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[2011] 3 S.C.R. 45</w:t>
        </w:r>
      </w:hyperlink>
      <w:r>
        <w:rPr>
          <w:rFonts w:ascii="arial" w:eastAsia="arial" w:hAnsi="arial" w:cs="arial"/>
          <w:color w:val="000000"/>
          <w:sz w:val="20"/>
          <w:lang w:val="en-US" w:eastAsia="en-US" w:bidi="ar-SA"/>
        </w:rPr>
        <w:t xml:space="preserve">. The Court held that the phrase "in the course of business" in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means that the person is engaged in a "commercial purpose". Therefore to be a supplier the person or business must have a "commercial purpose". I note that the defendants in marketing Proscar and Propecia clearly had a commercial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As the transactions at bar ostensibly fit within the definitions set out in the case law, the question then becomes whether the lack of immediacy between the plaintiff and the defendants somehow takes them outside the scope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states that a supplier is someone who "participates in a consumer transaction by supplying goods to a consumer" or by soliciting "with respect to" a consumer transaction. On a plain reading "with respect to" does not require direct solicitations to a consumer, it merely requires that the solicitations be about or related to the consumer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support of their submission the defendants rely on </w:t>
      </w:r>
      <w:r>
        <w:rPr>
          <w:rFonts w:ascii="arial" w:eastAsia="arial" w:hAnsi="arial" w:cs="arial"/>
          <w:i/>
          <w:color w:val="000000"/>
          <w:sz w:val="20"/>
          <w:lang w:val="en-US" w:eastAsia="en-US" w:bidi="ar-SA"/>
        </w:rPr>
        <w:t>Holmes v. United Furniture Warehouse LP</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2009 BCSC 1805</w:t>
        </w:r>
      </w:hyperlink>
      <w:r>
        <w:rPr>
          <w:rFonts w:ascii="arial" w:eastAsia="arial" w:hAnsi="arial" w:cs="arial"/>
          <w:color w:val="000000"/>
          <w:sz w:val="20"/>
          <w:lang w:val="en-US" w:eastAsia="en-US" w:bidi="ar-SA"/>
        </w:rPr>
        <w:t xml:space="preserve"> paras. 28-31, where the allegations were that directors personally participated in a consumer transaction and therefore were liable. The court states, "that a director or officer of a corporation cannot be a supplier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simply because of his or her position". The argument of the defendants is that this supports their proposition that there must be "immediacy" in the relationship between the supplier and consumer.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my view that is not a proposition that can be derived from </w:t>
      </w:r>
      <w:r>
        <w:rPr>
          <w:rFonts w:ascii="arial" w:eastAsia="arial" w:hAnsi="arial" w:cs="arial"/>
          <w:i/>
          <w:color w:val="000000"/>
          <w:sz w:val="20"/>
          <w:lang w:val="en-US" w:eastAsia="en-US" w:bidi="ar-SA"/>
        </w:rPr>
        <w:t>Holmes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Holmes</w:t>
      </w:r>
      <w:r>
        <w:rPr>
          <w:rFonts w:ascii="arial" w:eastAsia="arial" w:hAnsi="arial" w:cs="arial"/>
          <w:color w:val="000000"/>
          <w:sz w:val="20"/>
          <w:lang w:val="en-US" w:eastAsia="en-US" w:bidi="ar-SA"/>
        </w:rPr>
        <w:t xml:space="preserve"> the issue was whether directors could be personally liable as directors. Normally the corporate veil would not be pierced. However, in certain circumstances it can be, such as where there is personal conduct by them. I do not take from the facts in </w:t>
      </w:r>
      <w:r>
        <w:rPr>
          <w:rFonts w:ascii="arial" w:eastAsia="arial" w:hAnsi="arial" w:cs="arial"/>
          <w:i/>
          <w:color w:val="000000"/>
          <w:sz w:val="20"/>
          <w:lang w:val="en-US" w:eastAsia="en-US" w:bidi="ar-SA"/>
        </w:rPr>
        <w:t>Holmes</w:t>
      </w:r>
      <w:r>
        <w:rPr>
          <w:rFonts w:ascii="arial" w:eastAsia="arial" w:hAnsi="arial" w:cs="arial"/>
          <w:color w:val="000000"/>
          <w:sz w:val="20"/>
          <w:lang w:val="en-US" w:eastAsia="en-US" w:bidi="ar-SA"/>
        </w:rPr>
        <w:t xml:space="preserve"> a general proposition that there must be immediacy between a supplier and consumer. Rather the principle that emerges is that where there is immediacy directors may be liable. The court did not consider whether immediacy is a requirement for a finding that there is a relationship between the supplier and the consumer.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defendants also refer to </w:t>
      </w:r>
      <w:r>
        <w:rPr>
          <w:rFonts w:ascii="arial" w:eastAsia="arial" w:hAnsi="arial" w:cs="arial"/>
          <w:i/>
          <w:color w:val="000000"/>
          <w:sz w:val="20"/>
          <w:lang w:val="en-US" w:eastAsia="en-US" w:bidi="ar-SA"/>
        </w:rPr>
        <w:t>VanBeek v. Dodd</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2010 BCSC 1639</w:t>
        </w:r>
      </w:hyperlink>
      <w:r>
        <w:rPr>
          <w:rFonts w:ascii="arial" w:eastAsia="arial" w:hAnsi="arial" w:cs="arial"/>
          <w:color w:val="000000"/>
          <w:sz w:val="20"/>
          <w:lang w:val="en-US" w:eastAsia="en-US" w:bidi="ar-SA"/>
        </w:rPr>
        <w:t xml:space="preserve"> at para. 83. In </w:t>
      </w:r>
      <w:r>
        <w:rPr>
          <w:rFonts w:ascii="arial" w:eastAsia="arial" w:hAnsi="arial" w:cs="arial"/>
          <w:i/>
          <w:color w:val="000000"/>
          <w:sz w:val="20"/>
          <w:lang w:val="en-US" w:eastAsia="en-US" w:bidi="ar-SA"/>
        </w:rPr>
        <w:t>VanBeek</w:t>
      </w:r>
      <w:r>
        <w:rPr>
          <w:rFonts w:ascii="arial" w:eastAsia="arial" w:hAnsi="arial" w:cs="arial"/>
          <w:color w:val="000000"/>
          <w:sz w:val="20"/>
          <w:lang w:val="en-US" w:eastAsia="en-US" w:bidi="ar-SA"/>
        </w:rPr>
        <w:t xml:space="preserve"> on a sale of real estate the court held that the transaction was a consumer transaction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since the defendant builder was actively involved in the transaction he was a "supplier" within the meaning of the act. Again, as in </w:t>
      </w:r>
      <w:r>
        <w:rPr>
          <w:rFonts w:ascii="arial" w:eastAsia="arial" w:hAnsi="arial" w:cs="arial"/>
          <w:i/>
          <w:color w:val="000000"/>
          <w:sz w:val="20"/>
          <w:lang w:val="en-US" w:eastAsia="en-US" w:bidi="ar-SA"/>
        </w:rPr>
        <w:t>Holmes</w:t>
      </w:r>
      <w:r>
        <w:rPr>
          <w:rFonts w:ascii="arial" w:eastAsia="arial" w:hAnsi="arial" w:cs="arial"/>
          <w:color w:val="000000"/>
          <w:sz w:val="20"/>
          <w:lang w:val="en-US" w:eastAsia="en-US" w:bidi="ar-SA"/>
        </w:rPr>
        <w:t>, while immediacy was present for the finding that the defendant was a supplier, the court did not consider whether immediacy was an essential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Some support for the defendants' position is found in </w:t>
      </w:r>
      <w:r>
        <w:rPr>
          <w:rFonts w:ascii="arial" w:eastAsia="arial" w:hAnsi="arial" w:cs="arial"/>
          <w:i/>
          <w:color w:val="000000"/>
          <w:sz w:val="20"/>
          <w:lang w:val="en-US" w:eastAsia="en-US" w:bidi="ar-SA"/>
        </w:rPr>
        <w:t>Tracy v. Instaloans Financial Solution Centres (B.C.) Ltd.,</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2008 BCSC 669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Tracy,</w:t>
      </w:r>
      <w:r>
        <w:rPr>
          <w:rFonts w:ascii="arial" w:eastAsia="arial" w:hAnsi="arial" w:cs="arial"/>
          <w:color w:val="000000"/>
          <w:sz w:val="20"/>
          <w:lang w:val="en-US" w:eastAsia="en-US" w:bidi="ar-SA"/>
        </w:rPr>
        <w:t xml:space="preserve"> the defendant had divided its business into two groups: companies operating storefront operations and the head office that provided staff and management to those companies. The storefront offices held a contract of service with the 'head office'. The storefront group collected revenue and paid fees to the head office over time. The trial judge held that </w:t>
      </w:r>
      <w:r>
        <w:rPr>
          <w:rFonts w:ascii="arial" w:eastAsia="arial" w:hAnsi="arial" w:cs="arial"/>
          <w:i/>
          <w:color w:val="000000"/>
          <w:sz w:val="20"/>
          <w:lang w:val="en-US" w:eastAsia="en-US" w:bidi="ar-SA"/>
        </w:rPr>
        <w:t>only the storefront companies were liable under the BPCPA.</w:t>
      </w:r>
      <w:r>
        <w:rPr>
          <w:rFonts w:ascii="arial" w:eastAsia="arial" w:hAnsi="arial" w:cs="arial"/>
          <w:color w:val="000000"/>
          <w:sz w:val="20"/>
          <w:lang w:val="en-US" w:eastAsia="en-US" w:bidi="ar-SA"/>
        </w:rPr>
        <w:t xml:space="preserve"> It was only those companies who were providing the 'instaloan contracts' and were therefore participating in the consumer transaction. The British Columbia Court of Appeal did not directly address this issue on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While </w:t>
      </w:r>
      <w:r>
        <w:rPr>
          <w:rFonts w:ascii="arial" w:eastAsia="arial" w:hAnsi="arial" w:cs="arial"/>
          <w:i/>
          <w:color w:val="000000"/>
          <w:sz w:val="20"/>
          <w:lang w:val="en-US" w:eastAsia="en-US" w:bidi="ar-SA"/>
        </w:rPr>
        <w:t>Tracy</w:t>
      </w:r>
      <w:r>
        <w:rPr>
          <w:rFonts w:ascii="arial" w:eastAsia="arial" w:hAnsi="arial" w:cs="arial"/>
          <w:color w:val="000000"/>
          <w:sz w:val="20"/>
          <w:lang w:val="en-US" w:eastAsia="en-US" w:bidi="ar-SA"/>
        </w:rPr>
        <w:t xml:space="preserve"> may suggest there should be some immediacy between supplier and consumer to bring the transaction with the meaning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in my view it is distinguishable as was the case in </w:t>
      </w:r>
      <w:r>
        <w:rPr>
          <w:rFonts w:ascii="arial" w:eastAsia="arial" w:hAnsi="arial" w:cs="arial"/>
          <w:i/>
          <w:color w:val="000000"/>
          <w:sz w:val="20"/>
          <w:lang w:val="en-US" w:eastAsia="en-US" w:bidi="ar-SA"/>
        </w:rPr>
        <w:t>Holmes,</w:t>
      </w:r>
      <w:r>
        <w:rPr>
          <w:rFonts w:ascii="arial" w:eastAsia="arial" w:hAnsi="arial" w:cs="arial"/>
          <w:color w:val="000000"/>
          <w:sz w:val="20"/>
          <w:lang w:val="en-US" w:eastAsia="en-US" w:bidi="ar-SA"/>
        </w:rPr>
        <w:t xml:space="preserve"> as it addresses separate legal entities, not the "learned intermediary" issue raised here. The defendants in the case at bar are still the corporate sellers and are the parties holding out the promotions and advertisements albeit to the intermediaries rather than the consumers themselves. I also note that with the broad availability of such information on the internet and through US advertising it is arguable that the end consumer is in fact now placed directly in receipt of such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Further, returning to the decision in </w:t>
      </w:r>
      <w:r>
        <w:rPr>
          <w:rFonts w:ascii="arial" w:eastAsia="arial" w:hAnsi="arial" w:cs="arial"/>
          <w:i/>
          <w:color w:val="000000"/>
          <w:sz w:val="20"/>
          <w:lang w:val="en-US" w:eastAsia="en-US" w:bidi="ar-SA"/>
        </w:rPr>
        <w:t>Holmes,</w:t>
      </w:r>
      <w:r>
        <w:rPr>
          <w:rFonts w:ascii="arial" w:eastAsia="arial" w:hAnsi="arial" w:cs="arial"/>
          <w:color w:val="000000"/>
          <w:sz w:val="20"/>
          <w:lang w:val="en-US" w:eastAsia="en-US" w:bidi="ar-SA"/>
        </w:rPr>
        <w:t xml:space="preserve"> the following comments made by the British Columbia Court of Appeal in upholding the trial judge's decision (</w:t>
      </w:r>
      <w:r>
        <w:rPr>
          <w:rFonts w:ascii="arial" w:eastAsia="arial" w:hAnsi="arial" w:cs="arial"/>
          <w:i/>
          <w:color w:val="000000"/>
          <w:sz w:val="20"/>
          <w:lang w:val="en-US" w:eastAsia="en-US" w:bidi="ar-SA"/>
        </w:rPr>
        <w:t>Holmes v. United Furniture Warehouse Limited Partnership,</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2012 BCCA 226</w:t>
        </w:r>
      </w:hyperlink>
      <w:r>
        <w:rPr>
          <w:rFonts w:ascii="arial" w:eastAsia="arial" w:hAnsi="arial" w:cs="arial"/>
          <w:color w:val="000000"/>
          <w:sz w:val="20"/>
          <w:lang w:val="en-US" w:eastAsia="en-US" w:bidi="ar-SA"/>
        </w:rPr>
        <w:t xml:space="preserve">), suggest judicial intention to broaden the scope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not narrow it. Donald J.A. speaking for the court,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 would add that the key phrase in the definition of supplier as a person "who in the course of business </w:t>
      </w:r>
      <w:r>
        <w:rPr>
          <w:rFonts w:ascii="arial" w:eastAsia="arial" w:hAnsi="arial" w:cs="arial"/>
          <w:color w:val="000000"/>
          <w:sz w:val="20"/>
          <w:u w:val="single"/>
          <w:lang w:val="en-US" w:eastAsia="en-US" w:bidi="ar-SA"/>
        </w:rPr>
        <w:t>participates</w:t>
      </w:r>
      <w:r>
        <w:rPr>
          <w:rFonts w:ascii="arial" w:eastAsia="arial" w:hAnsi="arial" w:cs="arial"/>
          <w:color w:val="000000"/>
          <w:sz w:val="20"/>
          <w:lang w:val="en-US" w:eastAsia="en-US" w:bidi="ar-SA"/>
        </w:rPr>
        <w:t xml:space="preserve"> in a consumer transaction" [emphasis added] </w:t>
      </w:r>
      <w:r>
        <w:rPr>
          <w:rFonts w:ascii="arial" w:eastAsia="arial" w:hAnsi="arial" w:cs="arial"/>
          <w:color w:val="000000"/>
          <w:sz w:val="20"/>
          <w:u w:val="single"/>
          <w:lang w:val="en-US" w:eastAsia="en-US" w:bidi="ar-SA"/>
        </w:rPr>
        <w:t xml:space="preserve">may be open to a sufficiently wide interpretation to embrace the kind of participation alleged in para. 83 of the proposed consolidated statement of claim: </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Defendant Directors personally developed and directed ... and directed, authorized, permitted and acquiesced in the deceptive practices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As such in my opinion the word "participates" is to be given a wide interpretation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 find support for this view in </w:t>
      </w:r>
      <w:r>
        <w:rPr>
          <w:rFonts w:ascii="arial" w:eastAsia="arial" w:hAnsi="arial" w:cs="arial"/>
          <w:i/>
          <w:color w:val="000000"/>
          <w:sz w:val="20"/>
          <w:lang w:val="en-US" w:eastAsia="en-US" w:bidi="ar-SA"/>
        </w:rPr>
        <w:t>Robson v. DaimlerChrysler Corp.</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2002 BCCA 354</w:t>
        </w:r>
      </w:hyperlink>
      <w:r>
        <w:rPr>
          <w:rFonts w:ascii="arial" w:eastAsia="arial" w:hAnsi="arial" w:cs="arial"/>
          <w:color w:val="000000"/>
          <w:sz w:val="20"/>
          <w:lang w:val="en-US" w:eastAsia="en-US" w:bidi="ar-SA"/>
        </w:rPr>
        <w:t xml:space="preserve">, where on appeal of the chambers judge's decision that the former </w:t>
      </w:r>
      <w:r>
        <w:rPr>
          <w:rFonts w:ascii="arial" w:eastAsia="arial" w:hAnsi="arial" w:cs="arial"/>
          <w:i/>
          <w:color w:val="000000"/>
          <w:sz w:val="20"/>
          <w:lang w:val="en-US" w:eastAsia="en-US" w:bidi="ar-SA"/>
        </w:rPr>
        <w:t>Trade Practice Act</w:t>
      </w:r>
      <w:r>
        <w:rPr>
          <w:rFonts w:ascii="arial" w:eastAsia="arial" w:hAnsi="arial" w:cs="arial"/>
          <w:color w:val="000000"/>
          <w:sz w:val="20"/>
          <w:lang w:val="en-US" w:eastAsia="en-US" w:bidi="ar-SA"/>
        </w:rPr>
        <w:t xml:space="preserve"> did not include an American manufacturer the British Columbia Court of Appeal said that in introducing cars into the Canadian stream of commerce the US defendants ought to have known that they would be sold to consumers in Canada and that as a result there was an arguable case that they were suppliers under the </w:t>
      </w:r>
      <w:r>
        <w:rPr>
          <w:rFonts w:ascii="arial" w:eastAsia="arial" w:hAnsi="arial" w:cs="arial"/>
          <w:i/>
          <w:color w:val="000000"/>
          <w:sz w:val="20"/>
          <w:lang w:val="en-US" w:eastAsia="en-US" w:bidi="ar-SA"/>
        </w:rPr>
        <w:t>Trade Practice Act</w:t>
      </w:r>
      <w:r>
        <w:rPr>
          <w:rFonts w:ascii="arial" w:eastAsia="arial" w:hAnsi="arial" w:cs="arial"/>
          <w:color w:val="000000"/>
          <w:sz w:val="20"/>
          <w:lang w:val="en-US" w:eastAsia="en-US" w:bidi="ar-SA"/>
        </w:rPr>
        <w:t xml:space="preserve">. To a similar effect is </w:t>
      </w:r>
      <w:r>
        <w:rPr>
          <w:rFonts w:ascii="arial" w:eastAsia="arial" w:hAnsi="arial" w:cs="arial"/>
          <w:i/>
          <w:color w:val="000000"/>
          <w:sz w:val="20"/>
          <w:lang w:val="en-US" w:eastAsia="en-US" w:bidi="ar-SA"/>
        </w:rPr>
        <w:t>Reid v. Ford Motor Company</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2003 BCSC 1632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If the defendants are correct in their submission that immediacy is required, the purpose and effectiveness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would be thwarted. I conclude that a liberal construction must be applied to the "consumer transaction" at issue and that such a transaction includes one where a learned intermediary is involved. In addition, I am satisfied that the defendants are "suppliers'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 note that recently in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2012 BCCA 260</w:t>
        </w:r>
      </w:hyperlink>
      <w:r>
        <w:rPr>
          <w:rFonts w:ascii="arial" w:eastAsia="arial" w:hAnsi="arial" w:cs="arial"/>
          <w:color w:val="000000"/>
          <w:sz w:val="20"/>
          <w:lang w:val="en-US" w:eastAsia="en-US" w:bidi="ar-SA"/>
        </w:rPr>
        <w:t xml:space="preserve">, the British Columbia Court of Appeal certified a class action involving a prescription drug. The court was clearly alive to the learned intermediary issue in doing so, although its effect on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was not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defendants also suggest that the fact that prescriptions are federally regulated under the </w:t>
      </w:r>
      <w:r>
        <w:rPr>
          <w:rFonts w:ascii="arial" w:eastAsia="arial" w:hAnsi="arial" w:cs="arial"/>
          <w:i/>
          <w:color w:val="000000"/>
          <w:sz w:val="20"/>
          <w:lang w:val="en-US" w:eastAsia="en-US" w:bidi="ar-SA"/>
        </w:rPr>
        <w:t>Food and Drugs Act,</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R.S.C. 1985, c. F-27</w:t>
        </w:r>
      </w:hyperlink>
      <w:r>
        <w:rPr>
          <w:rFonts w:ascii="arial" w:eastAsia="arial" w:hAnsi="arial" w:cs="arial"/>
          <w:color w:val="000000"/>
          <w:sz w:val="20"/>
          <w:lang w:val="en-US" w:eastAsia="en-US" w:bidi="ar-SA"/>
        </w:rPr>
        <w:t xml:space="preserve">, makes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inapplicable. They do not however challenge the constitutionality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Had they done so </w:t>
      </w:r>
      <w:r>
        <w:rPr>
          <w:rFonts w:ascii="arial" w:eastAsia="arial" w:hAnsi="arial" w:cs="arial"/>
          <w:i/>
          <w:color w:val="000000"/>
          <w:sz w:val="20"/>
          <w:lang w:val="en-US" w:eastAsia="en-US" w:bidi="ar-SA"/>
        </w:rPr>
        <w:t>Unlu v. Air Canada,</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2012 BCSC 60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Wakelam v. Johnson &amp; John</w:t>
      </w:r>
      <w:r>
        <w:rPr>
          <w:rFonts w:ascii="arial" w:eastAsia="arial" w:hAnsi="arial" w:cs="arial"/>
          <w:color w:val="000000"/>
          <w:sz w:val="20"/>
          <w:lang w:val="en-US" w:eastAsia="en-US" w:bidi="ar-SA"/>
        </w:rPr>
        <w:t xml:space="preserve"> son, </w:t>
      </w:r>
      <w:hyperlink r:id="rId371" w:history="1">
        <w:r>
          <w:rPr>
            <w:rFonts w:ascii="arial" w:eastAsia="arial" w:hAnsi="arial" w:cs="arial"/>
            <w:i/>
            <w:color w:val="0077CC"/>
            <w:sz w:val="20"/>
            <w:u w:val="single"/>
            <w:shd w:val="clear" w:color="auto" w:fill="FFFFFF"/>
            <w:lang w:val="en-US" w:eastAsia="en-US" w:bidi="ar-SA"/>
          </w:rPr>
          <w:t>2011 BCSC 1765</w:t>
        </w:r>
      </w:hyperlink>
      <w:r>
        <w:rPr>
          <w:rFonts w:ascii="arial" w:eastAsia="arial" w:hAnsi="arial" w:cs="arial"/>
          <w:color w:val="000000"/>
          <w:sz w:val="20"/>
          <w:lang w:val="en-US" w:eastAsia="en-US" w:bidi="ar-SA"/>
        </w:rPr>
        <w:t xml:space="preserve">, indicate that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still applies despite federal regulation of the businesses in question. I note both of those decisions are apparently under appeal. Given the defendants did not directly challenge the constitutionality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in light of the existing authorities I need not address this issue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As a result I reject the submission of the defendants that they are not suppliers and that the transaction is not a consumer transaction and am satisfied that the plaintiff has a cause of action pursuant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amended notice of civil claim alleges that the defendants engaged in a deceptive act or practice, pursuant to s. 4, in failing to disclose Propecia and Proscar's product defects, namely persistent sexual side effects after discontinuation of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Chalmers v. AMO Canada Company,</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2010 BCCA 560</w:t>
        </w:r>
      </w:hyperlink>
      <w:r>
        <w:rPr>
          <w:rFonts w:ascii="arial" w:eastAsia="arial" w:hAnsi="arial" w:cs="arial"/>
          <w:color w:val="000000"/>
          <w:sz w:val="20"/>
          <w:lang w:val="en-US" w:eastAsia="en-US" w:bidi="ar-SA"/>
        </w:rPr>
        <w:t xml:space="preserve">, the British Columbia Court of Appeal considered pleadings containing similar allegations, including the failure to disclose a particular risk, and was satisfied that the claim under the </w:t>
      </w:r>
      <w:r>
        <w:rPr>
          <w:rFonts w:ascii="arial" w:eastAsia="arial" w:hAnsi="arial" w:cs="arial"/>
          <w:i/>
          <w:color w:val="000000"/>
          <w:sz w:val="20"/>
          <w:lang w:val="en-US" w:eastAsia="en-US" w:bidi="ar-SA"/>
        </w:rPr>
        <w:t>Consumer Protection Act</w:t>
      </w:r>
      <w:r>
        <w:rPr>
          <w:rFonts w:ascii="arial" w:eastAsia="arial" w:hAnsi="arial" w:cs="arial"/>
          <w:color w:val="000000"/>
          <w:sz w:val="20"/>
          <w:lang w:val="en-US" w:eastAsia="en-US" w:bidi="ar-SA"/>
        </w:rPr>
        <w:t xml:space="preserve"> met the requirements of s. 4. Justice Tysoe held the following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 [I]t is my opinion that the amended statement of claim clearly gives particulars of the claim under the </w:t>
      </w:r>
      <w:r>
        <w:rPr>
          <w:rFonts w:ascii="arial" w:eastAsia="arial" w:hAnsi="arial" w:cs="arial"/>
          <w:i/>
          <w:color w:val="000000"/>
          <w:sz w:val="20"/>
          <w:lang w:val="en-US" w:eastAsia="en-US" w:bidi="ar-SA"/>
        </w:rPr>
        <w:t>Consumer Protection Act</w:t>
      </w:r>
      <w:r>
        <w:rPr>
          <w:rFonts w:ascii="arial" w:eastAsia="arial" w:hAnsi="arial" w:cs="arial"/>
          <w:color w:val="000000"/>
          <w:sz w:val="20"/>
          <w:lang w:val="en-US" w:eastAsia="en-US" w:bidi="ar-SA"/>
        </w:rPr>
        <w:t xml:space="preserve">. The amended statement of claim gives particulars of two specific representations allegedly made by the defendants, and asserts they were untrue. It also asserts that the defendants breached the </w:t>
      </w:r>
      <w:r>
        <w:rPr>
          <w:rFonts w:ascii="arial" w:eastAsia="arial" w:hAnsi="arial" w:cs="arial"/>
          <w:i/>
          <w:color w:val="000000"/>
          <w:sz w:val="20"/>
          <w:lang w:val="en-US" w:eastAsia="en-US" w:bidi="ar-SA"/>
        </w:rPr>
        <w:t>Consumer Protection Act</w:t>
      </w:r>
      <w:r>
        <w:rPr>
          <w:rFonts w:ascii="arial" w:eastAsia="arial" w:hAnsi="arial" w:cs="arial"/>
          <w:color w:val="000000"/>
          <w:sz w:val="20"/>
          <w:lang w:val="en-US" w:eastAsia="en-US" w:bidi="ar-SA"/>
        </w:rPr>
        <w:t xml:space="preserve"> by failing to disclose the risk that the lens solution would not prevent the eye infection and by misrepresenting that the lens solution was safe, comfortable and effective at preventing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Wavier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noted the defendants submit the plaintiff has pleaded "Wavier of tort". The plaintiff denies that he has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Waiver of tort is a restitutionary action or remedy that allows a plaintiff to forego the usual cause of action and the normal remedy attached and seek disgorgement of profits in its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an ordinary tort action the court attempts to provide the sum of money that will put the injured party in the same position they would have been but for the wrong done. That is, "restitution </w:t>
      </w:r>
      <w:r>
        <w:rPr>
          <w:rFonts w:ascii="arial" w:eastAsia="arial" w:hAnsi="arial" w:cs="arial"/>
          <w:i/>
          <w:color w:val="000000"/>
          <w:sz w:val="20"/>
          <w:lang w:val="en-US" w:eastAsia="en-US" w:bidi="ar-SA"/>
        </w:rPr>
        <w:t>in integrum</w:t>
      </w:r>
      <w:r>
        <w:rPr>
          <w:rFonts w:ascii="arial" w:eastAsia="arial" w:hAnsi="arial" w:cs="arial"/>
          <w:color w:val="000000"/>
          <w:sz w:val="20"/>
          <w:lang w:val="en-US" w:eastAsia="en-US" w:bidi="ar-SA"/>
        </w:rPr>
        <w:t>". However, in certain instances the defendant's gain from committing the tort is much greater than the damages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As noted above, the plaintiff's amended notice of civil claim seeks disgorgement of or profits or revenues received by the defendants from the sale of Propecia and Proscar in B.C., claiming that this remedy is available under ss. 171 and 172 of the </w:t>
      </w:r>
      <w:r>
        <w:rPr>
          <w:rFonts w:ascii="arial" w:eastAsia="arial" w:hAnsi="arial" w:cs="arial"/>
          <w:i/>
          <w:color w:val="000000"/>
          <w:sz w:val="20"/>
          <w:lang w:val="en-US" w:eastAsia="en-US" w:bidi="ar-SA"/>
        </w:rPr>
        <w:t>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Section 171(1)(a) sets out the right of a consumer to recover for pecuniary loss arising from a deceptive act. The relevant portions of s. 171(1)(a)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(1) Subject to subsection (2), if a person, other than a person referred to in paragraphs (a) to (e), has suffered damage or loss due to a contravention of this Act or the regulations, the person who suffered damage or loss may bring an action against a</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supplier,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Section 172 provides a basis for a consumer or other interested person to seek a remedy for breach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The relevant sections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(1) The director or a person other than a supplier, whether or not the person bringing the action has a special interest or any interest under this Act or is affected by a consumer transaction that gives rise to the action, may bring an action in Supreme Court for one or both of the following:</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an act or practice engaged in or about to be engaged in by a supplier in respect of a consumer transaction contravenes this Act or the regulations;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interim or permanent injunction restraining a supplier from contravening this Act or the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grants relief under subsection (1), the court may order one or more of the following:</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supplier restore to any person any money or other property or thing, in which the person has an interest, that may have been acquired because of a contravention of this Act or the regulations;</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action is brought by the director, that the supplier pay to the director the actual costs, or a reasonable proportion of the costs, of the inspection of the supplier conducted under this Act;</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supplier advertise to the public in a manner that will assure prompt and reasonable communication to consumers, and on terms or conditions that the court considers reasonable, particulars of any judgment, declaration, order or injunction granted against the supplier under this section.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most recent consideration of waiver of tort is found in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The plaintiff submits his cause of action pleaded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not a "waiver of tort" claim, as he is not attempting to use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to "create a new, parasitical common law claim" as was the case in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He therefore says that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has no relevance to the claim. In part his justification for this statement is that the claim "is properly pleaded, entirely consistent with the established case law and falls within the express language of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the court held that a claim for restitutionary damages and disgorgement of profits arising from waiver of tort premised on breaches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did not disclose a cause of action. The British Columbia Court of Appeal held that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was an "exhaustive code regulating consumer transactions ..." (para. 63). As a result the plaintiff in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was "restricted to the remedies provided by the Act". The court held that the plaintiff's claim "for restitutionary damages and disgorgement of profits arising from waiver of tort [did] not disclose a cause of action." (para.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light of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ss. 171 and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limit recovery for pecuniary loss to the consumer's own damage or loss.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does not provide the basis for a claim based on waiver of tort and restitutionary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final sentence of para. 48 of the amended notice of civil claim is therefore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Certain portions of the amended notice of civil claim are assertions of opinion and commentary and not statements of fact and as a result have not formed part of my assessment of the disclosure of causes of action by the pleadings. They are not relevant to the requirements for pleading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Accordingly, as amended by these reasons, the amended notice of civil claim discloses causes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w:t>
      </w:r>
      <w:r>
        <w:rPr>
          <w:rFonts w:ascii="arial" w:eastAsia="arial" w:hAnsi="arial" w:cs="arial"/>
          <w:i/>
          <w:color w:val="000000"/>
          <w:sz w:val="20"/>
          <w:lang w:val="en-US" w:eastAsia="en-US" w:bidi="ar-SA"/>
        </w:rPr>
        <w:t>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There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plaintiff's initial proposed class definition was: "All persons who were prescribed Propecia and/or Proscar in British Columbia for hair loss and experienced side effects which continued after ceasing to take these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defendants argue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[107] The plaintiff's proposed class definition fails to meet the requirements of section 4(1)(b) for three reasons: (a) it is unsupported by any evidence; (b) it is not rationally connected to the causes of action pleaded in the Amended Notice of Civil Claim; and (c) it is vague and ambiguous, violating the requirement that class members be determinable by objective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Specifically, the defendants allege that there is no evidence that anyone in B.C., other than the plaintiff, is seeking to advance a claim that he has suffered permanent sexual dysfunction as a result of using Proscar or Propecia. The defendants allege that the affidavits submitted by plaintiff's counsel's staff claiming they have been contacted by upwards of 50 potential class members are inadmissible hearsay, as are the attached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defendants also argue that the proposed class definition is not rationally connected to the cause of action pleaded because the amended notice of civil claim only pleads a cause of action with respect to the side effect of persistent sexual dysfunction, not "side effects" more generally, as suggested in the proposed definition. Accordingly, the defendants submit putative class members do not have a potential or colourable claim to recover damages against the defendants for personal injury on the basis of a 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defendants further submit that the definition proposed by the plaintiff does not permit a potential class member to determine his membership in the class based on objective criteria on the basis that: the term "side-effects" implies that potential class members have suffered adverse reactions due to the use of Propecia or Proscar which ultimately creates a merit-based definition; the term "side-effects" is too broad; "which continued" is ambiguous as to how long side effects would have to continue after taking the drug in order to join the class; the definition includes persons who were prescribed the drug in B.C. and it is unclear as to whether those persons must still reside in the province; there is no objective way to determine whether persons were prescribed the drug specifically for hair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in reply, amended the proposed class definition. It now reads: "All persons who were prescribed Propecia and/or Proscar for hair loss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argues that this modified definition is appropriate. He asserts that he does not need to specify whether potential class members must reside in the province as the necessity for a sub-class only arises when there is a conflict between the class and subclass. The plaintiff is not anticipating conflict between potential class members that reside outside the province and those that have remained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requirements of s. 4 (1)(b) are discussed by the Supreme Court of Canada in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While there are differences between the tests, four conditions emerge as necessary to a class action. First, the class must be capable of clear definition. Class definition is critical because it identifies the individuals entitled to notice, entitled to relief (if relief is awarded), and bound by the judgment. It is essential, therefore, that the class be defined clearly at the outset of the litigation. The definition should state objective criteria by which members of the class can be identified. While the criteria should bear a rational relationship to the common issues asserted by all class members, the criteria should not depend on the outcome of the litigation. It is not necessary that every class member be named or known. It is necessary, however, that any particular person's claim to membership in the class be determinable by stated, objective criteria: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On the requirement of objective criteria to determine whether a person is "in or out" of the class, McLachlin C.J.C.in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stated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 The first question, therefore, is whether there is an identifiable class. In my view, there is. The appellant has defined the class by reference to objective criteria; a person is a member of the class if he or she owned or occupied property inside a specified area within a specified period of time. Whether a given person is a member of the class can be determined without reference to the merits of the action. While the appellant has not named every member of the class, it is clear that the class is bounded (that is, not unlimited). There is, therefore, an identifiable class within the meaning of s. 5(1)(b):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defendants initially submitted that no admissible evidence had been provided that anyone other than Mr. Miller is seeking to advance a claim that they have suffered permanent sexual dysfunction as a result of the use of Proscar or Propecia. I say initially because, as was noted at the outset of these reasons, the evidence filed with the application in support of there being an identifiable class of two or more persons consisted of affidavits from employees of the plaintiff's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basis for the objection is that all of these statements are inadmissible hearsay or double hearsay given the affiants are simply repeating information provided from someone else in the plaintiff's law firm which information was itself provided by another person to that person. The primary objection is that the information is being tendered for the truth of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parties have agreed with respect to Ms. Wong's affidavit #3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do not object to admissibility of the affidavit of Deborah Wong #3, sworn May 11, 2012 for the limited purpose of providing the Plaintiff's best information of the numbers of the members of the purported class for the purpose of s. 5(5)(c) of the </w:t>
      </w:r>
      <w:r>
        <w:rPr>
          <w:rFonts w:ascii="arial" w:eastAsia="arial" w:hAnsi="arial" w:cs="arial"/>
          <w:i/>
          <w:color w:val="000000"/>
          <w:sz w:val="20"/>
          <w:lang w:val="en-US" w:eastAsia="en-US" w:bidi="ar-SA"/>
        </w:rPr>
        <w:t>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issue is whether the plaintiff can rely on hearsay to establish the existence of an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Fresco v. Canadian Imperial Bank of Commerce</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(2009), 71 C.P.C. (6th) 97</w:t>
        </w:r>
      </w:hyperlink>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84 C.C.E.L. (3d) 161</w:t>
        </w:r>
      </w:hyperlink>
      <w:r>
        <w:rPr>
          <w:rFonts w:ascii="arial" w:eastAsia="arial" w:hAnsi="arial" w:cs="arial"/>
          <w:color w:val="000000"/>
          <w:sz w:val="20"/>
          <w:lang w:val="en-US" w:eastAsia="en-US" w:bidi="ar-SA"/>
        </w:rPr>
        <w:t xml:space="preserve"> (Ont. S.C.J.), the motions judge addressed this issue as follows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plaintiff also tendered an affidavit from Charlene Wiseman, one of Ms. Fresco's lawyers in this case, which purports to be evidence of CIBC's overtime practices based on a self-selected survey sample of potential class members registered on plaintiff's counsel's website. Prior to the motion, Ms. Fresco's counsel provided CIBC's counsel with an unsworn copy of the affidavit so that CIBC could advise whether it consented to the admission of that evidence or whether a motion would be required. CIBC objected to the affidavit as inadmissible hearsay. The affidavit was nonetheless filed as evidence on this motion without bringing a motion or seeking the court's direction. Ms. Fresco's response is that this is the best available survey evidence of CIBC's unpaid overtime practices, given that CIBC rejected both the plaintiffs request to provide her with information on the class members to allow the plaintiff to conduct its own random sample and the plaintiffs proposal to conduct a joint random survey of the putative class. This is not a compelling answer. The evidence constitutes hearsay and does not meet either the test of necessity or of reliability: </w:t>
      </w:r>
      <w:r>
        <w:rPr>
          <w:rFonts w:ascii="arial" w:eastAsia="arial" w:hAnsi="arial" w:cs="arial"/>
          <w:i/>
          <w:color w:val="000000"/>
          <w:sz w:val="20"/>
          <w:lang w:val="en-US" w:eastAsia="en-US" w:bidi="ar-SA"/>
        </w:rPr>
        <w:t>R. v. Smith,</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[1992] 2 S.C.R. 915</w:t>
        </w:r>
      </w:hyperlink>
      <w:r>
        <w:rPr>
          <w:rFonts w:ascii="arial" w:eastAsia="arial" w:hAnsi="arial" w:cs="arial"/>
          <w:color w:val="000000"/>
          <w:sz w:val="20"/>
          <w:lang w:val="en-US" w:eastAsia="en-US" w:bidi="ar-SA"/>
        </w:rPr>
        <w:t xml:space="preserve"> at 933-934; </w:t>
      </w:r>
      <w:r>
        <w:rPr>
          <w:rFonts w:ascii="arial" w:eastAsia="arial" w:hAnsi="arial" w:cs="arial"/>
          <w:i/>
          <w:color w:val="000000"/>
          <w:sz w:val="20"/>
          <w:lang w:val="en-US" w:eastAsia="en-US" w:bidi="ar-SA"/>
        </w:rPr>
        <w:t>R. v. Khan,</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[1990] 2 S.C.R. 531</w:t>
        </w:r>
      </w:hyperlink>
      <w:r>
        <w:rPr>
          <w:rFonts w:ascii="arial" w:eastAsia="arial" w:hAnsi="arial" w:cs="arial"/>
          <w:color w:val="000000"/>
          <w:sz w:val="20"/>
          <w:lang w:val="en-US" w:eastAsia="en-US" w:bidi="ar-SA"/>
        </w:rPr>
        <w:t xml:space="preserve"> at 541. As the evidence is not properly before the court and constitutes inadmissible hearsay, I have not considered Ms. Wiseman's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Turning to whether or not the affidavits of Ms. Cumming and Ms. Wong should be admitted to establish the existence of an identifiable class of two or more persons it was held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25 that "the representative of the asserted class must show some basis in fact to support the certification order. As the court in </w:t>
      </w:r>
      <w:r>
        <w:rPr>
          <w:rFonts w:ascii="arial" w:eastAsia="arial" w:hAnsi="arial" w:cs="arial"/>
          <w:i/>
          <w:color w:val="000000"/>
          <w:sz w:val="20"/>
          <w:lang w:val="en-US" w:eastAsia="en-US" w:bidi="ar-SA"/>
        </w:rPr>
        <w:t>Taub</w:t>
      </w:r>
      <w:r>
        <w:rPr>
          <w:rFonts w:ascii="arial" w:eastAsia="arial" w:hAnsi="arial" w:cs="arial"/>
          <w:color w:val="000000"/>
          <w:sz w:val="20"/>
          <w:lang w:val="en-US" w:eastAsia="en-US" w:bidi="ar-SA"/>
        </w:rPr>
        <w:t xml:space="preserve"> held, that is not to say that there must be affidavits from members of the class or that there should be any assessment of the merits of the claims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As noted by Lax J., in </w:t>
      </w:r>
      <w:r>
        <w:rPr>
          <w:rFonts w:ascii="arial" w:eastAsia="arial" w:hAnsi="arial" w:cs="arial"/>
          <w:i/>
          <w:color w:val="000000"/>
          <w:sz w:val="20"/>
          <w:lang w:val="en-US" w:eastAsia="en-US" w:bidi="ar-SA"/>
        </w:rPr>
        <w:t>Glover v. Toronto (City)</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(2009), 70 C.P.C. (6th) 303</w:t>
        </w:r>
      </w:hyperlink>
      <w:r>
        <w:rPr>
          <w:rFonts w:ascii="arial" w:eastAsia="arial" w:hAnsi="arial" w:cs="arial"/>
          <w:color w:val="000000"/>
          <w:sz w:val="20"/>
          <w:lang w:val="en-US" w:eastAsia="en-US" w:bidi="ar-SA"/>
        </w:rPr>
        <w:t xml:space="preserve"> (Ont. S.C.J.), the term "[s]ome basis in fact is an elastic concept and its application can be vexing" (para. 15). What is certain is the Court's pronouncement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that some basis in fact is a "low threshold" or a "minimum evidential burden" and the courts should refrain from imposing technical requirements on the plaintiffs at the certification stage (see also: </w:t>
      </w:r>
      <w:r>
        <w:rPr>
          <w:rFonts w:ascii="arial" w:eastAsia="arial" w:hAnsi="arial" w:cs="arial"/>
          <w:i/>
          <w:color w:val="000000"/>
          <w:sz w:val="20"/>
          <w:lang w:val="en-US" w:eastAsia="en-US" w:bidi="ar-SA"/>
        </w:rPr>
        <w:t>LeFrancois v. Guidant Corporation</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(2009), 178 A.C.W.S. (3d) 34</w:t>
        </w:r>
      </w:hyperlink>
      <w:r>
        <w:rPr>
          <w:rFonts w:ascii="arial" w:eastAsia="arial" w:hAnsi="arial" w:cs="arial"/>
          <w:color w:val="000000"/>
          <w:sz w:val="20"/>
          <w:lang w:val="en-US" w:eastAsia="en-US" w:bidi="ar-SA"/>
        </w:rPr>
        <w:t xml:space="preserve">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However in </w:t>
      </w:r>
      <w:r>
        <w:rPr>
          <w:rFonts w:ascii="arial" w:eastAsia="arial" w:hAnsi="arial" w:cs="arial"/>
          <w:i/>
          <w:color w:val="000000"/>
          <w:sz w:val="20"/>
          <w:lang w:val="en-US" w:eastAsia="en-US" w:bidi="ar-SA"/>
        </w:rPr>
        <w:t>Chalmers v. AMO Canada Company,</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2009 BCSC 689</w:t>
        </w:r>
      </w:hyperlink>
      <w:r>
        <w:rPr>
          <w:rFonts w:ascii="arial" w:eastAsia="arial" w:hAnsi="arial" w:cs="arial"/>
          <w:color w:val="000000"/>
          <w:sz w:val="20"/>
          <w:lang w:val="en-US" w:eastAsia="en-US" w:bidi="ar-SA"/>
        </w:rPr>
        <w:t>, Butler J. held that where a legal assistant in the plaintiff's firm swore that he was informed by one of the firm's lawyers that the firm had been contacted by six individuals in B.C. who claimed to have used the solution in question and to have been diagnosed with AK (Acanthamoeba Keratitis), that notwithstanding the hearsay nature of that information such evidence was admissible, saying at para.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 other evidence Ms. Chalmers relies on to provide some indication of class size is also admissible. The parties are required under s. 5(5)(c)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to provide the "best information" regarding the number of members in the class. Such evidence will almost always be in the form of hearsay. While the evidence does not prove class size, it is relevant to considering the procedural issues that this Court must consider on a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agree with Butler J. that the evidence does not prove class size however, given that the issue on certification is whether there is an identifiable class of two or more persons, proof of class size is not required. That said, the information respecting potential size may still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any event, and presumably in response to the defendants' challenge to such evidence, plaintiff's counsel presented at the conclusion of the certification hearing an additional affidavit from another potential member of the class. That individual requested anonymity because of the private nature of the allegations. Defence counsel objected to the court receiving the affidavit as new evidence late in the certification process and due to certain inadmissible portions. The affidavit was sealed. The parties agreed that the court was only to consider paras. 1-3 and 8 of the affidavit and their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affidavit states that the individual was prescribed, purchased and ingested Proscar for hair loss and that he took the drug between November 2004 and October 2005. Like Mr. Miller he used a pill splitter to divide the drug into 4 portions. He asserts that he "experienced reduced sexual desire, an inability to maintain erections, and depression all of which persisted after he ceased taking the Proscar with the depression eventually resolving but the sexual dysfunction problems having continued." He states that he is interested in participating in the lawsuit but for privacy reasons prefers not to have his name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Given the nature of the alleged effects of the drugs it is understandable that potential plaintiffs are reluctant to have their names publicized. It would also explain in part the lateness of the filing of the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Chalmers v. AMO Canada Company</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2009 BCSC 689</w:t>
        </w:r>
      </w:hyperlink>
      <w:r>
        <w:rPr>
          <w:rFonts w:ascii="arial" w:eastAsia="arial" w:hAnsi="arial" w:cs="arial"/>
          <w:color w:val="000000"/>
          <w:sz w:val="20"/>
          <w:lang w:val="en-US" w:eastAsia="en-US" w:bidi="ar-SA"/>
        </w:rPr>
        <w:t>, Butler J. considered the introduction of fresh evidence and determined that the test for the admission of fresh evidence on an interlocutory matter is more relaxed (para. 50). He concluded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In exercising my discretion to allow the new evidence, I took into account s. 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It requires parties to file affidavits containing information relevant to certification. Pursuant to s. 5(5)(c) an affiant is required to "provide the person's best information on the number of members in the proposed class." That issue is relevant to both class size and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As a result he permitted the introduction of the fresh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my view similar considerations apply here. The application as well occurred during the course of the certification hearing not after. As a result the affidavit of D.E. will be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admission of the affidavit of D.E., a second proposed member of the class, addresses in part the argument that there was only evidence of one plaintiff. I also order additional affidavits be produced from the solicitors who were contacted by prospective class members in order to address the deficiencies of the staff members'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On the issue of D.E.'s request for anonymity, I was provided with minimal information respecting his circumstances and concerns. Given this is an interlocutory application and the affidavit of D.E. is filed at this time to show only that there is more than one class member, and the fact that he is not a party to the proceeding, his affidavit will remain sealed until further submissions and evidence is provided on justification for the requested anonymity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agree with the defendants that the plaintiff's proposed class definition is overbroad. The class definition must therefore be modified and will read: "All male persons who were prescribed Propecia and/or Proscar for male pattern hair loss in British Columbia prior to November 18,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This definition confines the potential class members to particular factual allegations enabling the court to determine whether any person coming forward is or is not a class member. I reject the defendants' contention that the criterion of being prescribed the drug for male pattern hair loss is in some way subjective or unascertainable, do not see any need to restrict the definition to B.C. residents, and note that the defendants' other concerns are allayed by the removal of the merits based portion of the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am satisfied, based on the aforementioned case law, and subject to the filing of supplementary affidavits from the solicitors contacted by putative class members that there is some basis in fact that there exists over 50 putative class members in B.C., that the modified definition is sufficiently clear so as to allow those potential members to decide whether to join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 the Claims of the Class Members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"Common issues" are defined in s. 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to mean: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"common issues"</w:t>
      </w:r>
      <w:r>
        <w:rPr>
          <w:rFonts w:ascii="arial" w:eastAsia="arial" w:hAnsi="arial" w:cs="arial"/>
          <w:color w:val="000000"/>
          <w:sz w:val="20"/>
          <w:lang w:val="en-US" w:eastAsia="en-US" w:bidi="ar-SA"/>
        </w:rPr>
        <w:t xml:space="preserve"> means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fact, or</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law that arise from common but not necessarily identical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approach to a determination of common issues was described in </w:t>
      </w:r>
      <w:r>
        <w:rPr>
          <w:rFonts w:ascii="arial" w:eastAsia="arial" w:hAnsi="arial" w:cs="arial"/>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(1997), 148 D.L.R. (4th) 158</w:t>
        </w:r>
      </w:hyperlink>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36 B.C.L.R. (3d) 350</w:t>
        </w:r>
      </w:hyperlink>
      <w:r>
        <w:rPr>
          <w:rFonts w:ascii="arial" w:eastAsia="arial" w:hAnsi="arial" w:cs="arial"/>
          <w:color w:val="000000"/>
          <w:sz w:val="20"/>
          <w:lang w:val="en-US" w:eastAsia="en-US" w:bidi="ar-SA"/>
        </w:rPr>
        <w:t xml:space="preserve"> (S.C.) as follows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 A common issue is sufficient if it is an issue of fact or law common to all claims, and that its resolution in favour of the plaintiffs will advance the interests of the class, leaving individual issues to be litigated later in separate trials, if necessary: </w:t>
      </w:r>
      <w:r>
        <w:rPr>
          <w:rFonts w:ascii="arial" w:eastAsia="arial" w:hAnsi="arial" w:cs="arial"/>
          <w:i/>
          <w:color w:val="000000"/>
          <w:sz w:val="20"/>
          <w:lang w:val="en-US" w:eastAsia="en-US" w:bidi="ar-SA"/>
        </w:rPr>
        <w:t>Harrington v. Dow Corning Corp.</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(1996), 22 B.C.L.R. (3d) 97</w:t>
        </w:r>
      </w:hyperlink>
      <w:r>
        <w:rPr>
          <w:rFonts w:ascii="arial" w:eastAsia="arial" w:hAnsi="arial" w:cs="arial"/>
          <w:color w:val="000000"/>
          <w:sz w:val="20"/>
          <w:lang w:val="en-US" w:eastAsia="en-US" w:bidi="ar-SA"/>
        </w:rPr>
        <w:t xml:space="preserve"> at 015, 110 (S.C.). As well the court should not attempt to weigh the ultimate merits of the proposed common questions, but should merely ascertain whether they raise triable issues: </w:t>
      </w:r>
      <w:r>
        <w:rPr>
          <w:rFonts w:ascii="arial" w:eastAsia="arial" w:hAnsi="arial" w:cs="arial"/>
          <w:i/>
          <w:color w:val="000000"/>
          <w:sz w:val="20"/>
          <w:lang w:val="en-US" w:eastAsia="en-US" w:bidi="ar-SA"/>
        </w:rPr>
        <w:t>Campbell v. Flexwatt Corp.</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(1996), 25 B.C.L.R. (3d) 329</w:t>
        </w:r>
      </w:hyperlink>
      <w:r>
        <w:rPr>
          <w:rFonts w:ascii="arial" w:eastAsia="arial" w:hAnsi="arial" w:cs="arial"/>
          <w:color w:val="000000"/>
          <w:sz w:val="20"/>
          <w:lang w:val="en-US" w:eastAsia="en-US" w:bidi="ar-SA"/>
        </w:rPr>
        <w:t xml:space="preserve"> at 343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Also as noted by Cumming J.A. in </w:t>
      </w:r>
      <w:r>
        <w:rPr>
          <w:rFonts w:ascii="arial" w:eastAsia="arial" w:hAnsi="arial" w:cs="arial"/>
          <w:i/>
          <w:color w:val="000000"/>
          <w:sz w:val="20"/>
          <w:lang w:val="en-US" w:eastAsia="en-US" w:bidi="ar-SA"/>
        </w:rPr>
        <w:t>Campbell v. Flexwatt Corp.</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[1998] 6 W.W.R. 275</w:t>
        </w:r>
      </w:hyperlink>
      <w:r>
        <w:rPr>
          <w:rFonts w:ascii="arial" w:eastAsia="arial" w:hAnsi="arial" w:cs="arial"/>
          <w:color w:val="000000"/>
          <w:sz w:val="20"/>
          <w:lang w:val="en-US" w:eastAsia="en-US" w:bidi="ar-SA"/>
        </w:rPr>
        <w:t xml:space="preserve"> (C.A.)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When examining the existence of common issues it is important to understand that the common issues do not have to be issues which are determinative of liability; they need only be issues of fact or law that move the litigation forward. The resolution of a common issue does not have to be, in and of itself, sufficient to support relief. To require every common issue to be determinative of liability for every plaintiff and every defendant would make class proceedings with more than one defendant virtually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When certifying the action, the court has the discretion to redefine the common issues proposed by the representative plaintiff. Goudge J.A. in </w:t>
      </w:r>
      <w:r>
        <w:rPr>
          <w:rFonts w:ascii="arial" w:eastAsia="arial" w:hAnsi="arial" w:cs="arial"/>
          <w:i/>
          <w:color w:val="000000"/>
          <w:sz w:val="20"/>
          <w:lang w:val="en-US" w:eastAsia="en-US" w:bidi="ar-SA"/>
        </w:rPr>
        <w:t>Cloud,</w:t>
      </w:r>
      <w:r>
        <w:rPr>
          <w:rFonts w:ascii="arial" w:eastAsia="arial" w:hAnsi="arial" w:cs="arial"/>
          <w:color w:val="000000"/>
          <w:sz w:val="20"/>
          <w:lang w:val="en-US" w:eastAsia="en-US" w:bidi="ar-SA"/>
        </w:rPr>
        <w:t xml:space="preserve"> stated: "[a]s the class action proceeds, the judge managing it may well determine that the common issues should be restated with greater particularity in light of his or her experience with the class proceeding. To permit that process to unfold with flexibility, at this stage, I would state the common issues in general terms, ..."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what follows, I will list the plaintiff's proposed common issues and the nature of the defendant's argument respecting each issue followed by any necessary redefinition.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Can ingesting Propecia or Proscar cause side effects that continue after ceasing to take Propecia or Proscar?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defendant argues that this issue is "hopelessly overbroad and extends beyond the scope of any reasonable cause of action." Whether the drug can cause side effects that persist after discontinuation of use is said not to be a single question but a myriad of questions susceptible to different answers in relation to each possible side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defendants further submit that the plaintiff has not established any evidentiary basis for this common issue, specifically an evidentiary basis for the claim that Proscar or Propecia can cause persistent sexual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defendants also object to certain portions of the plaintiff's evidence on the basis that it is hearsay or speculative and lacking any factual foundation. They submit the evidence must meet the usual requirements for admissibility. (</w:t>
      </w:r>
      <w:r>
        <w:rPr>
          <w:rFonts w:ascii="arial" w:eastAsia="arial" w:hAnsi="arial" w:cs="arial"/>
          <w:i/>
          <w:color w:val="000000"/>
          <w:sz w:val="20"/>
          <w:lang w:val="en-US" w:eastAsia="en-US" w:bidi="ar-SA"/>
        </w:rPr>
        <w:t>Martin</w:t>
      </w:r>
      <w:r>
        <w:rPr>
          <w:rFonts w:ascii="arial" w:eastAsia="arial" w:hAnsi="arial" w:cs="arial"/>
          <w:color w:val="000000"/>
          <w:sz w:val="20"/>
          <w:lang w:val="en-US" w:eastAsia="en-US" w:bidi="ar-SA"/>
        </w:rPr>
        <w:t xml:space="preserve"> at para. 25). Prior to considering the evidentiary basis for a common issue I turn first to the admissibility of the evidence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burden is on the plaintiff to provide admissible evidence supporting the application for certification. In </w:t>
      </w:r>
      <w:r>
        <w:rPr>
          <w:rFonts w:ascii="arial" w:eastAsia="arial" w:hAnsi="arial" w:cs="arial"/>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 the British Columbia Court of Appeal stated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 Despite the robust approach taken by Canadian courts to class actions, I know of no authority that would support the admissibility, for purposes of a certification hearing, of information that does not meet the usual criteria for the admissibility of evidence. A relaxation of the usual rules would not seem consonant with the policy implicit in the Act that some judicial scrutiny of certification applications is desirable, presumably in view of the special features of class actions and the potential for abuse by both plaintiffs and defendants: see the discussion at paras. 31-52 of </w:t>
      </w:r>
      <w:r>
        <w:rPr>
          <w:rFonts w:ascii="arial" w:eastAsia="arial" w:hAnsi="arial" w:cs="arial"/>
          <w:b/>
          <w:i/>
          <w:color w:val="000000"/>
          <w:sz w:val="20"/>
          <w:lang w:val="en-US" w:eastAsia="en-US" w:bidi="ar-SA"/>
        </w:rPr>
        <w:t>Epstein v. First Marathon Inc.</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(2000) 41 C.P.C. (4th) 159</w:t>
        </w:r>
      </w:hyperlink>
      <w:r>
        <w:rPr>
          <w:rFonts w:ascii="arial" w:eastAsia="arial" w:hAnsi="arial" w:cs="arial"/>
          <w:color w:val="000000"/>
          <w:sz w:val="20"/>
          <w:lang w:val="en-US" w:eastAsia="en-US" w:bidi="ar-SA"/>
        </w:rPr>
        <w:t xml:space="preserve"> (Ont. Sup. Ct.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As a result an affidavit filed in support of a certification application must comply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Rule 22-2(12-13). The applicable provisions read as follows:</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(13), an affidavit must state only what a person swearing or affirming the affidavit would be permitted to state in evidence at a trial.</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affidavit may contain statements as to information and belief of the person swearing or affirming the affidavit, if</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source of the information and belief is given, and</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 is made</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an application that does not seek a final order or,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leave of the court under Rule 12-5 (71) (a) or 22-1 (4) (e).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defendants firstly object to Mr. Miller's affidavit #1 with respect to paras. 6, 8 and 9 which state:</w:t>
      </w:r>
      <w:r>
        <w:rPr>
          <w:rFonts w:ascii="arial" w:eastAsia="arial" w:hAnsi="arial" w:cs="arial"/>
          <w:sz w:val="20"/>
          <w:lang w:val="en-US" w:eastAsia="en-US" w:bidi="ar-SA"/>
        </w:rPr>
        <w:cr/>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I believed that these changes to my behaviour were side effects caused by the drug ...</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side effects that I was experiencing ...</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drug has had a significant impact on the quality of my day-to-day life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defendants submit that Mr. Miller's statement that he believes his sexual dysfunction is due to Proscar is inadmissible opinion evidence that he is not qualified to give. As a result they submit there is no admissible evidence to establish that Proscar is the cause of the plaintiff's sexual dysfunction. They note that the plaintiff has not provided an opinion from any treating physician or qualified medical expert respecting the probable cause of </w:t>
      </w:r>
      <w:r>
        <w:rPr>
          <w:rFonts w:ascii="arial" w:eastAsia="arial" w:hAnsi="arial" w:cs="arial"/>
          <w:i/>
          <w:color w:val="000000"/>
          <w:sz w:val="20"/>
          <w:lang w:val="en-US" w:eastAsia="en-US" w:bidi="ar-SA"/>
        </w:rPr>
        <w:t>his</w:t>
      </w:r>
      <w:r>
        <w:rPr>
          <w:rFonts w:ascii="arial" w:eastAsia="arial" w:hAnsi="arial" w:cs="arial"/>
          <w:color w:val="000000"/>
          <w:sz w:val="20"/>
          <w:lang w:val="en-US" w:eastAsia="en-US" w:bidi="ar-SA"/>
        </w:rPr>
        <w:t xml:space="preserve"> sexual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accept that the statements of Mr. Miller above in so far as they are opinion evidence are not admissible. What Mr. Miller's evidence does establish is that he suffers from persistent sexual dysfunction and that it arose after he commenced using the Proscar. It does not establish causation. However given the following expert evidence, I do find it is a sufficient basis in fact for the purposes of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only expert evidence lead by the plaintiff on the issue of causation is that of Dr. Wright. Dr. Wright is not a treating physician nor does he offer an opinion as to the cause of the plaintiffs claimed persistent sexual dysfunction. He does however state that sexual dysfunction due to the drugs is biologically 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defendants also challenge Dr. Wright's July 8, 2011 affidavit at paras. 12 and 20 which state:</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Long-term adverse effects of finasteride remain mostly unknown as long-term trials to assess these effects have not been conducted.</w:t>
      </w:r>
    </w:p>
    <w:p>
      <w:pPr>
        <w:numPr>
          <w:numId w:val="3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for non-reversibility of the sexual adverse effects of finasteride with long-term therapy should have been a concern for Merck &amp; Co. Inc. as they knew that long-term controlled trials of finasteride had not been conducted and they knew that permanent irreversible adverse effects had been well documented for other drugs.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basis for their objection to these paragraphs is that they are speculative, argumentative and contain statements of opinion without sufficient foundation. Similar objections are made to other portions of Dr. Wright's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my opinion these criticisms are well founded. For the purposes of this application I have disregarded such speculative, argumentative and unsupported statements of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They also object to affidavit #2 of Dr. Wright at Exhibit A page 2 of his rebuttal report in which he states that given the mechanism of action of finasteride, it is biologically plausible that it could cause sexual dysfunction in men taking the drug.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objection is that he only states that a connection is biologically plausible but does not give an opinion that the evidence shows that the drug does cause persistent sexual dysfunction in some men. While that may be true that is not the issue the court must address on this application. It is an issue for trial. On a certification application the plaintiff need only show some evidence. Indeed, it is reasonable to infer that much of the relevant evidence is in the hands of the defendants and until disclosed the plaintiff is left with a limited ability to show greater evidence. In my view the evidence of Dr. Wright that a connection is biologically plausible while unproven is some evidence. It is also an issue the resolution of which will advance the litigation for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defendants also object to Exhibit A page 3 where Dr. Wright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Goldenberg does not provide any rationale to refute the plausible biological mechanism of action linking persistent sexual dysfunction to the use of finasteride".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Again however, this goes to the merits and is a matter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Finally, they submit that Dr. Wright has referred to clinical trials that have shown that "both Propecia and Proscar caused decreased libido and erectile dysfunction in some men taking the drug" but that the articles and studies affixed to his report are not properly admissible as evidence of their contents and cannot be relied on by the court. They note as well that one of the studies of Irwig et al states that it "does not prove that finasteride caused persistent sexual side effect". They rely on Dr. Goldenberg who opines "there is no evidence to suggest a causal relationship between 5-ARIs [finasteride] and persistent/permanent sexual dysfunction in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defendants' request that the court prefer the evidence of the defendants' experts in this regard and submit that it is appropriate for the court to weigh competing scientific and medical evidence when determining if the certification requirements are met (</w:t>
      </w:r>
      <w:r>
        <w:rPr>
          <w:rFonts w:ascii="arial" w:eastAsia="arial" w:hAnsi="arial" w:cs="arial"/>
          <w:i/>
          <w:color w:val="000000"/>
          <w:sz w:val="20"/>
          <w:lang w:val="en-US" w:eastAsia="en-US" w:bidi="ar-SA"/>
        </w:rPr>
        <w:t>Dumoulin v. Ontario</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(2005), 19 C.P.C. (6th) 234</w:t>
        </w:r>
      </w:hyperlink>
      <w:r>
        <w:rPr>
          <w:rFonts w:ascii="arial" w:eastAsia="arial" w:hAnsi="arial" w:cs="arial"/>
          <w:color w:val="000000"/>
          <w:sz w:val="20"/>
          <w:lang w:val="en-US" w:eastAsia="en-US" w:bidi="ar-SA"/>
        </w:rPr>
        <w:t xml:space="preserve"> (Ont. S.C.J.),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They also submit that the plaintiff has failed to establish that there is a plausible methodology for proving causation on common evidence at trial. Indeed in their submission the plaintiff has not even set out a theory as to how that could be accomplished.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support they rely on </w:t>
      </w:r>
      <w:r>
        <w:rPr>
          <w:rFonts w:ascii="arial" w:eastAsia="arial" w:hAnsi="arial" w:cs="arial"/>
          <w:i/>
          <w:color w:val="000000"/>
          <w:sz w:val="20"/>
          <w:lang w:val="en-US" w:eastAsia="en-US" w:bidi="ar-SA"/>
        </w:rPr>
        <w:t>Pro-Sys Consultants Ltd. v. Infineon Technologies AG,</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2009 BCCA 503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Pro-Sys Consultants Ltd.,</w:t>
      </w:r>
      <w:r>
        <w:rPr>
          <w:rFonts w:ascii="arial" w:eastAsia="arial" w:hAnsi="arial" w:cs="arial"/>
          <w:color w:val="000000"/>
          <w:sz w:val="20"/>
          <w:lang w:val="en-US" w:eastAsia="en-US" w:bidi="ar-SA"/>
        </w:rPr>
        <w:t xml:space="preserve"> the plaintiff sued electronics manufacturers for unlawful overcharges. The chambers judge found that the aggregate monetary claim could not be tried as a common issue as a methodology was not shown to be capable of proving that the wrongful conduct caused a wrongful gain arising from overcharging of purchasers. The British Columbia Court of Appeal however allowed the appeal and said this at para.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The appellant was required to show only a credible or plausible methodology. It was common ground that statistical regression analysis is in theory capable of providing reasonable estimates of gain or aggregate harm and the extent of pass-through in price-fixing cases. Ms. Sanderson gave evidence that aggregate harm had been estimated by two experts in the U.S. litigation. As well, it appears from the U.S. plea agreements that the Department of Justice was prepared to prove that the agreed fines were justified as representing twice the gross gain or the gross loss resulting from the price-fixing conspiracy. The dispute here is over whether total gain or loss can be determined as a practical matter on the particular facts of this case. Those facts have not yet been fully developed and it was therefore premature of the chambers judge to reject Dr. Ross' opinion. The close examination to which he subjected it should have been left for the trial judge, whose task it will be to evaluate the conflicting expert opinions and to decide what weight to give them. In my view, Dr. Ross' evidence met the low threshold required to establish for purposes of certification that gain and its counterpart, damage, can be shown on common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my view para. 68 must be read in the context of the judgment in </w:t>
      </w:r>
      <w:r>
        <w:rPr>
          <w:rFonts w:ascii="arial" w:eastAsia="arial" w:hAnsi="arial" w:cs="arial"/>
          <w:i/>
          <w:color w:val="000000"/>
          <w:sz w:val="20"/>
          <w:lang w:val="en-US" w:eastAsia="en-US" w:bidi="ar-SA"/>
        </w:rPr>
        <w:t>Pro-Sys Consultants Ltd.,</w:t>
      </w:r>
      <w:r>
        <w:rPr>
          <w:rFonts w:ascii="arial" w:eastAsia="arial" w:hAnsi="arial" w:cs="arial"/>
          <w:color w:val="000000"/>
          <w:sz w:val="20"/>
          <w:lang w:val="en-US" w:eastAsia="en-US" w:bidi="ar-SA"/>
        </w:rPr>
        <w:t xml:space="preserve"> as a whole. It is clear that the court was addressing the issue of some evidence or basis in fact and that expert opinion evidence adduced at a certification hearing is not subjected to the scrutiny it would be at trial (paras. 63-66). As well in </w:t>
      </w:r>
      <w:r>
        <w:rPr>
          <w:rFonts w:ascii="arial" w:eastAsia="arial" w:hAnsi="arial" w:cs="arial"/>
          <w:i/>
          <w:color w:val="000000"/>
          <w:sz w:val="20"/>
          <w:lang w:val="en-US" w:eastAsia="en-US" w:bidi="ar-SA"/>
        </w:rPr>
        <w:t>Pro-Sys Consultants Ltd.,</w:t>
      </w:r>
      <w:r>
        <w:rPr>
          <w:rFonts w:ascii="arial" w:eastAsia="arial" w:hAnsi="arial" w:cs="arial"/>
          <w:color w:val="000000"/>
          <w:sz w:val="20"/>
          <w:lang w:val="en-US" w:eastAsia="en-US" w:bidi="ar-SA"/>
        </w:rPr>
        <w:t xml:space="preserve"> the concern was whether a specific statistical approach could be successfully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do not accept that the reference to a "credible or plausible methodology" necessarily requires that the plaintiff as suggested by the defendants establish a plausible methodology for establishing causation. That is methodology in the sense of a defined plan. Rather, all that is required is there is some evidence that there is a plausible claim that is capable of being pursued and in this instance that is found in the opinion of Dr. Wright that it is "biologically plausible" that sexual side effects would occur and that some would persist. While not proof of causation the complaints of persistent side effects and the resulting change in the warnings provide relevant circumstantial evidence in support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Given the drugs were invented by the defendants the pursuit of the claim will necessarily involve a full investigation including oral and documentary discovery. It is only at that stage that a determination of how the claim can be proven and the method for doing so can be ascertained. Then at trial, competing expert evidence will be properly weighed and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A response to their objection to the admissibility of the referenced reports is found in </w:t>
      </w:r>
      <w:r>
        <w:rPr>
          <w:rFonts w:ascii="arial" w:eastAsia="arial" w:hAnsi="arial" w:cs="arial"/>
          <w:i/>
          <w:color w:val="000000"/>
          <w:sz w:val="20"/>
          <w:lang w:val="en-US" w:eastAsia="en-US" w:bidi="ar-SA"/>
        </w:rPr>
        <w:t>Jones v. Zimmer GMBH,</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2013 BCCA 21</w:t>
        </w:r>
      </w:hyperlink>
      <w:r>
        <w:rPr>
          <w:rFonts w:ascii="arial" w:eastAsia="arial" w:hAnsi="arial" w:cs="arial"/>
          <w:color w:val="000000"/>
          <w:sz w:val="20"/>
          <w:lang w:val="en-US" w:eastAsia="en-US" w:bidi="ar-SA"/>
        </w:rPr>
        <w:t>, where the court said this at paras. 45-48: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The appellants' second evidentiary objection is that the certification judge erred in admitting and relying on the opinion of Dr. Mahomed because it was based on hearsay statements taken from the article by Long et al and was therefore inadmissible.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appellants rely for this contention on </w:t>
      </w:r>
      <w:r>
        <w:rPr>
          <w:rFonts w:ascii="arial" w:eastAsia="arial" w:hAnsi="arial" w:cs="arial"/>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46 B.C.L.R. (4th) 234</w:t>
        </w:r>
      </w:hyperlink>
      <w:r>
        <w:rPr>
          <w:rFonts w:ascii="arial" w:eastAsia="arial" w:hAnsi="arial" w:cs="arial"/>
          <w:color w:val="000000"/>
          <w:sz w:val="20"/>
          <w:lang w:val="en-US" w:eastAsia="en-US" w:bidi="ar-SA"/>
        </w:rPr>
        <w:t>. Mr. Ernewein claimed that certain vehicles manufactured by the defendant had been negligently designed such that they created a risk of harm to consumers in the event of side-impact collisions. In support of his application to certify the action as a class proceeding, Mr. Ernewein filed an affidavit of a lawyer to which was exhibited a report prepared by an agency of the U.S. government following an investigation of the safety of the vehicles in side-impact collisions. The report supported Mr. Ernewein's case and the certification judge relied on it in certifying the action. However, the report was offered in evidence as proof of its contents without any authentication or any attempt to prove by admissible evidence that the statements in the report were true or the conclusions were reliable. This Court observed on appeal that information that does not meet the usual criteria for admissibility of evidence is not admissible for purposes of a certification hearing (at para. 31). Thus, the report was adjudged hearsay and inadmissible as evidence of the truth of its contents.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In this case, however, the evidence on which the respondents relied was the expert opinion of Dr. Mahomed. The Long article merely provided one of the bases of Dr. Mahomed's opinion. It was not offered as proof in itself of the truth of its contents. Accordingly, </w:t>
      </w:r>
      <w:r>
        <w:rPr>
          <w:rFonts w:ascii="arial" w:eastAsia="arial" w:hAnsi="arial" w:cs="arial"/>
          <w:i/>
          <w:color w:val="000000"/>
          <w:sz w:val="20"/>
          <w:lang w:val="en-US" w:eastAsia="en-US" w:bidi="ar-SA"/>
        </w:rPr>
        <w:t>Ernewein</w:t>
      </w:r>
      <w:r>
        <w:rPr>
          <w:rFonts w:ascii="arial" w:eastAsia="arial" w:hAnsi="arial" w:cs="arial"/>
          <w:color w:val="000000"/>
          <w:sz w:val="20"/>
          <w:lang w:val="en-US" w:eastAsia="en-US" w:bidi="ar-SA"/>
        </w:rPr>
        <w:t xml:space="preserve"> is materially different on its facts and is of no assistance to the appellants.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The criteria for admissibility of expert opinion evidence are that the expert must be properly qualified, the opinion must be relevant to a fact in issue, the opinion must be necessary to assist the trier of fact to draw a correct inference when the subject matter is likely outside the knowledge and experience of the trier of fact, and the opinion must not otherwise be excluded by an exclusionary rule of evidence: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at 20-25. Dr. Mahomed's opinion satisfied these criteria and was therefore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defendants further submit that even if the common issue is restricted to persistent sexual dysfunction and found to be a common issue, such a finding as to "general causation" will not advance the litigation. Is that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They submit "[a] finding that Propecia (R) or Proscar (R) </w:t>
      </w:r>
      <w:r>
        <w:rPr>
          <w:rFonts w:ascii="arial" w:eastAsia="arial" w:hAnsi="arial" w:cs="arial"/>
          <w:i/>
          <w:color w:val="000000"/>
          <w:sz w:val="20"/>
          <w:lang w:val="en-US" w:eastAsia="en-US" w:bidi="ar-SA"/>
        </w:rPr>
        <w:t>can</w:t>
      </w:r>
      <w:r>
        <w:rPr>
          <w:rFonts w:ascii="arial" w:eastAsia="arial" w:hAnsi="arial" w:cs="arial"/>
          <w:color w:val="000000"/>
          <w:sz w:val="20"/>
          <w:lang w:val="en-US" w:eastAsia="en-US" w:bidi="ar-SA"/>
        </w:rPr>
        <w:t xml:space="preserve"> cause persistent sexual dysfunction in some men does little to establish that it </w:t>
      </w:r>
      <w:r>
        <w:rPr>
          <w:rFonts w:ascii="arial" w:eastAsia="arial" w:hAnsi="arial" w:cs="arial"/>
          <w:i/>
          <w:color w:val="000000"/>
          <w:sz w:val="20"/>
          <w:lang w:val="en-US" w:eastAsia="en-US" w:bidi="ar-SA"/>
        </w:rPr>
        <w:t>did</w:t>
      </w:r>
      <w:r>
        <w:rPr>
          <w:rFonts w:ascii="arial" w:eastAsia="arial" w:hAnsi="arial" w:cs="arial"/>
          <w:color w:val="000000"/>
          <w:sz w:val="20"/>
          <w:lang w:val="en-US" w:eastAsia="en-US" w:bidi="ar-SA"/>
        </w:rPr>
        <w:t xml:space="preserve"> in any particular class member.", given "[p]ersistent sexual dysfunction can occur for many reasons,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As a result they submit that "even if the plaintiff were able to show at a common issues trial that use of Propecia (R) or Proscar (R) "can" at a general level cause persistent sexual dysfunction ... the most that theoretically would be established at the level of general causation is that treatment with Propecia (R) and/or Proscar (R) </w:t>
      </w:r>
      <w:r>
        <w:rPr>
          <w:rFonts w:ascii="arial" w:eastAsia="arial" w:hAnsi="arial" w:cs="arial"/>
          <w:i/>
          <w:color w:val="000000"/>
          <w:sz w:val="20"/>
          <w:lang w:val="en-US" w:eastAsia="en-US" w:bidi="ar-SA"/>
        </w:rPr>
        <w:t>increases</w:t>
      </w:r>
      <w:r>
        <w:rPr>
          <w:rFonts w:ascii="arial" w:eastAsia="arial" w:hAnsi="arial" w:cs="arial"/>
          <w:color w:val="000000"/>
          <w:sz w:val="20"/>
          <w:lang w:val="en-US" w:eastAsia="en-US" w:bidi="ar-SA"/>
        </w:rPr>
        <w:t xml:space="preserve"> the risk of persistent sexual dysfunction in men, above the background risk of persistent sexual dysfunction in men who do not ingest Propecia (R) and/or Proscar (R)." As a result they submit the litigation would not be advanced. They further argue that each class member would have to show on a balance of probabilities that his persistent sexual dysfunction was due to the medication and not another cause and hence the finding on general causation would be of no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answer to this submission is found in </w:t>
      </w:r>
      <w:r>
        <w:rPr>
          <w:rFonts w:ascii="arial" w:eastAsia="arial" w:hAnsi="arial" w:cs="arial"/>
          <w:i/>
          <w:color w:val="000000"/>
          <w:sz w:val="20"/>
          <w:lang w:val="en-US" w:eastAsia="en-US" w:bidi="ar-SA"/>
        </w:rPr>
        <w:t>Heward</w:t>
      </w:r>
      <w:r>
        <w:rPr>
          <w:rFonts w:ascii="arial" w:eastAsia="arial" w:hAnsi="arial" w:cs="arial"/>
          <w:color w:val="000000"/>
          <w:sz w:val="20"/>
          <w:lang w:val="en-US" w:eastAsia="en-US" w:bidi="ar-SA"/>
        </w:rPr>
        <w:t xml:space="preserve"> where the proposed common issue #1 was: "Can Zyprexa cause diabetes and/or other metabolic disturbances as well as secondary injuries flowing therefrom?" Cullity J.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The word "other" should, I believe, be replaced with "related" to conform with the pleading but otherwise this issue is acceptable. Its existence as an issue is amply supported by the conflicting expert evidence in the record. In effect, it asks whether the use of Zyprexa carries with it a risk of harmful side-effects of specific kinds. The question is fundamental to the claims of all the class members. The existence and nature of any such consequences can be identified at trial largely on the basis of expert evidence. As Maclnnes J. stated in </w:t>
      </w:r>
      <w:r>
        <w:rPr>
          <w:rFonts w:ascii="arial" w:eastAsia="arial" w:hAnsi="arial" w:cs="arial"/>
          <w:i/>
          <w:color w:val="000000"/>
          <w:sz w:val="20"/>
          <w:lang w:val="en-US" w:eastAsia="en-US" w:bidi="ar-SA"/>
        </w:rPr>
        <w:t>Walls v. Bayer Inc.,</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[2005] M.J. No. 4</w:t>
        </w:r>
      </w:hyperlink>
      <w:r>
        <w:rPr>
          <w:rFonts w:ascii="arial" w:eastAsia="arial" w:hAnsi="arial" w:cs="arial"/>
          <w:color w:val="000000"/>
          <w:sz w:val="20"/>
          <w:lang w:val="en-US" w:eastAsia="en-US" w:bidi="ar-SA"/>
        </w:rPr>
        <w:t xml:space="preserve"> (Man. Q.B.) (at para. 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factual enquiry as to the nature of the problems caused by an allegedly defective drug is an appropriate common issue ... This issue is one which can be determined at a common issues hearing and which will turn essentially on the evidence of expert witnesses. It will not require the evidence of plaintiffs or members of the class. As well, a determination of this issue will advance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The question whether the class members experienced such consequences will have to be determined individually but this does not detract from the commonality of the issues formulated. The significance of the individual issues in relation to the common issues is most appropriately determined after all the issues on which the defendants' liability will depend have been identified and placed in one category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am satisfied that the plaintiff has provided sufficient evidence to establish a rational relationship between the proposed class definition in the sense that the response to the question raised by this common issue can be extrapolated to each potential class member to at least some extent. It is an issue that is relevant to the claims of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Accordingly, this common issue assists in avoiding duplication of fact-finding or legal analysis and moves the litigation forward. In my view establishing that treatment with Propecia and/or Proscar increases the risk of persistent sexual dysfunction in men would resolve a fundamental aspect of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do however agree with the defendants that the question as posed by the plaintiff is susceptible to different answers. This issue must be narrowed to read: "Can ingesting Propecia or Proscar cause sexual dysfunction which persists after ceasing to take Propecia or Proscar?".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Did any or all of the defendants owe a duty of care to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defendant argues that this question has previously been answered in the affirmative and is essentially trite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Although a duty of care has been found to exist in analogous circumstances in other proceedings, it does not preclude certification of a duty of care issue (</w:t>
      </w:r>
      <w:r>
        <w:rPr>
          <w:rFonts w:ascii="arial" w:eastAsia="arial" w:hAnsi="arial" w:cs="arial"/>
          <w:i/>
          <w:color w:val="000000"/>
          <w:sz w:val="20"/>
          <w:lang w:val="en-US" w:eastAsia="en-US" w:bidi="ar-SA"/>
        </w:rPr>
        <w:t>Endean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However, given that this issue is conceded by the defendants and is not under appeal in any other court, the resolution of this issue will not contribute to the objectives of efficiency and behaviour modification sought by class action litigation. As noted in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2011 BCSC 1057</w:t>
        </w:r>
      </w:hyperlink>
      <w:r>
        <w:rPr>
          <w:rFonts w:ascii="arial" w:eastAsia="arial" w:hAnsi="arial" w:cs="arial"/>
          <w:color w:val="000000"/>
          <w:sz w:val="20"/>
          <w:lang w:val="en-US" w:eastAsia="en-US" w:bidi="ar-SA"/>
        </w:rPr>
        <w:t xml:space="preserve"> at para. 50, "[t]his question is one of law. It is unnecessary to certify this question as a common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What was the nature of the duty of care?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Did all or any of the defendants breach this duty and if so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defendants argue that the duty of care and its alleged breach are not distinct but interdependent, that they are not an essential ingredient of each class member's claim and that the proposed common issue is not sufficiently narrow in its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defendants state that an alleged breach of the duty to warn of drug-related adverse reactions related to persistent sexual dysfunction is the only breach of the duty of care that is rationally connected to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defendants also argue that the plaintiff has not adduced any evidence to support a claim that Merck knew or ought to have known of a causal link between the drug and sexual dysfunction prior to 2008. They state that the reports of adverse events are not sufficient evidence to establish a causal link and cannot be deemed evidence of Merck's knowledge, as other causes are "just as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Again, such evidence in all probability, if it exists, is in the hands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As I canvassed earlier in these reasons, on an application for certification the plaintiff need only show evidence of 'some basis in fact' for each element of certification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plaintiff's evidence regarding the demand by other jurisdictions that the defendant provide a more detailed and comprehensive adverse event report concerning persistent sexual dysfunction in men shows some basis in fact that the defendants knew or ought to have known of the potential causal link between persistent sexual dysfunction and the use of Propecia and Proscar prior to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However, I agree with the defendants that the full breadth of the scope of the defendants' duty of care is not in issue. The only breach of the duty of care that is rationally connected to the plaintiff's claim is a breach of the duty to warn of drug-related adverse reactions related to persistent sexual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defendants' final argument is that the scope of the duty to warn is too individualized to be a common issue. The defendants note that since the drugs were approved in the 1990s, the product monographs and package inserts have changed more than once. They also say that sometimes the role of learned intermediaries, or even the particular knowledge of the plaintiff, will absolve liability. Because of this, the issue of breach of a duty to warn is very case specific and is therefore not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do not accept this argument. With respect to the role of learned intermediaries or the knowledge of a particular plaintiff, I note that these are issues with respect to reliance, not the defendants' overarching duty to warn and the standard against which it should be measured. Given the size of the defendants' potential market, the information the defendants' provide to the public and to doctors is standardized, not individualized. A breach of a duty to warn can be determined on the defendants' conduct alone, and can be applied commonly to class members. Reliance by any particular class member will be an individual issue. As for the varying monographs and package inserts, over the years, and between the two different products, these are still common issues, though a determination will need to be made with respect to each particular version of theme.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turn now to the claim for punitive damages, a claim that raises two common issues that are best addressed together.</w:t>
      </w:r>
      <w:r>
        <w:rPr>
          <w:rFonts w:ascii="arial" w:eastAsia="arial" w:hAnsi="arial" w:cs="arial"/>
          <w:sz w:val="20"/>
          <w:lang w:val="en-US" w:eastAsia="en-US" w:bidi="ar-SA"/>
        </w:rPr>
        <w:cr/>
      </w:r>
    </w:p>
    <w:p>
      <w:pPr>
        <w:numPr>
          <w:numId w:val="3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If the defendants, or any of them, breached a duty of care owed to class members, were the defendants, or any of them guilty of conduct that justifies punishment?</w:t>
      </w:r>
    </w:p>
    <w:p>
      <w:pPr>
        <w:numPr>
          <w:numId w:val="3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If the answer to common issue 5 is "yes" and if the aggregate compensatory damages awarded to class members does not achieve the objectives of retribution, deterrence and denunciation in respect of such conduct, what amount of punitive damages is awarded against the defendants, or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plaintiff advances this claim on the basis that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against the group as a whole as opposed to conduct directed specifically to any one plaintiff. As such it focuses on whether the defendants' conduct was morally culpable. The plaintiff pleads that the defendants acted with reckless disregard and chose to value profits over public safety by ignoring labelling changes outside of Canada and by continuing to market the drugs in Canada without adequate warnings.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defendants' principle argument against punitive damages as a common issue is that these issues only arise if the defendant is first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While that is correct, should that finding be made the issue of punitive damages will then have to be addressed. Where it can be addressed as a common issue when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determined a higher degree of efficiency will be achieved instead of leaving the issue outstanding for subsequent adjudication.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Chalmers v. AMO Canada Company</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2010 BCCA 560</w:t>
        </w:r>
      </w:hyperlink>
      <w:r>
        <w:rPr>
          <w:rFonts w:ascii="arial" w:eastAsia="arial" w:hAnsi="arial" w:cs="arial"/>
          <w:color w:val="000000"/>
          <w:sz w:val="20"/>
          <w:lang w:val="en-US" w:eastAsia="en-US" w:bidi="ar-SA"/>
        </w:rPr>
        <w:t>, the court held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Although the ultimate determination of the entitlement and quantification of punitive damages must be deferred until the conclusion of the individual trials, it does not follow, in my opinion, that no aspect of the claim of punitive damages should be certified as a common issue. It is my view that the question of whether the defendants' conduct was sufficiently reprehensible or high-handed to warrant punishment is capable of being determined as a common issue at the trial in this proceeding where the other common issues will be determined. ... The ultimate decision of whether punitive damages should be awarded, and the quantification of them, can be tried as a common issue following the completion of the individual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comments of the British Columbia Court of Appeal are applicable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am satisfied, based on based on the facts of this case and the aforementioned case law, that the plaintiff's claim for punitive damages should be certified as a common issue on the terms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 now turn to the common issues proposed that relate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claim.</w:t>
      </w:r>
      <w:r>
        <w:rPr>
          <w:rFonts w:ascii="arial" w:eastAsia="arial" w:hAnsi="arial" w:cs="arial"/>
          <w:sz w:val="20"/>
          <w:lang w:val="en-US" w:eastAsia="en-US" w:bidi="ar-SA"/>
        </w:rPr>
        <w:cr/>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Did the defendants' solicitations, offers, advertisements, promotions, sales and supply of Propecia or Proscar for personal, family or household use by class members fall within the meaning of "consumer transactions" under the Consumer Protection Act?</w:t>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Are the defendants "suppliers" as defined by the Consumer Protection Act?</w:t>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Are the class members "consumers" as defined by the Consumer Protection Act?</w:t>
      </w:r>
    </w:p>
    <w:p>
      <w:pPr>
        <w:numPr>
          <w:numId w:val="4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Did the defendants, or any of them, engage in conduct that constituted deceptive acts or practices contrary to the Consumer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defendants' principle argument regarding the common issues relating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that the plaintiff has not established a sufficient basis in fact to certify these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 plaintiff responds and I agree, that </w:t>
      </w:r>
      <w:r>
        <w:rPr>
          <w:rFonts w:ascii="arial" w:eastAsia="arial" w:hAnsi="arial" w:cs="arial"/>
          <w:i/>
          <w:color w:val="000000"/>
          <w:sz w:val="20"/>
          <w:lang w:val="en-US" w:eastAsia="en-US" w:bidi="ar-SA"/>
        </w:rPr>
        <w:t>Wakelam v. Johnson &amp; Johnson</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2009 BCSC 839</w:t>
        </w:r>
      </w:hyperlink>
      <w:r>
        <w:rPr>
          <w:rFonts w:ascii="arial" w:eastAsia="arial" w:hAnsi="arial" w:cs="arial"/>
          <w:color w:val="000000"/>
          <w:sz w:val="20"/>
          <w:lang w:val="en-US" w:eastAsia="en-US" w:bidi="ar-SA"/>
        </w:rPr>
        <w:t>, provides support for their position despite it relating to an application for particulars: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 The plaintiff is relying on specialized consumer protection statutes which focus the inquiry on the impact of the representation on the public at large. The question of whether a representation is deceptive or misleading does not, therefore depend on an individual inquiry. The question of deception or no deception is something that can be litigated without reference to the circumstances of the plaintiff or individual class members: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common issues listed relating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are substantial ingredients of each potential class members' claim. At this stage, it is not for the court to attempt to weigh the merits of the common issue, but to only ascertain whether they raise a 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 am satisfied that the common issues related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claim are appropriately formulated.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summary, I am satisfied that the modified common issues will assist the court in avoiding duplication of fact-finding or legal analysis, have a rational relationship to the proposed class definition, and are capable of extrapolation to each potential class member. The proceedings will be advanced by a resolution of the common issues and as a result the objectives of the legislation as well, those being access to justice, judicial economy and behavioural modification.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Mr. Miller an Appropriate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As part of the requirements for certification, s. 4(1)(e)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requires that that there is a representative plaintiff who would fairly and adequately represent the interests of the class, has produced a workable plan for the proceeding, including a plan for notifying class members of the proceeding, and does not have, on the common issues, an interest in conflict with the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Western Canadian Shopping Centres</w:t>
      </w:r>
      <w:r>
        <w:rPr>
          <w:rFonts w:ascii="arial" w:eastAsia="arial" w:hAnsi="arial" w:cs="arial"/>
          <w:color w:val="000000"/>
          <w:sz w:val="20"/>
          <w:lang w:val="en-US" w:eastAsia="en-US" w:bidi="ar-SA"/>
        </w:rPr>
        <w:t>, McLachlin C.J.C. at para. 41 clarified the requirements for the adequacy of the representative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 [T]he class representative must adequately represent the class. In assessing whether the proposed representative is adequate, the court may look to the motivation of the representative, the competence of the representative's counsel, and the capacity of the representative to bear any costs that may be incurred by the representative in particular (as opposed to by counsel or by the class members generally). The proposed representative need not be "typical" of the class, nor the "best" possible representative. The court should be satisfied, however, that the proposed representative will vigorously and capably prosecute the interests of the class: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claims of the representative plaintiff may include causes of action that extend beyond his personal claims. (</w:t>
      </w:r>
      <w:r>
        <w:rPr>
          <w:rFonts w:ascii="arial" w:eastAsia="arial" w:hAnsi="arial" w:cs="arial"/>
          <w:i/>
          <w:color w:val="000000"/>
          <w:sz w:val="20"/>
          <w:lang w:val="en-US" w:eastAsia="en-US" w:bidi="ar-SA"/>
        </w:rPr>
        <w:t>MacKinnon v. Instaloans Financial Solution Centres (Kelowna) Ltd.</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2004 BCCA 472</w:t>
        </w:r>
      </w:hyperlink>
      <w:r>
        <w:rPr>
          <w:rFonts w:ascii="arial" w:eastAsia="arial" w:hAnsi="arial" w:cs="arial"/>
          <w:color w:val="000000"/>
          <w:sz w:val="20"/>
          <w:lang w:val="en-US" w:eastAsia="en-US" w:bidi="ar-SA"/>
        </w:rPr>
        <w:t xml:space="preserve"> at paras. 33-52). See also </w:t>
      </w:r>
      <w:r>
        <w:rPr>
          <w:rFonts w:ascii="arial" w:eastAsia="arial" w:hAnsi="arial" w:cs="arial"/>
          <w:i/>
          <w:color w:val="000000"/>
          <w:sz w:val="20"/>
          <w:lang w:val="en-US" w:eastAsia="en-US" w:bidi="ar-SA"/>
        </w:rPr>
        <w:t>Bellan v. Curtis et al.</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2007 MBQB 221</w:t>
        </w:r>
      </w:hyperlink>
      <w:r>
        <w:rPr>
          <w:rFonts w:ascii="arial" w:eastAsia="arial" w:hAnsi="arial" w:cs="arial"/>
          <w:color w:val="000000"/>
          <w:sz w:val="20"/>
          <w:lang w:val="en-US" w:eastAsia="en-US" w:bidi="ar-SA"/>
        </w:rPr>
        <w:t xml:space="preserve"> at para. 46 and </w:t>
      </w:r>
      <w:r>
        <w:rPr>
          <w:rFonts w:ascii="arial" w:eastAsia="arial" w:hAnsi="arial" w:cs="arial"/>
          <w:i/>
          <w:color w:val="000000"/>
          <w:sz w:val="20"/>
          <w:lang w:val="en-US" w:eastAsia="en-US" w:bidi="ar-SA"/>
        </w:rPr>
        <w:t>Microcell Communications Inc. v. Frey,</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2008 SKQB 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submits that Mr. Miller has no conflict in representing the entire class, has developed a reasonable plan for litigating the action, and that he further meets all the requirements of adequately representing the class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defendants argue that Mr. Miller has no cause of action against the defendants. The defendants say that Mr. Miller received a package insert warning of impotence that usually resolves after discontinuation of use of Proscar. Thus, even if it were true that Proscar was responsible for permanent sexual dysfunction, it was a risk that Mr. Miller was aware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Second, the defendants argue that Mr. Miller has no personal claim in relation to persistent sexual dysfunction as a result of ingesting Propecia. He did not take Propecia. Mr. Miller was prescribed Proscar and received a different warning. They also argue that because the plaintiff has not adduced any evidence as to the circumstances of other class members, that a determination that Mr. Miller is not in conflict with other class members is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Third, the defendants argue that Mr. Miller has failed to produce a workable litigation plan. The defendants say that the proposed litigation plan is rudimentary, vague and boilerplate as evidenced by its failure to address significant issues such as how causation will be determined and the extent of expert opinions that may be required to prove the proposed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defendants' submission as to the plaintiff having received a warning goes to the merits of the claim. The adequacy of the warning is in issue. That is not for determination on this application. I reject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defendants' submission that Mr. Miller lacks a personal claim respecting the drug Propecia assumes a finding that Proscar and Propecia must be addressed separately. While that may be correct with respect to the adequacy of the warnings given as well as other possible issues such as dosage it ignores the common element that the active drug was finasteride. In my view Mr. Miller is capable of asserting a claim on behalf of users of both Proscar and Propecia given they share the same active ingredient. He need not share every characteristic of all putative class members nor must his circumstances be the same. (</w:t>
      </w:r>
      <w:r>
        <w:rPr>
          <w:rFonts w:ascii="arial" w:eastAsia="arial" w:hAnsi="arial" w:cs="arial"/>
          <w:i/>
          <w:color w:val="000000"/>
          <w:sz w:val="20"/>
          <w:lang w:val="en-US" w:eastAsia="en-US" w:bidi="ar-SA"/>
        </w:rPr>
        <w:t>Western Canadian Shopping Centres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1176560 Ontario Ltd. v. Great Atlantic &amp; Pacific Co. of Canada Ltd.</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(2002), 62 O.R. (3d) 535</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Turning to the defendants' final argument, the plaintiff asserts he has proposed a reasonable litigation plan that addresses how the action may proceed to resolution. He submits that the plan as proposed is based on litigation plans that have been approved by this Court in other certified class actions. The proposed litigation plan is Appendix A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As noted earlier, the defendants submit that the proposed litigation plan fails to meet the requirements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describing it as "rudimentary, vague and boilerplate".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Law on Litigation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Paragraph 4(1)(e)(ii)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requires that the plaintiff have a suitable plan for advancing the proceeding on behalf of the class. This is important as it assists the court in determining if the litigation is manageable and as a result provides insight into whether a class proceeding is the preferred procedure. (</w:t>
      </w:r>
      <w:r>
        <w:rPr>
          <w:rFonts w:ascii="arial" w:eastAsia="arial" w:hAnsi="arial" w:cs="arial"/>
          <w:i/>
          <w:color w:val="000000"/>
          <w:sz w:val="20"/>
          <w:lang w:val="en-US" w:eastAsia="en-US" w:bidi="ar-SA"/>
        </w:rPr>
        <w:t>Carom v. Bre-X Minerals Ltd</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(1999), 44 O.R. (3d) 173</w:t>
        </w:r>
      </w:hyperlink>
      <w:r>
        <w:rPr>
          <w:rFonts w:ascii="arial" w:eastAsia="arial" w:hAnsi="arial" w:cs="arial"/>
          <w:color w:val="000000"/>
          <w:sz w:val="20"/>
          <w:lang w:val="en-US" w:eastAsia="en-US" w:bidi="ar-SA"/>
        </w:rPr>
        <w:t xml:space="preserve"> (S.C.J.) at 203).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The level of detail of the litigation plan must correspond with the complexity of the litigation: </w:t>
      </w:r>
      <w:r>
        <w:rPr>
          <w:rFonts w:ascii="arial" w:eastAsia="arial" w:hAnsi="arial" w:cs="arial"/>
          <w:i/>
          <w:color w:val="000000"/>
          <w:sz w:val="20"/>
          <w:lang w:val="en-US" w:eastAsia="en-US" w:bidi="ar-SA"/>
        </w:rPr>
        <w:t>Carom</w:t>
      </w:r>
      <w:r>
        <w:rPr>
          <w:rFonts w:ascii="arial" w:eastAsia="arial" w:hAnsi="arial" w:cs="arial"/>
          <w:color w:val="000000"/>
          <w:sz w:val="20"/>
          <w:lang w:val="en-US" w:eastAsia="en-US" w:bidi="ar-SA"/>
        </w:rPr>
        <w:t xml:space="preserve"> at 203; </w:t>
      </w:r>
      <w:r>
        <w:rPr>
          <w:rFonts w:ascii="arial" w:eastAsia="arial" w:hAnsi="arial" w:cs="arial"/>
          <w:i/>
          <w:color w:val="000000"/>
          <w:sz w:val="20"/>
          <w:lang w:val="en-US" w:eastAsia="en-US" w:bidi="ar-SA"/>
        </w:rPr>
        <w:t>Price v. Panasonic Canada Inc.</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[2002] O.T.C. 426</w:t>
        </w:r>
      </w:hyperlink>
      <w:r>
        <w:rPr>
          <w:rFonts w:ascii="arial" w:eastAsia="arial" w:hAnsi="arial" w:cs="arial"/>
          <w:color w:val="000000"/>
          <w:sz w:val="20"/>
          <w:lang w:val="en-US" w:eastAsia="en-US" w:bidi="ar-SA"/>
        </w:rPr>
        <w:t xml:space="preserve"> (S.C.J.); </w:t>
      </w:r>
      <w:r>
        <w:rPr>
          <w:rFonts w:ascii="arial" w:eastAsia="arial" w:hAnsi="arial" w:cs="arial"/>
          <w:i/>
          <w:color w:val="000000"/>
          <w:sz w:val="20"/>
          <w:lang w:val="en-US" w:eastAsia="en-US" w:bidi="ar-SA"/>
        </w:rPr>
        <w:t>Public Service Alliance of Canada Pension Plan Members v. Public Service Alliance of Canada</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(2005), 18 C.P.C. (6th) 391</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 representative plaintiff "is not required to prepare a plan detailing every step, and it is anticipated that the plan will have to be amended as the action proceeds and the exigencies of the litigation become known"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at para. 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There must be sufficient detail of how the plaintiff and his counsel will ensure that the common issues are properly pursued. (</w:t>
      </w:r>
      <w:r>
        <w:rPr>
          <w:rFonts w:ascii="arial" w:eastAsia="arial" w:hAnsi="arial" w:cs="arial"/>
          <w:i/>
          <w:color w:val="000000"/>
          <w:sz w:val="20"/>
          <w:lang w:val="en-US" w:eastAsia="en-US" w:bidi="ar-SA"/>
        </w:rPr>
        <w:t>Bellaire v. Independent Order of Foresters</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(2004), 5 C.P.C. (6th) 68</w:t>
        </w:r>
      </w:hyperlink>
      <w:r>
        <w:rPr>
          <w:rFonts w:ascii="arial" w:eastAsia="arial" w:hAnsi="arial" w:cs="arial"/>
          <w:color w:val="000000"/>
          <w:sz w:val="20"/>
          <w:lang w:val="en-US" w:eastAsia="en-US" w:bidi="ar-SA"/>
        </w:rPr>
        <w:t xml:space="preserve">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Caputo v. Imperial Tobacco Ltd</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(2004) 236 D.L.R. (4th) 348</w:t>
        </w:r>
      </w:hyperlink>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44 C.P.C. (5th) 350</w:t>
        </w:r>
      </w:hyperlink>
      <w:r>
        <w:rPr>
          <w:rFonts w:ascii="arial" w:eastAsia="arial" w:hAnsi="arial" w:cs="arial"/>
          <w:color w:val="000000"/>
          <w:sz w:val="20"/>
          <w:lang w:val="en-US" w:eastAsia="en-US" w:bidi="ar-SA"/>
        </w:rPr>
        <w:t xml:space="preserve"> (Ont. S.C.J.), Winkler J. addressed the need for a litigation plan to address how individual issues were to be approached after the common issues were resolved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Here the plaintiffs have tailored the proposed class proceeding in such a way as to attempt to remove the overburden of individual issues. They have endeavoured to achieve this through the use of aggregate assessments combined with an argument that the common issues trial judge should bear the burden of both determining whether individual issues exist and fashioning a method for their resolution. This approach is unacceptable. It is apparent that individual issues exist and that they must be dealt with in order for the class members to obtain relief even if a common issues trial were to be decided in their favour. Consequently, by neglecting to address the presence of individual issues and an acceptable method for dealing with them, the plaintiffs have a proposed litigation plan, such as it is, that is "unworkable".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Wheadon v. Bayer Inc.</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2004 NLSCTD 72</w:t>
        </w:r>
      </w:hyperlink>
      <w:r>
        <w:rPr>
          <w:rFonts w:ascii="arial" w:eastAsia="arial" w:hAnsi="arial" w:cs="arial"/>
          <w:color w:val="000000"/>
          <w:sz w:val="20"/>
          <w:lang w:val="en-US" w:eastAsia="en-US" w:bidi="ar-SA"/>
        </w:rPr>
        <w:t xml:space="preserve">, the defendants emphasized that each claim would have to be examined in light of the state of knowledge of the defendant at various times and, as well, that the individual issues were not limited to causation and damages. Rather, they involved issues concerning communications to and by learned intermediaries and issues of reliance of individual claimants. In addition resolution would depend on a number of individual factors. They argued that the result would be that the proceeding would degenerate in multiple actions, each to be tried separately. The defendants listed examples of the types of individual inquiries that would require resolution. In finding that the plaintiff had produced a workable litigation plan, Barry J. stated that the "litigation plan need only provide at the certification stage a reasonable framework for the issues which are reasonably expected to arise as the case proceeds"(para. 159). In addition litigation plans are something of a work in progress and may be amended during the course of the proceedings </w:t>
      </w:r>
      <w:r>
        <w:rPr>
          <w:rFonts w:ascii="arial" w:eastAsia="arial" w:hAnsi="arial" w:cs="arial"/>
          <w:i/>
          <w:color w:val="000000"/>
          <w:sz w:val="20"/>
          <w:lang w:val="en-US" w:eastAsia="en-US" w:bidi="ar-SA"/>
        </w:rPr>
        <w:t>(Cloud).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That said, the plan must still be workable and to be workable it must address not only resolution of the common issues but the individual issues as well.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Analysis of 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defendants emphasize that a litigation plan must be fair to the defendants and must not create or abrogate substantive rights (</w:t>
      </w:r>
      <w:r>
        <w:rPr>
          <w:rFonts w:ascii="arial" w:eastAsia="arial" w:hAnsi="arial" w:cs="arial"/>
          <w:i/>
          <w:color w:val="000000"/>
          <w:sz w:val="20"/>
          <w:lang w:val="en-US" w:eastAsia="en-US" w:bidi="ar-SA"/>
        </w:rPr>
        <w:t>Ragoonanan v. Imperial Tobacco Canada Ltd.</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(2005), 78 O.R. (3d) 98</w:t>
        </w:r>
      </w:hyperlink>
      <w:r>
        <w:rPr>
          <w:rFonts w:ascii="arial" w:eastAsia="arial" w:hAnsi="arial" w:cs="arial"/>
          <w:color w:val="000000"/>
          <w:sz w:val="20"/>
          <w:lang w:val="en-US" w:eastAsia="en-US" w:bidi="ar-SA"/>
        </w:rPr>
        <w:t xml:space="preserve"> (S.C.J.) at para.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defendants take particular exception to certain alleged deficiencies in the litigation plan noting that the litigation plan limits its discussion of proposed common issues to a statement that "[t]he Class will be informed of the results of the common issues trial by publication of notice ..." and fails to address the expert opinions that may be required to prove the common issues stating merely that the expert reports will be delivered in accordance with Rule 11-6. They note that the plan does not address how issues such as causation will be determined. They submit that the plan should address how the proposed experts are going to be identified and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This is of some concern in this case given the limited expert evidence produced on the certification hearing. It is clear that the common issue of causation is going to turn on fulsome expert and scientific evidence. The litigation plan should provide some assurance as to how those issues will be addressed in order that the court can be satisfied that the common issues will be effectively and efficiently pursued if the action is certified (</w:t>
      </w:r>
      <w:r>
        <w:rPr>
          <w:rFonts w:ascii="arial" w:eastAsia="arial" w:hAnsi="arial" w:cs="arial"/>
          <w:i/>
          <w:color w:val="000000"/>
          <w:sz w:val="20"/>
          <w:lang w:val="en-US" w:eastAsia="en-US" w:bidi="ar-SA"/>
        </w:rPr>
        <w:t>Bellaire</w:t>
      </w:r>
      <w:r>
        <w:rPr>
          <w:rFonts w:ascii="arial" w:eastAsia="arial" w:hAnsi="arial" w:cs="arial"/>
          <w:color w:val="000000"/>
          <w:sz w:val="20"/>
          <w:lang w:val="en-US" w:eastAsia="en-US" w:bidi="ar-SA"/>
        </w:rPr>
        <w:t xml:space="preserve"> at para. 53). The current statement in the plan is, as was noted in </w:t>
      </w:r>
      <w:r>
        <w:rPr>
          <w:rFonts w:ascii="arial" w:eastAsia="arial" w:hAnsi="arial" w:cs="arial"/>
          <w:i/>
          <w:color w:val="000000"/>
          <w:sz w:val="20"/>
          <w:lang w:val="en-US" w:eastAsia="en-US" w:bidi="ar-SA"/>
        </w:rPr>
        <w:t>Bellaire,</w:t>
      </w:r>
      <w:r>
        <w:rPr>
          <w:rFonts w:ascii="arial" w:eastAsia="arial" w:hAnsi="arial" w:cs="arial"/>
          <w:color w:val="000000"/>
          <w:sz w:val="20"/>
          <w:lang w:val="en-US" w:eastAsia="en-US" w:bidi="ar-SA"/>
        </w:rPr>
        <w:t xml:space="preserve"> "largely a recitation of the steps that would occur in any piece of litigation" (para. 52). In </w:t>
      </w:r>
      <w:r>
        <w:rPr>
          <w:rFonts w:ascii="arial" w:eastAsia="arial" w:hAnsi="arial" w:cs="arial"/>
          <w:i/>
          <w:color w:val="000000"/>
          <w:sz w:val="20"/>
          <w:lang w:val="en-US" w:eastAsia="en-US" w:bidi="ar-SA"/>
        </w:rPr>
        <w:t>Bellaire</w:t>
      </w:r>
      <w:r>
        <w:rPr>
          <w:rFonts w:ascii="arial" w:eastAsia="arial" w:hAnsi="arial" w:cs="arial"/>
          <w:color w:val="000000"/>
          <w:sz w:val="20"/>
          <w:lang w:val="en-US" w:eastAsia="en-US" w:bidi="ar-SA"/>
        </w:rPr>
        <w:t xml:space="preserve"> the judge suggested at para. 53 that where experts are going to be retained there should be an indication in the plan of how those experts are going to be identified and retained. Certification of this action is therefore subject to this deficiency in the litigation plan being remedied. In requiring this I am not assessing the merits of the claim but simply recognizing the obligation of the court to insure that the proceedings proceed efficiently.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defendants also challenge what they say is a lack of specific procedures by which individual issues will be addressed. They note the plan merely refers to "mini-trials" without defining their characteristics. They submit this is not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defendants further submit that a reasonable litigation plan would acknowledge that full individual trials will be required. This argument however must be balanced against the resolution of common issues such that the litigation would be advanced. In my view there are efficiencies to be gained by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a Class Proceeding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will now consider whether a class proceeding is a preferable procedure. In doing so I will consider those factors listed under s. 4(2), as noted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27 McLachlin C.J.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 The parties agree that, in the absence of legislative guidance, the preferability inquiry should be conducted through the lens of the three principal advantages of class actions -- judicial economy, access to justice and behavioural modification: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It should also be emphasized that s. 4(2) is not exhaustive as the court is obliged to consider "other relevant matters" aside from the factors enumerated. The term "other relevant matters" was described in </w:t>
      </w:r>
      <w:r>
        <w:rPr>
          <w:rFonts w:ascii="arial" w:eastAsia="arial" w:hAnsi="arial" w:cs="arial"/>
          <w:i/>
          <w:color w:val="000000"/>
          <w:sz w:val="20"/>
          <w:lang w:val="en-US" w:eastAsia="en-US" w:bidi="ar-SA"/>
        </w:rPr>
        <w:t>Nanaimo Immigrant Settlement Society v. British Columbia</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2001 BCCA 75</w:t>
        </w:r>
      </w:hyperlink>
      <w:r>
        <w:rPr>
          <w:rFonts w:ascii="arial" w:eastAsia="arial" w:hAnsi="arial" w:cs="arial"/>
          <w:color w:val="000000"/>
          <w:sz w:val="20"/>
          <w:lang w:val="en-US" w:eastAsia="en-US" w:bidi="ar-SA"/>
        </w:rPr>
        <w:t>, at para. 20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 [T]he question is not whether the class action is </w:t>
      </w:r>
      <w:r>
        <w:rPr>
          <w:rFonts w:ascii="arial" w:eastAsia="arial" w:hAnsi="arial" w:cs="arial"/>
          <w:color w:val="000000"/>
          <w:sz w:val="20"/>
          <w:u w:val="single"/>
          <w:lang w:val="en-US" w:eastAsia="en-US" w:bidi="ar-SA"/>
        </w:rPr>
        <w:t>necessary</w:t>
      </w:r>
      <w:r>
        <w:rPr>
          <w:rFonts w:ascii="arial" w:eastAsia="arial" w:hAnsi="arial" w:cs="arial"/>
          <w:color w:val="000000"/>
          <w:sz w:val="20"/>
          <w:lang w:val="en-US" w:eastAsia="en-US" w:bidi="ar-SA"/>
        </w:rPr>
        <w:t xml:space="preserve"> -- i.e., whether there are other alternatives -- but whether it is the "</w:t>
      </w:r>
      <w:r>
        <w:rPr>
          <w:rFonts w:ascii="arial" w:eastAsia="arial" w:hAnsi="arial" w:cs="arial"/>
          <w:color w:val="000000"/>
          <w:sz w:val="20"/>
          <w:u w:val="single"/>
          <w:lang w:val="en-US" w:eastAsia="en-US" w:bidi="ar-SA"/>
        </w:rPr>
        <w:t>preferable</w:t>
      </w:r>
      <w:r>
        <w:rPr>
          <w:rFonts w:ascii="arial" w:eastAsia="arial" w:hAnsi="arial" w:cs="arial"/>
          <w:color w:val="000000"/>
          <w:sz w:val="20"/>
          <w:lang w:val="en-US" w:eastAsia="en-US" w:bidi="ar-SA"/>
        </w:rPr>
        <w:t xml:space="preserve"> procedure" for resolving the plaintiffs' claims. Section 4(2)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states that that question involves a consideration of "all relevant matters" -- a phrase that includes the practical realities of this method of resolving the claims in comparison to other methods. In the plaintiffs' submission, what makes a class action preferable in this case are the practical advantages provided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for the actual litigation process. Some of these advantages accrue only to the plaintiffs: as Mr. Branch noted, if the claims are aggregated, contingency fee arrangements are likely to be available for the plaintiffs. The claims can be pursued by one counsel or a few counsel rather than by many. A formal notification procedure is available. ... the assignment to the action of one case-management judge, and the attendant elimination of lengthy Chambers proceedings before different judges.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plaintiffs say that the three objectives of class action legislation would be achieved by the certification of this case: judicial economy is advanced by avoiding the need for multiple proceedings, in this case potentially 55 or more; access to justice is enhanced by enabling the fixed costs of this litigation to be shared among class members, and behaviour modification is advanced by way of a tort claim to encourage product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Throughout his submissions, the plaintiff cites a number of case authorities to show that the vast majority of medical products class actions brought in Canada have been certified. He submits that this reflects a strong judicial consensus that certification is the best way to manage this type of litigation. Given each case must rest on its own I fail to see how such a submission is of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defendants submit the preferable procedure in this case is a form of collective case management, which they allege would better serve the aims of access to justice and judicial economy than a class proceeding. They submit that class proceedings are not generally a quick or prompt means to adjudicate the claims of class members. Instead they suggest a model based on US multi-district litigation regarding product liability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They suggest under that model the use of case management conferences, the managing of discovery orders, a single list of documents, a single examination for discovery of each defendant made available to each plaintiff, individual discovery of the plaintiffs and trials of individual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proposed manner of proceeding suggested by the defendants is very general and is likely to be fraught with delays and interim motions. It appears to be an attempt to design a management structure in place of class proceeding legislation. There is no assurance that it would be, as suggested by the defendants, more efficient and proceed through the court system more expeditiously. Indeed, the 170 pages of submissions of counsel and the over 130 authorities included by the parties in their certification briefs along with binders of reports and documents do not bode well for expeditious resolution of these proceedings whether by case management or class action although the latter at least provides a structure and tools more likely to achieve the goals referred to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advantages of a class proceeding in my view outweigh the proposal of the defendants particularly where general causation and whether there has been a breach of the duty of care will require complex scientific and expert evidence likely beyond the means of individual plaintiffs against a well funded adversary.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Class proceedings are case managed and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provides the tools to address the reason class actions exist. As stated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 class actions provide three important advantages over a multiplicity of individual suits. First, by aggregating similar individual actions, class actions serve judicial economy by avoiding unnecessary duplication in fact-finding and legal analysis. Second, by distributing fixed litigation costs amongst a large number of class members, class actions improve access to justice by making economical the prosecution of claims that any one class member would find too costly to prosecute on his or her own. Third, class actions serve efficiency and justice by ensuring that actual and potential wrongdoers modify their behaviour to take full account of the harm they are causing, or might cause, to the public.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It is clear that the common issues of causation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complex and will require extensive expert and scientific evidence. Resolution of those issues would materially advance the litigation as they are fundamental issues to each putative plaintiff's claim. They will avoid "duplication of fact-finding or legal analysis" (</w:t>
      </w:r>
      <w:r>
        <w:rPr>
          <w:rFonts w:ascii="arial" w:eastAsia="arial" w:hAnsi="arial" w:cs="arial"/>
          <w:i/>
          <w:color w:val="000000"/>
          <w:sz w:val="20"/>
          <w:lang w:val="en-US" w:eastAsia="en-US" w:bidi="ar-SA"/>
        </w:rPr>
        <w:t>Western Canadian Shopping Centres Inc.</w:t>
      </w:r>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conclude that a class action is the preferable procedure with which to resolve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Certification is dependent upon the plaintiff filing an affidavit of the lawyer setting out the information respecting potential class members in contact with plaintiff counsel's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With respect to the litigation plan in my view the proposed plan in so far as it addresses expert reports is insufficient. I invite counsel to provide submissions on what arrangements are being made respecting expert reports and when they will be produced in order that realistic orders can be made respecting their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Subject to these two matters being addressed the application to certify this proceeding as a class proceeding is granted with Mr. Miller as the representative plaintiff. The class definition and common issues are as noted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r>
        <w:rPr>
          <w:rFonts w:ascii="arial" w:eastAsia="arial" w:hAnsi="arial" w:cs="arial"/>
          <w:sz w:val="20"/>
          <w:lang w:val="en-US" w:eastAsia="en-US" w:bidi="ar-SA"/>
        </w:rPr>
        <w:cr/>
      </w: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Court File No. S-110437 Vancouver Registry</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Michael Miller</w:t>
      </w:r>
      <w:r>
        <w:rPr>
          <w:rFonts w:ascii="arial" w:eastAsia="arial" w:hAnsi="arial" w:cs="arial"/>
          <w:sz w:val="20"/>
          <w:lang w:val="en-US" w:eastAsia="en-US" w:bidi="ar-SA"/>
        </w:rPr>
        <w:cr/>
      </w: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Merck Frosst Canada Ltd., Merck Frosst Canada &amp; Co.</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Merck &amp; Co., Inc., Merck Sharpe &amp; Dohme Corp.</w:t>
      </w:r>
      <w:r>
        <w:rPr>
          <w:rFonts w:ascii="arial" w:eastAsia="arial" w:hAnsi="arial" w:cs="arial"/>
          <w:sz w:val="20"/>
          <w:lang w:val="en-US" w:eastAsia="en-US" w:bidi="ar-SA"/>
        </w:rPr>
        <w:cr/>
      </w: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Defendants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Brought under the </w:t>
      </w:r>
      <w:r>
        <w:rPr>
          <w:rFonts w:ascii="arial" w:eastAsia="arial" w:hAnsi="arial" w:cs="arial"/>
          <w:i/>
          <w:color w:val="000000"/>
          <w:sz w:val="20"/>
          <w:lang w:val="en-US" w:eastAsia="en-US" w:bidi="ar-SA"/>
        </w:rPr>
        <w:t>Class Proceedings Act,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NOTICE OF CERTIFICATION</w:t>
      </w:r>
      <w:r>
        <w:rPr>
          <w:rFonts w:ascii="arial" w:eastAsia="arial" w:hAnsi="arial" w:cs="arial"/>
          <w:sz w:val="20"/>
          <w:lang w:val="en-US" w:eastAsia="en-US" w:bidi="ar-SA"/>
        </w:rPr>
        <w:cr/>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certification is granted, notice will issue pursuant to section 19 of the </w:t>
      </w:r>
      <w:r>
        <w:rPr>
          <w:rFonts w:ascii="arial" w:eastAsia="arial" w:hAnsi="arial" w:cs="arial"/>
          <w:i/>
          <w:color w:val="000000"/>
          <w:sz w:val="20"/>
          <w:lang w:val="en-US" w:eastAsia="en-US" w:bidi="ar-SA"/>
        </w:rPr>
        <w:t>Class Proceedings Act.</w:t>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counsel will post the notice of certification on its website www.kleinlyons.com and send a copy of the notice to every class member who has provided an address to class counsel for that purpose.</w:t>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of certification may also be published in appropriate newspapers to be agreed to by the parties or settled by the court.</w:t>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hearing will be held within 30 days of the issuance of the certification order to settle the terms and manner of notice. The form, content, manner and terms of the notice will be approved by the court.</w:t>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will ask the court for an order that the defendants pay the costs of notice described in paragraph 2 and paragraph 3 pursuant to section 24 of the </w:t>
      </w:r>
      <w:r>
        <w:rPr>
          <w:rFonts w:ascii="arial" w:eastAsia="arial" w:hAnsi="arial" w:cs="arial"/>
          <w:i/>
          <w:color w:val="000000"/>
          <w:sz w:val="20"/>
          <w:lang w:val="en-US" w:eastAsia="en-US" w:bidi="ar-SA"/>
        </w:rPr>
        <w:t>Class Proceedings Act.</w:t>
      </w:r>
    </w:p>
    <w:p>
      <w:pPr>
        <w:numPr>
          <w:numId w:val="4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will be asked approve an opt-in form for class members not residing in British Columbia wishing to participate in the class proceeding and an opt-out form for class members residing in British Columbia who do not wish to participate in the class proceeding. The court will be asked to set a date by when the opt-in and opt-out forms are to be delivered to class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DOCUMENTARY PRODUCTION</w:t>
      </w:r>
      <w:r>
        <w:rPr>
          <w:rFonts w:ascii="arial" w:eastAsia="arial" w:hAnsi="arial" w:cs="arial"/>
          <w:sz w:val="20"/>
          <w:lang w:val="en-US" w:eastAsia="en-US" w:bidi="ar-SA"/>
        </w:rPr>
        <w:cr/>
      </w:r>
    </w:p>
    <w:p>
      <w:pPr>
        <w:numPr>
          <w:numId w:val="4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To assist the parties and the court in efficiently managing the production of documents, the parties will exchange documents in accordance with protocols established in the July 1, 2006 Practice Direction -- Re: Electronic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EXAMINATIONS FOR DISCOVERY</w:t>
      </w:r>
      <w:r>
        <w:rPr>
          <w:rFonts w:ascii="arial" w:eastAsia="arial" w:hAnsi="arial" w:cs="arial"/>
          <w:sz w:val="20"/>
          <w:lang w:val="en-US" w:eastAsia="en-US" w:bidi="ar-SA"/>
        </w:rPr>
        <w:cr/>
      </w:r>
    </w:p>
    <w:p>
      <w:pPr>
        <w:numPr>
          <w:numId w:val="4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shall make themselves available for examination for discovery within 180 days of the issuance of the certification order or on such dates as may be agreed by the parties.</w:t>
      </w:r>
    </w:p>
    <w:p>
      <w:pPr>
        <w:numPr>
          <w:numId w:val="4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anticipates that given the nature of the matters at issue in the class proceeding it is not reasonably practical to complete the examination for discovery of each party in less than seven hours. The court will be asked to specify the duration of each examination for discovery pursuant to Rule 7-2(2) of the </w:t>
      </w:r>
      <w:r>
        <w:rPr>
          <w:rFonts w:ascii="arial" w:eastAsia="arial" w:hAnsi="arial" w:cs="arial"/>
          <w:i/>
          <w:color w:val="000000"/>
          <w:sz w:val="20"/>
          <w:lang w:val="en-US" w:eastAsia="en-US" w:bidi="ar-SA"/>
        </w:rPr>
        <w:t>Supreme Court Civil Rules.</w:t>
      </w:r>
    </w:p>
    <w:p>
      <w:pPr>
        <w:numPr>
          <w:numId w:val="4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may ask the court for an order allowing them to examine multiple representatives of the defendants,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EXAMINATION OF NON-PARTIES</w:t>
      </w:r>
      <w:r>
        <w:rPr>
          <w:rFonts w:ascii="arial" w:eastAsia="arial" w:hAnsi="arial" w:cs="arial"/>
          <w:sz w:val="20"/>
          <w:lang w:val="en-US" w:eastAsia="en-US" w:bidi="ar-SA"/>
        </w:rPr>
        <w:cr/>
      </w:r>
    </w:p>
    <w:p>
      <w:pPr>
        <w:numPr>
          <w:numId w:val="4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party wishing to examine a non-party shall comply with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EXPERT OPINIONS</w:t>
      </w:r>
      <w:r>
        <w:rPr>
          <w:rFonts w:ascii="arial" w:eastAsia="arial" w:hAnsi="arial" w:cs="arial"/>
          <w:sz w:val="20"/>
          <w:lang w:val="en-US" w:eastAsia="en-US" w:bidi="ar-SA"/>
        </w:rPr>
        <w:cr/>
      </w:r>
    </w:p>
    <w:p>
      <w:pPr>
        <w:numPr>
          <w:numId w:val="4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Expert opinions shall be delivered to each party pursuant to Rule 11-6 of the </w:t>
      </w:r>
      <w:r>
        <w:rPr>
          <w:rFonts w:ascii="arial" w:eastAsia="arial" w:hAnsi="arial" w:cs="arial"/>
          <w:i/>
          <w:color w:val="000000"/>
          <w:sz w:val="20"/>
          <w:lang w:val="en-US" w:eastAsia="en-US" w:bidi="ar-SA"/>
        </w:rPr>
        <w:t>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REFINEMENT OF THE COMMON ISSUES</w:t>
      </w:r>
      <w:r>
        <w:rPr>
          <w:rFonts w:ascii="arial" w:eastAsia="arial" w:hAnsi="arial" w:cs="arial"/>
          <w:sz w:val="20"/>
          <w:lang w:val="en-US" w:eastAsia="en-US" w:bidi="ar-SA"/>
        </w:rPr>
        <w:cr/>
      </w:r>
    </w:p>
    <w:p>
      <w:pPr>
        <w:numPr>
          <w:numId w:val="4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certification, examinations for discovery and the exchange of expert opinions and before the trial of the common issues, the plaintiff may ask the court for an order to amend or further refine the common issues, if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DISPUTE RESOLUTION</w:t>
      </w:r>
      <w:r>
        <w:rPr>
          <w:rFonts w:ascii="arial" w:eastAsia="arial" w:hAnsi="arial" w:cs="arial"/>
          <w:sz w:val="20"/>
          <w:lang w:val="en-US" w:eastAsia="en-US" w:bidi="ar-SA"/>
        </w:rPr>
        <w:cr/>
      </w:r>
    </w:p>
    <w:p>
      <w:pPr>
        <w:numPr>
          <w:numId w:val="4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willing to participate in mediation or non-binding alternative dispute resolution efforts if the defendants are prepared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READINESS FOR TRIAL</w:t>
      </w:r>
      <w:r>
        <w:rPr>
          <w:rFonts w:ascii="arial" w:eastAsia="arial" w:hAnsi="arial" w:cs="arial"/>
          <w:sz w:val="20"/>
          <w:lang w:val="en-US" w:eastAsia="en-US" w:bidi="ar-SA"/>
        </w:rPr>
        <w:cr/>
      </w:r>
    </w:p>
    <w:p>
      <w:pPr>
        <w:numPr>
          <w:numId w:val="4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 least 28 days before the trial date the parties arrange a trial management conference.</w:t>
      </w:r>
    </w:p>
    <w:p>
      <w:pPr>
        <w:numPr>
          <w:numId w:val="5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28 days before trial, the parties will file a trial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DETERMINATION OF THE COMMON ISSUES AT TRIAL</w:t>
      </w:r>
      <w:r>
        <w:rPr>
          <w:rFonts w:ascii="arial" w:eastAsia="arial" w:hAnsi="arial" w:cs="arial"/>
          <w:sz w:val="20"/>
          <w:lang w:val="en-US" w:eastAsia="en-US" w:bidi="ar-SA"/>
        </w:rPr>
        <w:cr/>
      </w:r>
    </w:p>
    <w:p>
      <w:pPr>
        <w:numPr>
          <w:numId w:val="5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class will be informed of the results of the common issues trial by publication of notice pursuant to section 20 of the </w:t>
      </w:r>
      <w:r>
        <w:rPr>
          <w:rFonts w:ascii="arial" w:eastAsia="arial" w:hAnsi="arial" w:cs="arial"/>
          <w:i/>
          <w:color w:val="000000"/>
          <w:sz w:val="20"/>
          <w:lang w:val="en-US" w:eastAsia="en-US" w:bidi="ar-SA"/>
        </w:rPr>
        <w:t>Class Proceedings Act.</w:t>
      </w:r>
    </w:p>
    <w:p>
      <w:pPr>
        <w:numPr>
          <w:numId w:val="5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are wholly successful on the common issues then, subject to any appeals, the litigation shall be at a close.</w:t>
      </w:r>
    </w:p>
    <w:p>
      <w:pPr>
        <w:numPr>
          <w:numId w:val="5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is wholly or partially successful on the common issues then it is anticipated that further proceedings, as described in Part X below, will be needed to resolve any outstanding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INDIVIDUAL ISSUES DETERMINATION</w:t>
      </w:r>
      <w:r>
        <w:rPr>
          <w:rFonts w:ascii="arial" w:eastAsia="arial" w:hAnsi="arial" w:cs="arial"/>
          <w:sz w:val="20"/>
          <w:lang w:val="en-US" w:eastAsia="en-US" w:bidi="ar-SA"/>
        </w:rPr>
        <w:cr/>
      </w:r>
    </w:p>
    <w:p>
      <w:pPr>
        <w:numPr>
          <w:numId w:val="5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any or all of the common issues are resolved in favour of the class, the plaintiff proposes that a case management hearing be held as soon as possible following judgment. At that hearing, both parties will be at liberty to make submissions regarding the methodology for resolving the remaining issues. Potential methods include references, mini-trials, mediation, arbitration or other means approved by the court pursuant to section 27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At this time, the plaintiffs intend to propose a method of resolving outstanding individual issues as set out below.</w:t>
      </w:r>
    </w:p>
    <w:p>
      <w:pPr>
        <w:numPr>
          <w:numId w:val="5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will be asked to specify procedures and deadlines by which class members shall identify themselves as claimants wishing to make claims for individual compensation.</w:t>
      </w:r>
    </w:p>
    <w:p>
      <w:pPr>
        <w:numPr>
          <w:numId w:val="5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anticipates that given the nature of the injuries suffered by class members, adjudication of the claims would best be resolved through mini-trials with expert reports and discovery and guided by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for trial procedure to determine the issues of individual 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 REVIEW OF THE PLAINTIFF'S LITIGATION PLAN</w:t>
      </w:r>
      <w:r>
        <w:rPr>
          <w:rFonts w:ascii="arial" w:eastAsia="arial" w:hAnsi="arial" w:cs="arial"/>
          <w:sz w:val="20"/>
          <w:lang w:val="en-US" w:eastAsia="en-US" w:bidi="ar-SA"/>
        </w:rPr>
        <w:cr/>
      </w:r>
    </w:p>
    <w:p>
      <w:pPr>
        <w:numPr>
          <w:numId w:val="5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litigation plan may be reviewed or modified as deemed necessary by the parties or the case management judge during case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XIII. CASE MANAGEMENT</w:t>
      </w:r>
      <w:r>
        <w:rPr>
          <w:rFonts w:ascii="arial" w:eastAsia="arial" w:hAnsi="arial" w:cs="arial"/>
          <w:sz w:val="20"/>
          <w:lang w:val="en-US" w:eastAsia="en-US" w:bidi="ar-SA"/>
        </w:rPr>
        <w:cr/>
      </w:r>
    </w:p>
    <w:p>
      <w:pPr>
        <w:numPr>
          <w:numId w:val="5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litigation, regular case planning conferences and any interlocutory motions will be scheduled, as required.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7"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Nerval v. Khehra, [2011] B.C.J. No. 1748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28-31,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M112392 and S021071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 and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1748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2011 BCSC 1245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22 M.V.R. (6th) 69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206 A.C.W.S. (3d) 843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2011 CarswellBC 2440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Bethann Nerval, Plaintiff, and Ramandeep Kaur Khehra and Surjit Kaur Khehra, Defendants, and Insurance Corporation of British Columbia, Third Party And between Ramandeep Kaur Khehra, a.k.a. Khera, Plaintiff, and Bethann Louise Nerval,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8"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1" w:name="Keywords_15"/>
      <w:bookmarkEnd w:id="19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Motor vehicles — Motor vehicles — Rules of the road — Action for damages suffered in a motor vehicle accident allowed in part — Defendant was found 40 per cent liable — Plaintiff was found 60 per cent liable — Plaintiff made left hand turn at intersection — Defendant's vehicle collided with plaintiff's vehicle as it passed through intersection — Although defendant was the dominant driver and had the right of way, defendant was speeding and passed a stopped van without ensuring such movement could be made in safety — Plaintiff erroneously concluded that there were no vehicles in close proximity to intersection.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2" w:name="Case Summary_14"/>
            <w:bookmarkEnd w:id="1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suffered in a motor vehicle accident. The plaintiff was driving northbound and made a left hand turn at an intersection while the defendant proceeded southbound through the intersection. A white van had stopped in the southbound lane across from the plaintiff as it also wanted to make a left hand turn. The intersection was controlled by stop signs for east west traffic. Neither woman saw the other in time and the defendant's vehicle struck the plaintiff's vehicle broadside.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3" w:name="Holdings of Court_11"/>
            <w:bookmarkEnd w:id="19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found 40 per cent liable and the plaintiff was found 60 per cent liable. The court accepted that the defendant was so close to the intersection when the plaintiff commenced entry into the southbound lane as to constitute an immediate hazard, thereby giving the defendant the right of way as the dominant vehicle. The plaintiff failed to see the defendant's vehicle because her line of vision was obscured by the south-facing white van at the moment she commenced her turn. The plaintiff erroneously concluded that there were no vehicles in close proximity to the intersection. The plaintiff did not expect the defendant to appear. She clearly misjudged the prospect of a vehicle coming from behind the stopped white van. The defendant, however, drove at an excessive rate of speed which might have contributed to the fact that the plaintiff did not have sufficient time to clear the intersection. Passing the stopped white van without slowing or ascertaining that the movement could be made safely exposed both parties to a greater risk of collision. The combination of speed and direction change constituted a breach of the defendant's duty of care to the plaintiff, thus contributing to the collision.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4" w:name="Legislation Cited_13"/>
      <w:bookmarkEnd w:id="19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9"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38" w:history="1">
        <w:r>
          <w:rPr>
            <w:rFonts w:ascii="arial" w:eastAsia="arial" w:hAnsi="arial" w:cs="arial"/>
            <w:i/>
            <w:color w:val="0077CC"/>
            <w:sz w:val="20"/>
            <w:u w:val="single"/>
            <w:shd w:val="clear" w:color="auto" w:fill="FFFFFF"/>
            <w:lang w:val="en-US" w:eastAsia="en-US" w:bidi="ar-SA"/>
          </w:rPr>
          <w:t>RSBC 1996, CHAPTER 318, s. 158</w:t>
        </w:r>
      </w:hyperlink>
      <w:r>
        <w:rPr>
          <w:rFonts w:ascii="arial" w:eastAsia="arial" w:hAnsi="arial" w:cs="arial"/>
          <w:color w:val="000000"/>
          <w:sz w:val="20"/>
          <w:lang w:val="en-US" w:eastAsia="en-US" w:bidi="ar-SA"/>
        </w:rPr>
        <w:t>, s. 174, s. 175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5" w:name="Counsel_16"/>
      <w:bookmarkEnd w:id="19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0"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Bethann Nerval: S.T.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Surjit Kaur Khehra and the Third Party, Insurance Corporation of British Columbia: D. Bretton.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Ramandeep Kaur Khehra in Action S021071: C. McIvor.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Bethann Louise Nerval in Action S021071: A. Bevan.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6" w:name="Judgment_16"/>
      <w:bookmarkEnd w:id="196"/>
      <w:r>
        <w:pict>
          <v:line id="_x0000_s1111"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7" w:name="T.C. ARMSTRONG J."/>
            <w:bookmarkEnd w:id="197"/>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October 16, 2007, a car accident occurred at the intersection of Blue Jay Street and Sandpiper Drive in Abbotsford (the "Intersection"). Bethann Nerval was attempting a left turn at the Intersection at the same moment Ramandeep Khehra was proceeding southbound through the Intersection. Neither woman saw the other in time and Ms. Khehra's vehicle struck Ms. Nerval's vehicle broadside. Both parties were injured and have sued one another. This trial was restricted to the issue of which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collision. The measure of fault attributed to each party will govern the apportionment of their entitlement to damages, which will be tried separately from the liability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Undisputed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collision occurred sometime between 8:15 and 8:24 a.m. The weather conditions on that day were not a factor in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Khehra was 18 years of age and held a BC driver's license restricting her right to drive; she was required to have with her another occupant aged 25 years or older holding a valid BC driver's license. At the time of the collision she was in breach of this condition of her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Khehra was driving a 2001 Ford Explorer southbound on Blue Jay Street to her work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Nerval was a 29 year-old business student and mother of three infant children, Simran, Jasmine, and Kiran, who were passengers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Nerval was driving a 2002 Ford Windstar van and was returning to her home at Onyx Place in Abbotsford; this was a short distance from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Blue Jay Street is a two-lane north/south road with one lane running in each direction. The Intersection is controlled by stop signs for east west traffic; there are no restrictions on traffic on Blue Jay. Approximately 600 metres south of the Intersection Blue Jay also intersects with Blue Ridge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From Blue Ridge to Sandpiper, Blue Jay slopes downhill for approximately 400 metres after which the road levels out for approximately 630 feet leading to the Intersection. Blue Jay remains a level roadway south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Nerval drove northbound on Blue Jay and came to a stop at the Intersection. She was intending to make a left turn onto Sandpiper.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Ms. Nerval approached the Intersection she observed a white van stopped, in the southbound lane across from her at the Intersection and signalling its intention to turn left onto Sandpiper. She waited several seconds before starting to turn across the southbound lane toward the westbound lane on Sandpiper.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Khehra entered onto Blue Jay at Blue Ridge. She travelled south toward the Intersection and observed the white van travelling in front of her. It reached the Intersection ahead of her and she observed it activate a left turn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Khehra continued southbound. As Ms. Nerval started her left turn, Ms. Khehra proceeded into the Intersection and drove into the side of the Nerval vehicle. The damage to both vehicles was extensive. There is disagreement on the question of whether Ms. Khehra travelled around the white van or simply followed through after the van completed its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identity of the driver of the white van was not discovered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Khehra argues that Ms. Nerval breached her duty of care in failing to yield the right of way. Ms. Khehra submits that she was the dominant driver and Ms. Nerval was the servient driver immediately prior to the collision. Consequently, Ms. Khehra claims Ms. Nerval was obliged to delay her left turn until she could complete that manoeuvre without causing Ms. Khehra to take some sudden or violent action to avoid the threat of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Khehra further argues that her vehicle was an immediate hazard when Ms. Nerval commenced her left turn into the path of the southbound car. Ms. Khehra also claims that, on the issues of credibility, Ms. Nerval is not to be believed; she says Ms. Nerval was not looking or did not stop before making her turn and that her assertions otherwise are not credible. She submits that Ms. Nerval was solely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Nerval argues that Ms. Khehra was traveling at an excessive rate of speed as she approached the Intersection. The accident occurred in a residential area with a nearby bus stop and pedestrian traffic. She says that Ms. Khehra was sufficiently far back from the Intersection when Ms. Nerval commenced her turn that she was not an immediate hazard; Ms. Nerval submits that she was in the dominant position. Finally, Ms. Nerval claims Ms. Khehra passed the white van on the right and failed to establish that, in passing on the right, she exercised proper care to ensure her movement could be completed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result of these factors, Ms. Nerval argues that Ms. Khehra is solely responsible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creates the statutory duties of motorists in the circumstances of these parties. They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Passing on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158 (1) The driver of a vehicle must not cause or permit the vehicle to overtake and pass on the right of another vehicle, except</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 overtaken is making a left turn or its driver has signalled his or her intention to make a left turn,</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 or</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 one way street or a highway on which traffic is restricted to one direction of movement, where the roadway is free from obstructions and is of sufficient width for 2 or more lanes of moving vehicles.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driver of a vehicle must not cause the vehicle to overtake and pass another vehicle on the right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driving the vehicle off the roadway.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Yielding right of way on left 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legal principles governing collisions involving left-turning vehicles are straightforward. The first question is whether Ms. Khehra constituted an immediate hazard prior to Ms. Nerval commencing her turn. The answer to that question will determine which of the two was the dominant driver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motor vehicle is an immediate hazard if its driver must take a sudden or violent action to avoid the threat of collision if a servient vehicle is about to make a left turn entering or crossing the highway in the path of the approaching vehicle: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43 W.W.R. 405</w:t>
        </w:r>
      </w:hyperlink>
      <w:r>
        <w:rPr>
          <w:rFonts w:ascii="arial" w:eastAsia="arial" w:hAnsi="arial" w:cs="arial"/>
          <w:color w:val="000000"/>
          <w:sz w:val="20"/>
          <w:lang w:val="en-US" w:eastAsia="en-US" w:bidi="ar-SA"/>
        </w:rPr>
        <w:t xml:space="preserve"> at 410, </w:t>
      </w:r>
      <w:hyperlink r:id="rId439" w:history="1">
        <w:r>
          <w:rPr>
            <w:rFonts w:ascii="arial" w:eastAsia="arial" w:hAnsi="arial" w:cs="arial"/>
            <w:i/>
            <w:color w:val="0077CC"/>
            <w:sz w:val="20"/>
            <w:u w:val="single"/>
            <w:shd w:val="clear" w:color="auto" w:fill="FFFFFF"/>
            <w:lang w:val="en-US" w:eastAsia="en-US" w:bidi="ar-SA"/>
          </w:rPr>
          <w:t>[1963] B.C.J. No. 14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cited to W.W.R.]. The time to assess the question of an immediate hazard is when the left-turning vehicle commences the turn: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at 414.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If I conclude Ms. Khehra was the dominant driver, she may still be in breach of her duty of care to Ms. Nerval because she failed to take reasonable care when passing the other south-facing van on the right and entering into the Intersection at an unsafe speed when the view of the intersection was obscured by the white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burden of proving that the speed of the dominant vehicle caused or contributed to the accident rests in this case with the driver in the position of Ms. Nerval. In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[1993] B.C.J. No. 154</w:t>
        </w:r>
      </w:hyperlink>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75 B.C.L.R. (2d) 273</w:t>
        </w:r>
      </w:hyperlink>
      <w:r>
        <w:rPr>
          <w:rFonts w:ascii="arial" w:eastAsia="arial" w:hAnsi="arial" w:cs="arial"/>
          <w:color w:val="000000"/>
          <w:sz w:val="20"/>
          <w:lang w:val="en-US" w:eastAsia="en-US" w:bidi="ar-SA"/>
        </w:rPr>
        <w:t xml:space="preserve"> (C.A.), the court described the burden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 As stated by Cartwright, 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461: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Burgess v. Fisher</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2009 BCSC 1766</w:t>
        </w:r>
      </w:hyperlink>
      <w:r>
        <w:rPr>
          <w:rFonts w:ascii="arial" w:eastAsia="arial" w:hAnsi="arial" w:cs="arial"/>
          <w:color w:val="000000"/>
          <w:sz w:val="20"/>
          <w:lang w:val="en-US" w:eastAsia="en-US" w:bidi="ar-SA"/>
        </w:rPr>
        <w:t xml:space="preserve"> at para 21, Barrow J. described the servient driver's duty as requiring that driver to assess how far away the through travelling vehicle is from the intersection and how fast it is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Nerval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Nerval was a business student at the local University College. She obtained her driver's license in 2002 and owned the Ford Windstar van which she was driving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the morning of October 16, 2007, Ms. Nerval drove from her children's school to Blue Jay and travelled north toward the Intersection. Her plan was to turn left at Sandpiper.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Once on Blue Jay she approached the Intersection and noticed a white van stopped in the southbound lane with its left turn signal activated. She estimated that the van was one foot away from the center line of the road but was not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Nerval could not see through the van but was able to look past the west side of the van after she had stopped. She was looking to the west of the van to see if there was traffic in the vicinity of the bus stop immediately to the west of the roadway. She waited about eight to ten seconds, saw nothing, and proceeded to complete her turn. The nose of her vehicle had almost reached Sandpiper when her van was struck on the passenger side by the Khehra vehicle. She did not see or hear the Khehra vehicle before impact. Ms. Nerval's vehicle was moved south by the force of the Khehra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Under cross-examination Ms. Nerval said she was not in a rush and was not worried about being late for school. Although the plaintiff raised an issue about Ms. Nerval being late for a school exam, I conclude that her schedule was not a factor in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Nerval did not see any vehicles behind the white van as she approached the Intersection. She indicated she could see as far as 150 metres north on Blue Jay after she stopped; she could not see directly behind the white van, but could see the left side of the van and the bus area. Although she could see some portion of the road to the north, she did not see the Khehra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Nerval agreed that at the Intersection Blue Jay was wide enough for a vehicle to pass on the right-hand side. The road widened to accommodate the bus stop and at that point there was room for a southbound vehicle to travel past a stopped southbound vehicle and travel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She believed that she was stopped one foot off the center line when she began her turn; she could see the yellow line. Ms. Nerval indicated that when stopped her vehicle was on an angle and a little west of the van. This presumably gave her a better view of the south 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she approached the Intersection she wondered why the white van coming towards her was stopped; she had not seen pedestrians in the area. Contrary to those statements, at her examination for discovery Ms. Nerval had said she did not recall vehicles coming down the hill and did not remember if there were pedestrians in the area. In response to counsel's questions she said, "Your questions [at the discovery] made me rethink my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Nerval could not estimate the amount of time that passed between starting her turn toward Sandpiper and the impact. She described her speed as "walking speed," but at her discovery she was unable to remember her speed after starting the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Khehra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night prior to the accident Ms. Khehra's parents were involved in an unrelated auto accident. They were taken to hospital and Ms. Khehra with her sister attended the hospital to collect their parents. Ms. Khehra was back in bed by approximately 2 a.m. and rose the next morning intending to go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Unfortunately, her parents were not awake and she was unable to find money for a taxi so took the Ford Explorer without her parents' permission. She was a new driver and was aware she was not permitted to drive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Khehra called her work to say she might be late. She drove along Blue Ridge Drive to Blue Jay, turned right on to Blue Jay and drove south. She confirmed that south of the Blue Ridge intersection, Blue Jay declines sharply for several hundred metres after which the pitch of the road lessens and eventually levels as it approaches to the Intersection. She said her speed was between 50 and 55 km/h. She denied the suggestion that she was travelling at 80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Khehra testified that there was a white van travelling about 12 feet in front of her as she drove down Blue Jay and approached Sandpiper; this vehicle was applying its brakes. In her evidence she could not remember if the van actually stopped at the Intersection, but when cross-examined on her evidence at an examination for discovery she said it stopped for a "second or two" and quickly turned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cross-examination she could not remember her discovery evidence that she saw the white van as she was mid-way down the hill on Blue Jay.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Khehra denied travelling at 80 km/h or more and denied swerving or turning to go around the stopped white van. She said she did not pass the van on the right, although she may have been a little more on her right side of the lane as she drove through the Intersection; she said the lane was quite wide at that point. She knew there was a bus stop on the right hand side of Blue Jay before the Intersection and it was common to see pedestrians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testified that she applied her brakes and slowed to about 50 km/h at the Intersection. The white van cleared the Intersection and she was suddenly faced with the Nerval vehicle on an angle facing west. She did not see the Nerval vehicle before the impact and said she had no opportunity to apply her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Khehra repeatedly testified to the fact that contradictions between her discovery evidence and her evidence at trial resulted from the stress of being unrepresented at the discovery. However, she said she had spoken to a lawyer before attending at her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Cst. Jason Baskin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Cst. Baskin is a police constable with the Abbotsford Department and attended at the accident with a training officer, Sgt. Wilcox. Cst. Baskin had been working as a police officer for about five months and was in the midst of his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Cst. Baskin attended at the scene of the accident sometime after 8:24 a.m. At the accident scene he recorded information from the drivers of the motor vehicles involved and sometime that day completed a MV6020 along with Sgt. Wilcox.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Cst. Baskin advised that his function at the accident scene was to record details in his book as an aid to his memory if he goes to court. The book he used on this occasion had been lost to a theft and all he had with him were the typed notes that he had compiled after visiting the parties in the hospital later in the day of the accident. He indicated that depending on the circumstances of the case the gap between taking his notes of the accident and transposing the notes into his written report could be one to two hours. He did not tape record or otherwise record the statements from the parties involved in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Cst. Baskin did not recall which of the witnesses at the accident scene he personally interviewed, but reported that he prepared a typewritten report from the handwritten notes he placed in his regular black book. He said he prepared this statement sometime after leaving the hospital and after the vehicles had been towed from the scene. Cst. Baskin indicated that the driver of a Ford Explorer was the defendant Ms. Khehra and the driver of the Windstar van was the plaintiff Ms. Nerval.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told the Court that a Toyota Corolla driven by Mr. Malhi and accompanied by Mr. Sandhu was also involved in the accident. This was a driver instructional vehicle. Mr. Sandhu was the instructor.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Ms. Nerval applied to tender her statement to Cst. Baskin because she could not recall the events surrounding the collisions.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was held. Cst. Baskin reported that Ms. Nerval had told him that she was making a left-hand turn to go westbound on Sandpiper. At the time there was a van facing southbound indicating a left turn and an intention to go eastbound on Sandpiper. She said she did not see any other motor vehicle coming towards her. She did not remember if she had her signal light on; there was no mention of a signal light in his notes. Ms. Nerval told him that the other van had its signal on. That is the totality of his conversation with Ms. Nerval.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defence opposed the admission of this statement into evidence on the basis that it fails to meet the requirement of necessity. The defence argues that to be admissible the statement must be used to rebut an allegation of recent fabrication, be a prior inconsistent statement, or be a statement contemporaneous with an event reported in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conclude that the statement is not admissible. The circumstances under which the statement was taken do not reflect that it was taken contemporaneously with the event. The evidence did not support the suggestion that it was a contemporaneous report. There was no suggestion that the statement was inconsistent with the evidence given by Ms. Nerval at the trial and no suggestion that the there was an allegation of recent fabrication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If I am wrong in my conclusions regarding the admissibility of the statement, I would otherwise have concluded that the statement did not contain any information that materially augmented the evidence of Ms. Nerval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Cst. Baskin gave evidence of a statement from Ms. Khehra. He said that he could not remember if he had interviewed Ms. Khehra at the site of the accident or the hospital, but that she had responded to his questions. He did not remember if she had suffered any injuries or anything else about her condition. He did note on the MV6020 a reference to Ms. Khehra having experienced a head injury, whiplash, and a note that she was somewhat agitated.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Cst. Baskin acknowledged that he wrote notes because he is unable to remember people and events over long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said that it was possible that his notes might have contained more information, but that he recorded what he thought was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said that the ticket issued to Ms. Khehra was for unsafe passing on the right and driving without a qualified adult in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Khehra apparently reported to him that she was going southbound on Blue Jay and as she approached the Intersection there was a van with a left turn signal on ready to go east on Sandpiper. She went around the right side of the van but did not slow as she observed the van was "making its turn." She did not see the Nerval vehicle prior to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Neither Ms. Khehra nor Ms. Nerval was cross-examined on the statements given to the police. Neither statement was admissible for the truth of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Cst. Baskin also took a statement from Parvinder Sandhu, the driving instructor. He suffered no apparent physical injuries. Mr. Sandhu said that he was stopped when he observed the Khehra vehicle coming fast, estimating her speed at 65 km/h. He said that there were two other witnesses at the accident. Cst. Baskin was never able to talk to one of the witnesses and another witness declined to speak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Cst. Baskin confirmed that the northbound lane of Blue Jay at the Intersection was approximately 22 feet wide and that the average vehicle width was 7 to 8 feet. He agreed that two vehicles could safely drive on the northbound lane in which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Cst. Baskin reviewed photographs of the accident scene and confirmed they showed an accurate picture of the physical shape of the road and the lines. He said at the Intersection the road surface was pretty flat and wide open and that the visibility for north and south would have been excellent.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Lakhbir Rai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Lakhbir Rai is a 40-year-old construction worker and crane operator. Mr. Rai observed the accident and testified about the speed of the Khehra vehicle. He based his estimates on his job experience as a concrete finisher and using machines that travel 60 km/h. He had also driven a Ford Explorer on one occasion. He did not testify as to his general experience driving automobiles. He had no driver training in speed estimation and no experience with radar devices.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the day of the accident he was driving a Ford F150 pick-up truck and had parked that vehicle on the side of Blue Jay near the intersection of Blue Jay and Blue Ridge. He walked his child to a nearby school; he returned to his truck and as he prepared to start driving when he noticed a Ford Explorer travel past him at what could be best described as a high rate of speed. Mr. Rai estimated that this vehicle was travelling in excess of 80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pulled on to Blue Jay and drove south. He observed the Khehra vehicle ahead of him and noticed that the gap between his truck and the Khehra vehicle was increasing. From the point where he entered Blue Jay he said there was a steep slope to the south. He said he heard a loud noise as this vehicle moved ahead of him and could hear the motor racing as the vehicle was heading down the hill toward Sandpiper. He said that the Khehra vehicle did not have brake lights on as it travelled down the steepest part of Blue Jay and he did not see any brake lights on her vehicle from that point until the collision. He said that she was "pulling away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the Khehra vehicle drove south, he noticed a white van in the Intersection signalling to turn left. He could see a green van (the Nerval vehicle) intending to turn west on Sandpiper. He saw the Khehra vehicle swerve to the right to pass the left turning white van and was surprised to see the Nerval vehicle turning to the left. He saw the Nerval vehicle start to turn and as the Khehra vehicle passed to the right around the south facing white van the two vehicles collided.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Rai was cross-examined on his estimate of the Khehra vehicle's speed. He acknowledged that at the time of the collision he was 165 yards south of the Intersection. He said the space between his vehicle and the Khehra vehicle continued to expand as he drove southbound. He said the Khehra vehicle did not appear to slow as it reached the Intersection and swerved to pass the white van as it signalled its intention to make a left turn westbound onto Sandpiper.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was also able to see the Nerval vehicle turning left at the Intersection. It is significant that Mr. Rai saw the Nerval vehicle before the collision yet Ms. Khehra did not see the Nerval vehicle before it pulled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eventually conceded he did not know Ms. Khehra's exact speed before the impact, but he did not waiver from his estimate that Ms. Khehra was moving very fast; he said her speed was phenomenal. He repeatedly said he believed she was travelling more than 80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Rai was challenged about his perception of the time elapsing while Ms. Khehra approached Sandpiper. He realized his estimate of time was likely incorrect, but that correction did not impact on his estimate of her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James Tait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Tait is an accident investigator called by the defendants. He took photographs of the scene and produced a video of Blue Jay leading up the point of the collision. He measured the distance from Blue Ridge to Blue Jay at 600 metres and from the flat lower portion of Blue Jay to Sandpiper at 512 feet. He said the drive from Blue Ridge to Sandpiper at 50 km/h occupied 47 seconds. I found Mr. Tait to be a little unclear as to where he actually commenced his measurements; however, I am satisfied that within a reasonable margin of error of his measurements are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video showed at the trial was of modest assistance in giving the Court a general perspective on the area. I did not find the video helpful in re-creating in any way the events leading up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Both Ms. Nerval and Ms. Khehra had statutory obligations concerning their driving at the time of the accident. Ms. Nerval, pursuant to s. 174, had to yield to vehicles approaching that were so close as to constitute an immediate hazard. Ms. Khehra, pursuant to s. 158, could not pass the white van on the right unless the movement could be made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factual issues to be resolved are these: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far from the Intersection was Ms. Khehra when Ms. Nerval commenced her left turn;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Khehra passed the white van on the right as opposed to following straight after the white van made its turn;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speed was Ms. Khehra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find that Ms. Khehra was so close to the Intersection when Ms. Nerval commenced entry into the southbound lane as to constitute an immediate hazard, thereby giving Ms. Khehra the right of way as the dominant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Generally speaking, Ms. Khehra, the dominant driver, was entitled to proceed through the Intersection and Ms. Nerval, the servient driver, was required to yield the right-of-way: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However, the caveat to the proposition set out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is whether Ms. Khehra's speed was such that she failed to achieve the status as the dominant driver at the moment Ms. Nerval began her turn: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[1992] B.C.J. No. 446</w:t>
        </w:r>
      </w:hyperlink>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90 D.L.R. (4th) 322</w:t>
        </w:r>
      </w:hyperlink>
      <w:r>
        <w:rPr>
          <w:rFonts w:ascii="arial" w:eastAsia="arial" w:hAnsi="arial" w:cs="arial"/>
          <w:color w:val="000000"/>
          <w:sz w:val="20"/>
          <w:lang w:val="en-US" w:eastAsia="en-US" w:bidi="ar-SA"/>
        </w:rPr>
        <w:t xml:space="preserve"> at 326 (C.A.). The burden is on Ms. Nerval to establish that after she entered into the Intersection Ms. Khehra became or should have become aware of Ms. Nerval's presence and had a sufficient opportunity to avoid the accident, of which "a reasonably careful and skilled driver would have availed himself":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Nerval testified that she stopped for five to eight seconds before starting her turn and looked down Blue Jay 150 metres. She must establish on the balance of probabilities that Ms. Khehra's lack of care or speed deprives her of the right-of-way in the circumstances of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were no opinions of accident reconstruction engineers to assist in speed analysis, perception response analysis, or evasion potential. There was no opinion evidence as to the location of the impact. I was provided with photographs of the accident scene which showed the front left of the Khehra vehicle close to the right rear of the Nerval vehicle. A review of the photographs suggests that impact was on the right side of the southbound lane. The photos suggest that the Nerval vehicle moved west after impact and the Khehra vehicle was turned sideways. The damage to both vehicles was extensive, but I am unable to draw any conclusions as to speed based on the damage or location of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speed limit on Blue Jay was 50 km/h. I was given the calculations of speed reduced to metres per second for 50 km/h, 55 km/h, and 80 km/h. A motor vehicle traveling at those speeds would be moving at 13.88 m/sec, 15.27 m/sec, and 22.22 m/sec, respectively. Ms. Nerval believed she was able to see 150 metres north on Blue Jay before commencing her turn. The length of time required by the Nerval vehicle to clear the Intersection was not in evidence. Approximately 6.75 seconds would have elapsed from the time Ms. Khehra was 150 metres away until the collision if she had maintained a constant speed of 80 km/h until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Nerval was unable to give the speed of her vehicle during the turn; she mentioned "walking speed" but this evidence was inconsistent with her discovery testimony. If Ms. Nerval had travelled the seven meters plus the length of her van across Blue Jay (the distance required for the rear of her van to reach Sandpiper) at 10 kmh, she would have required 7.2 seconds to clear the southbound lane. This calculation is made based on the possible, not proven speed of Ms. Nerval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burden of proof that, but for Ms. Khehra's speed, the collision might not have happened rests with Ms. Nerval. The evidence on this issue is unclear and I am unable to say that Ms. Khehra was not a hazard when Ms. Nerval commenced her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is clear to me that the Khehra vehicle was not observed by Ms. Nerval because her line of vision was obscured by the south-facing white van at the moment she commenced her turn. Ms. Nerval does not appear to have looked to the north at any time during her left turn and before the impact. In my view, Ms. Nerval erroneously concluded that there were no vehicles in close proximity 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accept the evidence of Mr. Rai that Ms. Khehra was travelling at a high rate of speed as she approached the Intersection. Although he eventually acknowledged he was not certain of her speed, he left no doubt that she was travelling very fast. I do not conclude that she was going 80 km/h or more but I accept that she was travelling more than 50 km/h. I am also satisfied that he was correct in his observation that Ms. Khehra swerved to the right to pass the stopped white van. When she did so she was heading directly toward the impact. Ms. Nerval did not expect Ms. Khehra to appear; she clearly misjudged the prospect of a vehicle coming from behind the stopped white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Khehra was a new driver and did not have an 25 year old licence holder with her. I do not accept her evidence that she was travelling at 50 km/h prior to the collision. Mr. Rai had no interest in the outcome of this trial. Ms. Khera's evidence at trial contradicted her discovery testimony; I did not accept that the errors in her discovery evidence stemmed from the stress of being unrepresented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that Ms. Nerval has not met the burden of proof that the Khehra vehicle was not an immediate hazard when she began her turn. There were between seven and eleven seconds during which Ms. Nerval ought to have seen the Khehra vehicle; she simply misjudged the risks. Ms. Nerval failed to see the Khehra vehicle which was obviously on the road. In these circumstances, Ms. Nerval was the servient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However, the circumstances of this accident also engage s. 158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When Ms. Khehra passed the white van on the right she was obliged not to do so unless the passage could be made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Sandhu v. Gill</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[1999] B.C.J. No. 2742</w:t>
        </w:r>
      </w:hyperlink>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49 M.V.R. (3d) 32</w:t>
        </w:r>
      </w:hyperlink>
      <w:r>
        <w:rPr>
          <w:rFonts w:ascii="arial" w:eastAsia="arial" w:hAnsi="arial" w:cs="arial"/>
          <w:color w:val="000000"/>
          <w:sz w:val="20"/>
          <w:lang w:val="en-US" w:eastAsia="en-US" w:bidi="ar-SA"/>
        </w:rPr>
        <w:t xml:space="preserve"> (S.C.), Burnyeat J. reviewed the authorities involving the obligations set out in ss. 158 and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He found that the obligation created by s. 174 has priority over the obligation created by s. 158; however, the onus on the left turning driver is not absolute, and may be qualified based on the conduct of the through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find that Ms. Khehra drove her vehicle along Blue Jay toward the Intersection at a high rate of speed. On nearing the Intersection she was aware of the white van indicating it was intending to make a left turn. She chose to pass the van on the right. The proximity of Ms. Khehra's vehicle and her speed resulted in Ms. Nerval commencing her turn at a time when Ms. Khehra was an immediate hazard. It is unclear why Ms. Nerval did not see Ms. Khehra other than to speculate that the white van obscured the view both parties had of the other. If she had been travelling at a more responsible speed there might have been sufficient time for Ms. Nerval to clear Ms. Khehra's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Ms. Khehra was an inexperienced driver who was required by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to have a 25-year-old driver present with her at all times while driving. She was also late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Khehra's evidence in relation to her speed was unreliable; where it conflicted with Mr. Rai's evidence I accept his comments that she was travelling faster than the speed limit. Ms. Khehra was not travelling 12 feet behind the white van, she was travelling well in excess of 50 km/h, she swerved to pass the white van on the right, and she should have been more cautious when passing on the right because her visibility was obscured. Mr. Rai saw the Nerval vehicle before the impact and it was on the road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 conclude that Ms. Khehra was travelling much faster than the speed limit and that passing the stopped white van without slowing or ascertaining that the movement could be made safely exposed both parties to a greater risk of collision. In the manner in which she passed the white van on the right, pursuant to s. 158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she did not do so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 adopt the statement of Catliff J. in </w:t>
      </w:r>
      <w:r>
        <w:rPr>
          <w:rFonts w:ascii="arial" w:eastAsia="arial" w:hAnsi="arial" w:cs="arial"/>
          <w:i/>
          <w:color w:val="000000"/>
          <w:sz w:val="20"/>
          <w:lang w:val="en-US" w:eastAsia="en-US" w:bidi="ar-SA"/>
        </w:rPr>
        <w:t>Santos (Guardian ad litem of) v. Raes</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[1998] B.C.J. No. 389</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While travelling with other traffic over the speed limit does not itself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it will constitute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excessive speed probably prevented the defendant from taking reasonable measures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servient vehicle, Ms. Nerval, did not observe and did not yield to Ms. Khehra, an immediate hazard and the dominant vehicle; however, in this case, the dominant vehicle was travelling well above the speed limit and passed the stopped white van on the right. She was permitted to execute that change in direction only if the movement could be made safely. The combination of speed and direction change constituted a breach of her duty of care to Ms. Nerval, contributing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distinguishing feature of this accident compared with the authorities cited by counsel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Kelly v. Yuen,</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2010 BCSC 1794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Reynolds v. Weston,</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[1989] B.C.J. No. 49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Pacheco,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Santos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 and Sabastiao v. Martin</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[1991] B.C.J. No. 191</w:t>
        </w:r>
      </w:hyperlink>
      <w:r>
        <w:rPr>
          <w:rFonts w:ascii="arial" w:eastAsia="arial" w:hAnsi="arial" w:cs="arial"/>
          <w:color w:val="000000"/>
          <w:sz w:val="20"/>
          <w:lang w:val="en-US" w:eastAsia="en-US" w:bidi="ar-SA"/>
        </w:rPr>
        <w:t xml:space="preserve"> (S.C.)) is that each of those cases involve circumstances in which the dominant driver occupied one of several marked lanes of traffic. In my view, that fact distinguishes those cases from the present. In this case, at the Intersection Blue Jay was a single southbound lane. Therefore, when Ms. Khehra "swerved" around the stopped southbound van she failed to see what, if anything, was at or in the Intersection. Similarly, Ms. Nerval was unable to see behind the stopped van and, although she saw some portion of the road north of the white van, she could not have seen directly behind that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When Ms. Khehra's vision of the Intersection was compromised she was obliged to take additional care while swerving around the stopped white van; there was the possibility of left-turning vehicles or crossing pedestrians that might become hazards in her way. Ms. Nerval, however, carried a much higher obligation to delay her turn until her turn could be made safely. In </w:t>
      </w:r>
      <w:r>
        <w:rPr>
          <w:rFonts w:ascii="arial" w:eastAsia="arial" w:hAnsi="arial" w:cs="arial"/>
          <w:i/>
          <w:color w:val="000000"/>
          <w:sz w:val="20"/>
          <w:lang w:val="en-US" w:eastAsia="en-US" w:bidi="ar-SA"/>
        </w:rPr>
        <w:t>Burgess, supra,</w:t>
      </w:r>
      <w:r>
        <w:rPr>
          <w:rFonts w:ascii="arial" w:eastAsia="arial" w:hAnsi="arial" w:cs="arial"/>
          <w:color w:val="000000"/>
          <w:sz w:val="20"/>
          <w:lang w:val="en-US" w:eastAsia="en-US" w:bidi="ar-SA"/>
        </w:rPr>
        <w:t xml:space="preserve"> Barrow J. states the servient driver must assess the distance and speed of the through travelling vehicle from the intersection. Ms. Nerval could not see the Khehra vehicle and so could not assess distance or speed. In my view, when Ms. Nerval, as the left turning vehicle, could not see the full roadway behind the opposite turning vehicle, she took the risk of starting the turn without sufficient knowledge of the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Ms. Nerval was required to prove that "by the exercise of reasonable care" Ms. Khehra "should have become aware, of the servient driver's own disregard of the law" as stated in </w:t>
      </w:r>
      <w:r>
        <w:rPr>
          <w:rFonts w:ascii="arial" w:eastAsia="arial" w:hAnsi="arial" w:cs="arial"/>
          <w:i/>
          <w:color w:val="000000"/>
          <w:sz w:val="20"/>
          <w:lang w:val="en-US" w:eastAsia="en-US" w:bidi="ar-SA"/>
        </w:rPr>
        <w:t>Pacheo</w:t>
      </w:r>
      <w:r>
        <w:rPr>
          <w:rFonts w:ascii="arial" w:eastAsia="arial" w:hAnsi="arial" w:cs="arial"/>
          <w:color w:val="000000"/>
          <w:sz w:val="20"/>
          <w:lang w:val="en-US" w:eastAsia="en-US" w:bidi="ar-SA"/>
        </w:rPr>
        <w:t xml:space="preserve"> at para 18. Ms. Nerval did not meet this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Liability in this situation is determined according to the rules of the road and the reasonableness of the actions of the parties. While referring to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 find the statement of principle of Groberman J.A.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applicable to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have concluded that both parties failed to meet their common law duties of care to each other. Ms. Khehra was the dominant vehicle but her conduct was a substantial contributing factor to this collision. For these reasons I conclude that the liability for this collision rests 40% with Ms. Khehra and 60% with Ms. Nerval.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parties will have liberty to address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2"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Nicoll v. Strata Plan 1611, [2005] B.C.J. No. 1177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Scarth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18 - 22,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 1651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1177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770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139 A.C.W.S. (3d) 787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Andrew Nicoll, plaintiff, and The Owners of Strata Plan 1611, The District of Campbell River and Her Majesty the Queen in Right of the Province of British Columbia as represented by the Minister of Transportation,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3"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8" w:name="Keywords_16"/>
      <w:bookmarkEnd w:id="198"/>
      <w:r>
        <w:rPr>
          <w:rFonts w:ascii="arial" w:eastAsia="arial" w:hAnsi="arial" w:cs="arial"/>
          <w:b/>
          <w:color w:val="000000"/>
          <w:sz w:val="20"/>
          <w:lang w:val="en-US" w:eastAsia="en-US" w:bidi="ar-SA"/>
        </w:rPr>
        <w:t xml:space="preserve">Damages — For torts — Affecting the person — Physical injuries — Leg injuries — Foot — Fractures — Ankle — General damages — For personal injuries — Calculation — Non-pecuniary damages, including pain and suffering — Retroactive loss of income — Cost of future care — Loss of earning capacity — Limits on compensatory damages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Causation — Causal connection — Foreseeability and remoteness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Occupiers' liability — Dangerous premises — Duty of occupier — To warn of danger.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9" w:name="Case Summary_15"/>
            <w:bookmarkEnd w:id="1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Nicoll against the defendant Strata Plan for damages for personal injury. In the early evening of September 23, 2000 the then 45-year old Nicoll left his motel to walk to a restaurant. He entered the Plan's property by a gravel pathway and cut across a grassy knoll. Nicoll got to the edge of the knoll and fell off a retaining wall. He fell three feet to the asphalt below and landed on the sole of his right foot, which exploded in substantial pain. There were no warning signs and the lighting was poor. Nicoll suffered a high-energy type fracture of his right leg. The fracture was in several pieces, which made healing difficult. Nicoll was in hospital for three weeks. Hs recovery was slow and painful. Nicoll was left with a permanent ankle deformity and leg length discrepancy. He continued to have chronic ankle pain which was permanent and which would deteriorate further as the joint became more arthritic and unstable. His options were ankle fusion or replacement which had their own problems.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0" w:name="Holdings of Court_12"/>
            <w:bookmarkEnd w:id="20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Plan was the occupier of the knoll and the wall. It owed a duty to Nicoll irregardless of his status when he entered the property. The Plan breached its duty to take reasonable care to ensure that it was reasonably safe to use its premises. The knoll constituted an unusual danger. The risk of an unguarded three-foot retaining wall to someone who crossed the knoll in semi-darkness was apparent. The result was that Nicoll suffered his injuries. However, Nicoll was 35 per cent contributorily negligent. Total damages of $334,159 included $100,000 for non-pecuniary damages, $18,000 for loss of past income, $15,000 for future care costs and $200,000 for loss of earning capacity. The award was reduced by Nicoll's portion of the liability.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1" w:name="Legislation Cited_14"/>
      <w:bookmarkEnd w:id="2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4"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177" w:history="1">
        <w:r>
          <w:rPr>
            <w:rFonts w:ascii="arial" w:eastAsia="arial" w:hAnsi="arial" w:cs="arial"/>
            <w:i/>
            <w:color w:val="0077CC"/>
            <w:sz w:val="20"/>
            <w:u w:val="single"/>
            <w:shd w:val="clear" w:color="auto" w:fill="FFFFFF"/>
            <w:lang w:val="en-US" w:eastAsia="en-US" w:bidi="ar-SA"/>
          </w:rPr>
          <w:t>R.S.B.C. 1996, c. 337 s. 1</w:t>
        </w:r>
      </w:hyperlink>
      <w:r>
        <w:rPr>
          <w:rFonts w:ascii="arial" w:eastAsia="arial" w:hAnsi="arial" w:cs="arial"/>
          <w:color w:val="000000"/>
          <w:sz w:val="20"/>
          <w:lang w:val="en-US" w:eastAsia="en-US" w:bidi="ar-SA"/>
        </w:rPr>
        <w:t>, s. 2, s. 3(1), s. 3(2), s. 3(3), s. 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2" w:name="Counsel_17"/>
      <w:bookmarkEnd w:id="2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5"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Lorenzo G. Oss-Cech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Owners of Strata Plan 1611: Bruce R. McConnan,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3" w:name="Judgment_17"/>
      <w:bookmarkEnd w:id="203"/>
      <w:r>
        <w:pict>
          <v:line id="_x0000_s1116" style="position:absolute;z-index:2518302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4" w:name="SCARTH J."/>
            <w:bookmarkEnd w:id="204"/>
            <w:r>
              <w:rPr>
                <w:rFonts w:ascii="arial" w:eastAsia="arial" w:hAnsi="arial" w:cs="arial"/>
                <w:b/>
                <w:color w:val="000000"/>
                <w:sz w:val="30"/>
                <w:lang w:val="en-US" w:eastAsia="en-US" w:bidi="ar-SA"/>
              </w:rPr>
              <w:t>SCARTH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Andrew Nicoll sustained injuries when he fell off a retaining wall located on land occupied by the defendant The Owners of Strata Plan 1611. He brings this action for damages under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Both liability and the quantum of damages are in issue.</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happened at dusk on September 23, 2000. Mr. Nicoll was then 45 years of age. He had left his home in Edmonton two days earlier and driven from there to Victoria and thence up to Campbell River on Vancouver Island where the accident occurred. He was by himself. The purpose of his visit was to have a vacation, tour the Island and look for a place where they milled yellow and red cedar, spruce and cypress for use in his guitar building business. September 23rd was the first time he had been to Campbell River. He arrived there about 8:00 o'clock in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He had not had dinner. After checking into a motel he asked the clerk at the front desk where there was a place to eat. She told him to follow the highway to the centre of town for restaurants.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Nicoll left the motel on foot between 8:20 and 8:30 p.m. He "guesses" the accident happened about 10 minutes later. The sun was setting or had set, but it was not dark, he testified. In fact, the sun set at 7:18 p.m. on that day. There was still enough natural light to distinguish shapes but not details, he told the Court. He was dressed in jeans, a leather jacket and Rockport walking shoes. He was wearing bi-focal glasses to correct his vision for near-sightedness and astigmatism. He had been wearing the same prescription lenses for a year or two, he stated, and had no difficulty seeing the ground. As well, although he was taking medication, Oxycodone, for his back pain due to an injury in 1991, he was cutting back on the dosage. The drug did not make him drowsy or have an effect on his perception, he said. He had not taken any alcohol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leaving the motel Mr. Nicoll crossed the highway and proceeded to walk along an asphalt footpath until he came to a gravel pathway which branched off the asphalt footpath to the right and continued in front of the Hidden Harbour condominium complex. A yellow metal T-shaped barricade prevented vehicles from gaining access to the gravel pathway, but this barricade could be removed if necessary for the fire brigade or other emergency vehicles. A few feet further on and to the left of the barricade there was a wooden post, mounted in concrete, at the top of the shoulder of a grassy knoll, upon which was affixed a sign reading "No Thru Road". The sign plainly referred to the gravel pathway.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area where Mr. Nicoll fell off the retaining wall is depicted in 11 photographs (ex. 1 tab A). They show that the grassy knoll was bounded on its north side by the south end of the first building of the Hidden Harbour complex, known as Beach Lodge. The gravel pathway forms the east boundary of the knoll, whilst a parking lot formed the south boundary and an asphalt driveway leading to a parking area ran along the west boundary of the knoll. The grass sloped upward toward Beach Lodge from the east, south and west borders of the knoll. Along the south border of the knoll was a retaining wall which was initially curb high but increased in height as it proceeded westward. This retaining wall then proceeded at a right angle along the western border of the knoll until it reached a masonry post toward the north boundary of the knoll, after which it continued along the asphalt driveway to the parking area. From its south west corner until it reached the post, and thereafter along the driveway, the retaining wall steadily increased in height. At the mid-way point between the south west corner of the retaining wall and the post the wall was approximately three feet in height. Mr. Nicoll testified that he did not notice the retaining wall at all before 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Nicoll went around the yellow barricade and, in the hope it would take him to the downtown area and a restaurant, walked in a northerly direction along the gravel pathway for about 200 feet. At that point he encountered another barricade and a "No Trespassing" sign. So he turned around and walked back along the gravel pathway.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he reached the grassy knoll he decided to cut across it to get to the highway. He acknowledged in cross-examination that there was no marked path across the knoll from the gravel pathway to the retaining wall on the other side, and that he left the safe pathway to cross the grass in order to save time. To do so he first had to walk up a three foot shoulder, angled at 45 degrees, and then walk to the top of the grassy slope and down the other side. At the top he could hear the traffic on the highway and see the lights. At that point in time it was dusk, he stated. He could see the ground and could see shapes. It was not altogether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From the top of the knoll Mr. Nicoll continued walking west down the grassy slope in the direction of the highway. His attention was focussed upward looking for the highway. He was scanning the whole area in front of him. He got to the edge of the knoll and stepped off the top of the retaining wall. Mr. Nicoll testified that he thought the top of the retaining wall was a curb; it looked to him like a curb. He expected to step off a curb onto the asphalt parking lot. He did not look down more than he normally does when he steps off a sidewalk; he looks down and carries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Nicoll testified that he had no idea it was a three foot drop from the top of the retaining wall to the asphalt below at the point he stepped off the knoll. There was no warning the drop was there and nothing prevented him from crossing the knoll or told him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Nicoll does not recall seeing the light on top of the masonry post located several feet to his right along the retaining wall from the point he stepped off the knoll. Nor does he recall seeing lights in the wooden posts along the gravel pathway or in the condominium. He thinks some vehicles may have had their headlights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Nicoll landed on the sole of his right foot. Then his leg "exploded", he told the Court. He fell forward and started screaming. People came to his assistance. The ambulance attended and he was taken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defence called Victor Lawrentiff as a witness. Mr. Lawrentiff is an independent contractor who has provided maintenance services to the Hidden Harbour condominium complex for just over six years. His maintenance crew of six do construction and landscape work, look after the swimming pool, and check the lights, usually each Monday, on the ocean side walkways, in the hallways, and at the pool, marina and parkade areas, the front entrance and other parts of the complex. His lighting checklist (ex. 6) shows that in the month of September, 2000 the lighting was checked on September 4, 11, 18 (5 days before the accident) and 25. Only the beach walk and marina lights were on a time clock, he stated. The others were operated by a photocell which could be adjusted by opening the shield on the light fixture. To check the lights he used a manual override.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Lawrentiff described the lighting in the area where Mr. Nicoll fell. Atop the masonry post which forms a part of the retaining wall on the west side of the knoll was a 150 watt bulb, which was activated by a photocell and came on at dusk in September. Across the driveway was a similar masonry post with a 150 watt bulb. Between the two posts was a barricade with two swing gates which were illuminated by flood lights located under the eaves of the office building on the west side of the driveway. They shone at a right angle to the ground. Lights under the gable shone straight to the walkway below at a 33 degree angle. Mr. Lawrentiff testified that the globes on top of the two posts "provide lots of illumination". They "would light up a city parking lot", he stated, and would illuminate the asphalt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paramedic, William Edward Williams, who attended with the ambulance summoned to assist Mr. Nicoll, arrived at the scene at 8:44 p.m. Mr. Williams was asked about the lighting at the scene. He testified that he could make out shapes but not details. The patient was on the ground. He used a flashlight for looking at his ankle. He does not recall if the globe light on top of the cinder-block post was on or not. His focus was on the patient, he stated. He would look at the surroundings for the purpose of determining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crew report (ex. 1 tab C) Mr. Williams noted under the section "Mechanism of Injury" that Mr. Nicoll was "Walking Stepped off 3' wall not lit". He took this information for the emergency room, he stated, as to why the fall occurred. It was not a quote of Mr. Nicoll's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examination in chief Mr. Williams testified that on the way to the hospital Mr. Nicoll commented that he was upset with the poor lighting. Mr. Williams was not cross-examined on this evidence by the defence; nor was Mr. Nicoll, whose cross-examination followed the testimony of Mr. Williams, questioned on the point. Nor, in his examination in chief, did Mr. Nicoll suggest that he had made a comment to Mr. Williams about the poor lighting in the area of the retaining wall where 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Nonetheless, the combined effect of Mr. Williams' evidence regarding the lighting at the scene of the fall leads me to conclude that the note in his crew report about the three foot wall not being lit when Mr. Nicoll walked off it was made as the result of a comment made by Mr. Nicoll to him and not a personal observation of Mr.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Lawrentiff told the Court that his hours of work at the Hidden Harbour condominium complex were from 7:00 in the morning until 4:00 in the afternoon, five days each week. He was not on duty at the time Mr. Nicoll fell. In the six years he has been working at the complex he has not heard of anyone falling in the vicinity of the retaining wall. In fact, he stated, he was not aware Mr. Nicoll had fallen until a few days before the trial. Following Mr. Nicoll's fall he was not instructed by the Strata Council to put up on the knoll a "No Trespassing" sign to keep people off the grass, or to extend the hedge from the existing hedge running along the north border of the knoll down alongside the retaining wall to the south west corner of the knoll. Nor was he instructed to put a railing on the retaining wall or to paint the top of the retaining wall a different colour or to put a sign up relating to the hazard. In re-examination he agreed with counsel for the defendant that the retaining wall was not seen as a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Lawrentiff stated in his direct examination that in September, 2000 he had not seen people walk from the gravel pathway on the east side of the knoll across the grass to get to the office on the west side. There was no pathway marked across the grass, he said. In cross-examination by counsel for the plaintiff Mr. Lawrentiff stated that in his six years at the complex he has not seen one solitary person walk across the grass. He agreed he services the three buildings of the complex and certainly was not at the knoll all the time although his crew cut the grass.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Lawrentiff agreed in cross-examination that there was nothing preventing anyone from walking across the grass. He also agreed that the state of affairs of the property on September 23, 2000 was that there were no signs on the knoll telling people to stay off the grass or not to cut across the grass, or warning people about the drop off the retaining wall. He further agreed that the top of the retaining wall is the same size as a normal curb, and that in September, 2000 it looked like a normal street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found the plaintiff, Mr. Nicoll, the ambulance attendant, Mr. Williams, and the maintenance contractor, Mr. Lawrentiff, credible witnesses in giving their evidence relating to the fall. Each was careful in giving his testimony and generally speaking was responsive to questions put to him both in chief and in cross. In short, the personal demeanour of each of these witnesses was 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The Owners of Strata Plan 1611 is the occupier within the meaning of the Occupiers Liability Act of the grassy knoll and retaining wall from which Mr. Nicoll fell. That defendant maintains the grass on the knoll and the lights in the area where Mr. Nicoll fell. The relevant provisions of the Act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In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"occupier" means a person who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of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Subject to section 3(4), and sections 4 and 9, this Act determines the care that an occupier is required to show toward persons entering on the premises in respect of dangers to them, or to their property on the premises, or to the property on the premises of persons who have not themselves entered on the premises, that are due to the state of the premises, or to anything done or omitted to be done on the premises, and for which the occupier is responsible by law. [None of sections 3(4), 4 or 9 applies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Occupiers'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applies to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Under s. 3(1) of the Act the defendant The Owners of Strata Plan 1611 owed the plaintiff Mr. Nicoll a duty to take such care as was reasonable in all the circumstances to ensure that he would be reasonably safe in using its premises, including the grassy knoll over which Mr. Nicoll walked to get to the highway beyond.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Plainly, the statutory duty imposed on the defendant as occupier of the premises is framed in terms of reasonableness: the defendant must take reasonable care to make the premises safe: Waldick v. Malcolm,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xml:space="preserve">, at p. 472; Weiss v. Greater Vancouver Y.M.C.A. </w:t>
      </w:r>
      <w:hyperlink r:id="rId457"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(C.A.), at p. 118; Liszt v. Walbohm Building Materials Ltd., </w:t>
      </w:r>
      <w:hyperlink r:id="rId458" w:history="1">
        <w:r>
          <w:rPr>
            <w:rFonts w:ascii="arial" w:eastAsia="arial" w:hAnsi="arial" w:cs="arial"/>
            <w:i/>
            <w:color w:val="0077CC"/>
            <w:sz w:val="20"/>
            <w:u w:val="single"/>
            <w:shd w:val="clear" w:color="auto" w:fill="FFFFFF"/>
            <w:lang w:val="en-US" w:eastAsia="en-US" w:bidi="ar-SA"/>
          </w:rPr>
          <w:t>[1987] B.C.J. No. 1149</w:t>
        </w:r>
      </w:hyperlink>
      <w:r>
        <w:rPr>
          <w:rFonts w:ascii="arial" w:eastAsia="arial" w:hAnsi="arial" w:cs="arial"/>
          <w:color w:val="000000"/>
          <w:sz w:val="20"/>
          <w:lang w:val="en-US" w:eastAsia="en-US" w:bidi="ar-SA"/>
        </w:rPr>
        <w:t xml:space="preserve"> (B.C. Cty. Crt.). The test is one of reasonableness, not of perfection: Hunning v. Huang, </w:t>
      </w:r>
      <w:hyperlink r:id="rId459" w:history="1">
        <w:r>
          <w:rPr>
            <w:rFonts w:ascii="arial" w:eastAsia="arial" w:hAnsi="arial" w:cs="arial"/>
            <w:i/>
            <w:color w:val="0077CC"/>
            <w:sz w:val="20"/>
            <w:u w:val="single"/>
            <w:shd w:val="clear" w:color="auto" w:fill="FFFFFF"/>
            <w:lang w:val="en-US" w:eastAsia="en-US" w:bidi="ar-SA"/>
          </w:rPr>
          <w:t>[1984] B.C.J. No. 2087</w:t>
        </w:r>
      </w:hyperlink>
      <w:r>
        <w:rPr>
          <w:rFonts w:ascii="arial" w:eastAsia="arial" w:hAnsi="arial" w:cs="arial"/>
          <w:color w:val="000000"/>
          <w:sz w:val="20"/>
          <w:lang w:val="en-US" w:eastAsia="en-US" w:bidi="ar-SA"/>
        </w:rPr>
        <w:t xml:space="preserve"> (S.C.), at [paragraph] 8; Thuveson v. Robert H. Nash &amp; Associates, </w:t>
      </w:r>
      <w:hyperlink r:id="rId460" w:history="1">
        <w:r>
          <w:rPr>
            <w:rFonts w:ascii="arial" w:eastAsia="arial" w:hAnsi="arial" w:cs="arial"/>
            <w:i/>
            <w:color w:val="0077CC"/>
            <w:sz w:val="20"/>
            <w:u w:val="single"/>
            <w:shd w:val="clear" w:color="auto" w:fill="FFFFFF"/>
            <w:lang w:val="en-US" w:eastAsia="en-US" w:bidi="ar-SA"/>
          </w:rPr>
          <w:t>[1997] B.C.J. No. 1177</w:t>
        </w:r>
      </w:hyperlink>
      <w:r>
        <w:rPr>
          <w:rFonts w:ascii="arial" w:eastAsia="arial" w:hAnsi="arial" w:cs="arial"/>
          <w:color w:val="000000"/>
          <w:sz w:val="20"/>
          <w:lang w:val="en-US" w:eastAsia="en-US" w:bidi="ar-SA"/>
        </w:rPr>
        <w:t xml:space="preserve"> (S.C.), at [paragraph] 6; Tomczyk v. British Columbia (Ministry of Environment Lands and Parks), </w:t>
      </w:r>
      <w:hyperlink r:id="rId461" w:history="1">
        <w:r>
          <w:rPr>
            <w:rFonts w:ascii="arial" w:eastAsia="arial" w:hAnsi="arial" w:cs="arial"/>
            <w:i/>
            <w:color w:val="0077CC"/>
            <w:sz w:val="20"/>
            <w:u w:val="single"/>
            <w:shd w:val="clear" w:color="auto" w:fill="FFFFFF"/>
            <w:lang w:val="en-US" w:eastAsia="en-US" w:bidi="ar-SA"/>
          </w:rPr>
          <w:t>[1998] B.C.J. No. 1877</w:t>
        </w:r>
      </w:hyperlink>
      <w:r>
        <w:rPr>
          <w:rFonts w:ascii="arial" w:eastAsia="arial" w:hAnsi="arial" w:cs="arial"/>
          <w:color w:val="000000"/>
          <w:sz w:val="20"/>
          <w:lang w:val="en-US" w:eastAsia="en-US" w:bidi="ar-SA"/>
        </w:rPr>
        <w:t xml:space="preserve"> (S.C.), at [paragraph] 12; Mason v. Reid, </w:t>
      </w:r>
      <w:hyperlink r:id="rId462" w:history="1">
        <w:r>
          <w:rPr>
            <w:rFonts w:ascii="arial" w:eastAsia="arial" w:hAnsi="arial" w:cs="arial"/>
            <w:i/>
            <w:color w:val="0077CC"/>
            <w:sz w:val="20"/>
            <w:u w:val="single"/>
            <w:shd w:val="clear" w:color="auto" w:fill="FFFFFF"/>
            <w:lang w:val="en-US" w:eastAsia="en-US" w:bidi="ar-SA"/>
          </w:rPr>
          <w:t>[1999] B.C.J. No. 1328</w:t>
        </w:r>
      </w:hyperlink>
      <w:r>
        <w:rPr>
          <w:rFonts w:ascii="arial" w:eastAsia="arial" w:hAnsi="arial" w:cs="arial"/>
          <w:color w:val="000000"/>
          <w:sz w:val="20"/>
          <w:lang w:val="en-US" w:eastAsia="en-US" w:bidi="ar-SA"/>
        </w:rPr>
        <w:t xml:space="preserve"> (S.C.), at [paragraph] 6; Castillo v. Westfair Foods Ltd. (c.o.b. Real Canadian Superstore), </w:t>
      </w:r>
      <w:hyperlink r:id="rId463" w:history="1">
        <w:r>
          <w:rPr>
            <w:rFonts w:ascii="arial" w:eastAsia="arial" w:hAnsi="arial" w:cs="arial"/>
            <w:i/>
            <w:color w:val="0077CC"/>
            <w:sz w:val="20"/>
            <w:u w:val="single"/>
            <w:shd w:val="clear" w:color="auto" w:fill="FFFFFF"/>
            <w:lang w:val="en-US" w:eastAsia="en-US" w:bidi="ar-SA"/>
          </w:rPr>
          <w:t>[1999] B.C.J. No. 1326</w:t>
        </w:r>
      </w:hyperlink>
      <w:r>
        <w:rPr>
          <w:rFonts w:ascii="arial" w:eastAsia="arial" w:hAnsi="arial" w:cs="arial"/>
          <w:color w:val="000000"/>
          <w:sz w:val="20"/>
          <w:lang w:val="en-US" w:eastAsia="en-US" w:bidi="ar-SA"/>
        </w:rPr>
        <w:t xml:space="preserve"> (S.C.), at [paragraph] 41. The defendant is not an insurer: Niblock v. Pacific National Exhibition </w:t>
      </w:r>
      <w:hyperlink r:id="rId464" w:history="1">
        <w:r>
          <w:rPr>
            <w:rFonts w:ascii="arial" w:eastAsia="arial" w:hAnsi="arial" w:cs="arial"/>
            <w:i/>
            <w:color w:val="0077CC"/>
            <w:sz w:val="20"/>
            <w:u w:val="single"/>
            <w:shd w:val="clear" w:color="auto" w:fill="FFFFFF"/>
            <w:lang w:val="en-US" w:eastAsia="en-US" w:bidi="ar-SA"/>
          </w:rPr>
          <w:t>(1981), 30 B.C.L.R. 20</w:t>
        </w:r>
      </w:hyperlink>
      <w:r>
        <w:rPr>
          <w:rFonts w:ascii="arial" w:eastAsia="arial" w:hAnsi="arial" w:cs="arial"/>
          <w:color w:val="000000"/>
          <w:sz w:val="20"/>
          <w:lang w:val="en-US" w:eastAsia="en-US" w:bidi="ar-SA"/>
        </w:rPr>
        <w:t xml:space="preserve"> (S.C.), at p. 28; Sall v. Coquitlam School District 43, </w:t>
      </w:r>
      <w:hyperlink r:id="rId465" w:history="1">
        <w:r>
          <w:rPr>
            <w:rFonts w:ascii="arial" w:eastAsia="arial" w:hAnsi="arial" w:cs="arial"/>
            <w:i/>
            <w:color w:val="0077CC"/>
            <w:sz w:val="20"/>
            <w:u w:val="single"/>
            <w:shd w:val="clear" w:color="auto" w:fill="FFFFFF"/>
            <w:lang w:val="en-US" w:eastAsia="en-US" w:bidi="ar-SA"/>
          </w:rPr>
          <w:t>[1995] B.C.J. No. 50</w:t>
        </w:r>
      </w:hyperlink>
      <w:r>
        <w:rPr>
          <w:rFonts w:ascii="arial" w:eastAsia="arial" w:hAnsi="arial" w:cs="arial"/>
          <w:color w:val="000000"/>
          <w:sz w:val="20"/>
          <w:lang w:val="en-US" w:eastAsia="en-US" w:bidi="ar-SA"/>
        </w:rPr>
        <w:t xml:space="preserve"> (S.C.), at [paragraph] 10; Chapman v. Bullock, </w:t>
      </w:r>
      <w:hyperlink r:id="rId466" w:history="1">
        <w:r>
          <w:rPr>
            <w:rFonts w:ascii="arial" w:eastAsia="arial" w:hAnsi="arial" w:cs="arial"/>
            <w:i/>
            <w:color w:val="0077CC"/>
            <w:sz w:val="20"/>
            <w:u w:val="single"/>
            <w:shd w:val="clear" w:color="auto" w:fill="FFFFFF"/>
            <w:lang w:val="en-US" w:eastAsia="en-US" w:bidi="ar-SA"/>
          </w:rPr>
          <w:t>[2002] B.C.J. No. 2998</w:t>
        </w:r>
      </w:hyperlink>
      <w:r>
        <w:rPr>
          <w:rFonts w:ascii="arial" w:eastAsia="arial" w:hAnsi="arial" w:cs="arial"/>
          <w:color w:val="000000"/>
          <w:sz w:val="20"/>
          <w:lang w:val="en-US" w:eastAsia="en-US" w:bidi="ar-SA"/>
        </w:rPr>
        <w:t xml:space="preserve"> (S.C.), at [paragraph]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duty exists regardless of whether Mr. Nicoll under the common law could be said to be an invitee, licensee or trespasser: Tutinka v. Mainland Sand and Gravel Ltd., </w:t>
      </w:r>
      <w:hyperlink r:id="rId467" w:history="1">
        <w:r>
          <w:rPr>
            <w:rFonts w:ascii="arial" w:eastAsia="arial" w:hAnsi="arial" w:cs="arial"/>
            <w:i/>
            <w:color w:val="0077CC"/>
            <w:sz w:val="20"/>
            <w:u w:val="single"/>
            <w:shd w:val="clear" w:color="auto" w:fill="FFFFFF"/>
            <w:lang w:val="en-US" w:eastAsia="en-US" w:bidi="ar-SA"/>
          </w:rPr>
          <w:t>[1993] B.C.J. No. 2630</w:t>
        </w:r>
      </w:hyperlink>
      <w:r>
        <w:rPr>
          <w:rFonts w:ascii="arial" w:eastAsia="arial" w:hAnsi="arial" w:cs="arial"/>
          <w:color w:val="000000"/>
          <w:sz w:val="20"/>
          <w:lang w:val="en-US" w:eastAsia="en-US" w:bidi="ar-SA"/>
        </w:rPr>
        <w:t xml:space="preserve"> (C.A.), at [paragraph] 52; Rendall v. Ewert </w:t>
      </w:r>
      <w:hyperlink r:id="rId468" w:history="1">
        <w:r>
          <w:rPr>
            <w:rFonts w:ascii="arial" w:eastAsia="arial" w:hAnsi="arial" w:cs="arial"/>
            <w:i/>
            <w:color w:val="0077CC"/>
            <w:sz w:val="20"/>
            <w:u w:val="single"/>
            <w:shd w:val="clear" w:color="auto" w:fill="FFFFFF"/>
            <w:lang w:val="en-US" w:eastAsia="en-US" w:bidi="ar-SA"/>
          </w:rPr>
          <w:t>(1989), 38 B.C.L.R. (2d) 1</w:t>
        </w:r>
      </w:hyperlink>
      <w:r>
        <w:rPr>
          <w:rFonts w:ascii="arial" w:eastAsia="arial" w:hAnsi="arial" w:cs="arial"/>
          <w:color w:val="000000"/>
          <w:sz w:val="20"/>
          <w:lang w:val="en-US" w:eastAsia="en-US" w:bidi="ar-SA"/>
        </w:rPr>
        <w:t xml:space="preserve"> (C.A.), at p. 9. The duty is measured by the objective standard of the reasonable person: Rendall, infra, at pp. 17,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onus rests on the plaintiff to prove on a balance of probabilities that the defendant was in breach of the duty of care owed by it under the Act and that the loss or injury complained of resulted from such breach: Bauman v. Stein </w:t>
      </w:r>
      <w:hyperlink r:id="rId469"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 at p. 127; Kayser v. Park Royal Shopping Centre Ltd., </w:t>
      </w:r>
      <w:hyperlink r:id="rId470" w:history="1">
        <w:r>
          <w:rPr>
            <w:rFonts w:ascii="arial" w:eastAsia="arial" w:hAnsi="arial" w:cs="arial"/>
            <w:i/>
            <w:color w:val="0077CC"/>
            <w:sz w:val="20"/>
            <w:u w:val="single"/>
            <w:shd w:val="clear" w:color="auto" w:fill="FFFFFF"/>
            <w:lang w:val="en-US" w:eastAsia="en-US" w:bidi="ar-SA"/>
          </w:rPr>
          <w:t>[1995] B.C.J. No. 2718</w:t>
        </w:r>
      </w:hyperlink>
      <w:r>
        <w:rPr>
          <w:rFonts w:ascii="arial" w:eastAsia="arial" w:hAnsi="arial" w:cs="arial"/>
          <w:color w:val="000000"/>
          <w:sz w:val="20"/>
          <w:lang w:val="en-US" w:eastAsia="en-US" w:bidi="ar-SA"/>
        </w:rPr>
        <w:t xml:space="preserve"> (S.C.), at [paragraph] 13; Thuveson, supra, at [paragraph] 5. Both causation and reasonable foreseeability are fundamental to the question of liability under the Act: Rendall, supra, at p.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conclude from the evidence before the Court that the defendant failed to exercise the duty of care imposed upon it by s. 3(1) of the Act with respect to the grassy knoll and retaining wall with the result that the plaintiff sustained injuries caused by his fall from the retaining wall, and accordingly the defendants are liable for damages subject to a determination of whether the plaintiff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a case involving a differential in height between the risers of two steps at a private residence, Arkesteyn v. Burgess, </w:t>
      </w:r>
      <w:hyperlink r:id="rId471" w:history="1">
        <w:r>
          <w:rPr>
            <w:rFonts w:ascii="arial" w:eastAsia="arial" w:hAnsi="arial" w:cs="arial"/>
            <w:i/>
            <w:color w:val="0077CC"/>
            <w:sz w:val="20"/>
            <w:u w:val="single"/>
            <w:shd w:val="clear" w:color="auto" w:fill="FFFFFF"/>
            <w:lang w:val="en-US" w:eastAsia="en-US" w:bidi="ar-SA"/>
          </w:rPr>
          <w:t>[1989] B.C.J. No. 264</w:t>
        </w:r>
      </w:hyperlink>
      <w:r>
        <w:rPr>
          <w:rFonts w:ascii="arial" w:eastAsia="arial" w:hAnsi="arial" w:cs="arial"/>
          <w:color w:val="000000"/>
          <w:sz w:val="20"/>
          <w:lang w:val="en-US" w:eastAsia="en-US" w:bidi="ar-SA"/>
        </w:rPr>
        <w:t xml:space="preserve"> (S.C.), Mr. Justice Hinds (later J.A.) identified four factors relevant to determining whether an occupant such as the defendant in that case has fulfilled the duty imposed by s. 3(1) of the Act: (1) did there exist an unusual danger; (2) were warning signs posted; (3) the ease or difficulty and expense with which the unusual danger could have been remedied; and (4) the prior record of safe usage of the premises. These factors bear relevance to the instant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there existed an unusual danger with respect to the retaining wall running along the western border of the knoll. The danger arose from the fact the retaining wall rose from the height of an ordinary street curb (3-4 inches) at its south east end to a height of three feet at the point the plaintiff stepped off it. Moreover, the top of the retaining wall was the same size as an ordinary street curb and, according to Mr. Nicoll, was the same colour as the asphalt pavement below it. I accept Mr. Nicoll's evidence that he thought he was stepping off a normal curb onto the asphalt pavement. Instead he crashed down three feet onto the pavement. The probabilities, I find, are that the 150 watt globes on top of the two masonry posts were not on at the time the plaintiff fell. In any event, I am not satisfied from the evidence that if they or the lights on the office building were on they would illuminate the area where the plaintiff stepped off the wall in such a way that he would be forewarned of the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No signs warning of the danger were posted. It was, in my view, reasonably foreseeable that someone cutting across the knoll at dusk would not appreciate the presence of the three foot drop from the retaining wall. The lack of any warning sign or protection to guard against someone falling off the wall brings home liability to the occupier in my judgment: Samis v. Vancouver (City), </w:t>
      </w:r>
      <w:hyperlink r:id="rId472" w:history="1">
        <w:r>
          <w:rPr>
            <w:rFonts w:ascii="arial" w:eastAsia="arial" w:hAnsi="arial" w:cs="arial"/>
            <w:i/>
            <w:color w:val="0077CC"/>
            <w:sz w:val="20"/>
            <w:u w:val="single"/>
            <w:shd w:val="clear" w:color="auto" w:fill="FFFFFF"/>
            <w:lang w:val="en-US" w:eastAsia="en-US" w:bidi="ar-SA"/>
          </w:rPr>
          <w:t>[1989] B.C.J. No. 262</w:t>
        </w:r>
      </w:hyperlink>
      <w:r>
        <w:rPr>
          <w:rFonts w:ascii="arial" w:eastAsia="arial" w:hAnsi="arial" w:cs="arial"/>
          <w:color w:val="000000"/>
          <w:sz w:val="20"/>
          <w:lang w:val="en-US" w:eastAsia="en-US" w:bidi="ar-SA"/>
        </w:rPr>
        <w:t xml:space="preserve"> (C.A.); Cempel v. Harrison Hot Springs Hotel Ltd. </w:t>
      </w:r>
      <w:hyperlink r:id="rId182"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at [paragraph] 11. Moreover, the defendant chose not to put the knoll "off limits". As Mr. Justice Iacobucci in delivering the judgment of the Supreme Court of Canada in Waldick v. Malcolm, supra, wrote at p. 477: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goals of the Act are to promote, and indeed, require where circumstances warrant, positive action on the part of occupiers to make their premises reasonably safe. The occupier may, however, wish to put part of his property "off limits" rather than to make it safe, and in certain circumstances that might be considered reasonable. Where no such effort has been made, as in the case at bar, the exceptions to the statutory duty of care will be few and narrow.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third factor identified by Mr. Justice Hinds in Arkesteyn v. Burgess, supra, is the ease or difficulty and expense with which the unusual danger could have been remedied. As Mr. Justice Macfarlane put it in Niblock v. Pacific National Exhibition, supra, at p.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to be considered is: What care, in all of the circumstances of this case, was reasonable to see that the plaintiff would be reasonably safe in using the premises? Obviously it was reasonable that there should be a guard-rail on the stairs. It ought to have been at a height which would have prevented people from falling off the stairs to the ground. It ought to have been at height which took account of the "risk reasonably to be perceived" (the words of Cardozo J. cited by Freedman J.A. and adopted by Spence J. in Campbell v. Royal Bank, </w:t>
      </w:r>
      <w:hyperlink r:id="rId473" w:history="1">
        <w:r>
          <w:rPr>
            <w:rFonts w:ascii="arial" w:eastAsia="arial" w:hAnsi="arial" w:cs="arial"/>
            <w:i/>
            <w:color w:val="0077CC"/>
            <w:sz w:val="20"/>
            <w:u w:val="single"/>
            <w:shd w:val="clear" w:color="auto" w:fill="FFFFFF"/>
            <w:lang w:val="en-US" w:eastAsia="en-US" w:bidi="ar-SA"/>
          </w:rPr>
          <w:t>[1964] S.C.R. 85</w:t>
        </w:r>
      </w:hyperlink>
      <w:r>
        <w:rPr>
          <w:rFonts w:ascii="arial" w:eastAsia="arial" w:hAnsi="arial" w:cs="arial"/>
          <w:color w:val="000000"/>
          <w:sz w:val="20"/>
          <w:lang w:val="en-US" w:eastAsia="en-US" w:bidi="ar-SA"/>
        </w:rPr>
        <w:t xml:space="preserve"> at 98. </w:t>
      </w:r>
      <w:hyperlink r:id="rId473" w:history="1">
        <w:r>
          <w:rPr>
            <w:rFonts w:ascii="arial" w:eastAsia="arial" w:hAnsi="arial" w:cs="arial"/>
            <w:i/>
            <w:color w:val="0077CC"/>
            <w:sz w:val="20"/>
            <w:u w:val="single"/>
            <w:shd w:val="clear" w:color="auto" w:fill="FFFFFF"/>
            <w:lang w:val="en-US" w:eastAsia="en-US" w:bidi="ar-SA"/>
          </w:rPr>
          <w:t>46 W.W.R. 79</w:t>
        </w:r>
      </w:hyperlink>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43 D.L.R. (2d) 341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maintenance contractor, Mr. Lawrentiff, acknowledged in cross-examination that the cost of three plastic signs measuring 18 inches by 20 inches and warning people to stay off the knoll would be $60 and require one-half hour to put up. Obviously, a rail built on top of the retaining wall or a hedge planted on the knoll side of the wall would afford greater protection to those who cut across the knoll from the gravel pathway on the east side, as the plaintiff did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However, I am of the view that it is not the Court's role to direct an occupier as to the steps it should take to make its property reasonably safe. The point here is that the defendant in this case took no steps at all apart from the installation of certain lights which I find did not serve the purpose of making the defendant's property reasonably safe for the plaintiff either because they had not been activated at the time he fell or they failed to illuminate the drop from the retaining wall at its critical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final factor identified by Mr. Justice Hinds is the prior record of safe usage of the premises. There is no evidence here of anyone apart from the plaintiff being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Justice Hinds in the Arkesteyn case, supra, at p. 4, comments that evidence of previous safe usage of premises is only one factor to be considered when determining whether the duty of care prescribed by s. 3(1) of the Act has been satisfied, and that it is not a determinative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judgment the risk of the unguarded three foot high retaining wall to someone crossing the knoll from the east in semi-dark conditions would be apparent to someone who applied his mind to the matter. The words of Mr. Justice Macfarlane in Niblock, supra, at p. 27, apply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think that an occupier can be relieved of responsibility for a failure to keep his premises reasonably safe by saying that he turned a blind eye to the danger because no one had yet been hurt and because no one else had warned him of the danger. If the unsafe condition was there to be seen by someone who was applying his mind to the relevant risks, then it was a duty of that occupier to take reasonable steps to remedy the problem. It could have been done easily and economically.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I stated earlier I conclude on the basis of the evidence before the Court that the defendant failed to exercise the duty of care imposed upon it by s. 3(1) of the Act, and that liability rests upon the defendant subject to the determination of whether the plaintiff was contributorily negligent. I turn to that issue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Nicoll was of course bound to take reasonable care for his own safety. He was a stranger to the area and chose, rather than continuing along the gravel pathway along which he had previously walked, to take a short cut across a grassy knoll which he had not previously traversed. It was getting dark out. He was alone, scanning the area in front of him but focusing his vision upward in order to find the highway. Although he thought the top of the retaining wall was a curb he knew the knoll was not a sidewalk. He was under a duty to be aware of his surroundings and to have watched where he was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burden on the defendant is to prove a lack of care on the plaintiff's part and that this lack of care was a substantial or materially contributing cause to the accident. Myatt v. Holieza, </w:t>
      </w:r>
      <w:hyperlink r:id="rId474" w:history="1">
        <w:r>
          <w:rPr>
            <w:rFonts w:ascii="arial" w:eastAsia="arial" w:hAnsi="arial" w:cs="arial"/>
            <w:i/>
            <w:color w:val="0077CC"/>
            <w:sz w:val="20"/>
            <w:u w:val="single"/>
            <w:shd w:val="clear" w:color="auto" w:fill="FFFFFF"/>
            <w:lang w:val="en-US" w:eastAsia="en-US" w:bidi="ar-SA"/>
          </w:rPr>
          <w:t>[2000] B.C.J. No. 1610</w:t>
        </w:r>
      </w:hyperlink>
      <w:r>
        <w:rPr>
          <w:rFonts w:ascii="arial" w:eastAsia="arial" w:hAnsi="arial" w:cs="arial"/>
          <w:color w:val="000000"/>
          <w:sz w:val="20"/>
          <w:lang w:val="en-US" w:eastAsia="en-US" w:bidi="ar-SA"/>
        </w:rPr>
        <w:t xml:space="preserve"> (S.C.), at [paragraph] 50. I find the defendant has met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is apportioned as follows: (1) against the plaintiff 35 percent; (2) against the defendant The Owners of Strata Plan 1611, 65 percent. (The action was, before the trial commenced, discontinued against The District of Campbell River and Her Majesty the Queen in Right of British Columbia.)</w:t>
      </w:r>
      <w:r>
        <w:rPr>
          <w:rFonts w:ascii="arial" w:eastAsia="arial" w:hAnsi="arial" w:cs="arial"/>
          <w:sz w:val="20"/>
          <w:lang w:val="en-US" w:eastAsia="en-US" w:bidi="ar-SA"/>
        </w:rPr>
        <w:cr/>
      </w:r>
    </w:p>
    <w:p>
      <w:pPr>
        <w:numPr>
          <w:numId w:val="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MR. NICOLL'S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injuries Mr. Nicoll sustained as the result of his fall from the retaining wall were severe and, as he testified, affected every facet of his life. He claims in this action non-pecuniary damages ($100,000), special damages ($1,159.28), loss of past income ($27,757.66) cost of future care ($51,328.68) and loss of earning capacity ($222,300).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submits that the plaintiff's claim ought to be dismissed but that in doing so the Court ought to assess damages as follows: (1) non-pecuniary damages in the range of $50,000 to $60,000; (2) past wage loss in the range of $3,000 to $4,000; (3) loss of earning capacity in the global amount of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Nicoll was initially taken from the scene of the accident by ambulance to the Campbell River Hospital. The following day, September 24, 2000, he was transferred by air to the University of Alberta Hospital in Edmonton and put under the care of Dr. Robert E. Stiegelmar, an orthopaedic surgeon. X-rays showed that he had sustained a high-energy type of fracture of his right leg. The fibula (the outer and smaller of the two bones of the leg) was fractured above the joint. The fracture extended into the tibia (the inner and larger bone of the leg below the knee; the shin bone) down into the joint surface and into the shaft portion of the tibia. The articular (joint) surface was highly comminuted or fragmented with anterior, posterior, and medial fracture fragments. As Dr. Stiegelmar wrote in his report dated January 5, 2001: "He had a right tibial fracture that extended into his ankle joint (Pilon fracture)." There was some displacement and valgus (bending outward) malalignment.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his testimony Dr. Stiegelmar described Mr. Nicoll's fractures by saying there were "the good, the bad and the ugly, and this break was the ugly." It was difficult to get the pieces back together and to promote healing.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Stiegelmar operated on Mr. Nicoll on September 25, 2000. The treatment was open reduction (described by Dr. Stiegelmar as cutting the skin and putting the pieces of bone back) and internal fixation of the fracture (described as inserting metallic hardware on the inside and outside of the fracture site and affixing the plate with screws). Two days later Mr. Nicoll had increasing pain and swelling as the result of developing a compartment syndrome, which is a condition in which the swelling of the limb is so extreme that it cuts off the circulation. According to Dr. Stiegelmar the condition is exacerbated by tightness of the skin and fascia or the muscle-lining envelope. Mr. Nicoll was returned to the operating room on September 27th where he had fasciotomies (surgical relief of the pressure) done. On October 1st soft tissue skin grafting was carried out by plastic surgeons using skin from his right thigh. This was necessitated because of the open wound resulting from the fasciotomies.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Following nearly three weeks in the hospital Mr. Nicoll was discharged on October 8, 2000. He went to his mother's home in Edmonton to convalesce. He stayed there until the end of the year. His recovery was slow and painful, he testified. He moved from his bed on the ground floor to a reclining chair in the living room on crutches and wore an orthopaedic boot when his foot was not elevated. He was not able to weight bear on his right leg and had very little movement in that limb.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His mother, Mrs. Nellie May Nicoll, told the Court that upon his release from the hospital in October her son was not mobile at all. A nurse came in everyday to change the dressings on the skin graft area and at the bottom of his leg by the ankle. When he came out of the hospital he was out of it, Mrs. Nicoll testified. He was not very happy, quite the opposite.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Nicoll stated that by November he was able to make the occasional trip outdoors, primarily to visit Acoustic Music Shop, the business he had purchased in 1990 to sell violins, mandolins and music accessories, to make and sell guitars, and to give music lessons. He had sold the business in 1998 but had space upstairs so that he could carry on building guitars and giving lessons in guitar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started taking physiotherapy treatments in an effort to make his ankle and toes more mobile. By Christmas he was spending more time up and around and starting to go upstairs at the shop. He was still not fully weight bearing on his right leg, but by the end of December was able to put more weight on the leg and spend overnight at the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His recovery was slow during the first six months of 2001. He continued with physiotherapy to increase the movement in his ankle and toes. The bottom of his foot was tender. His leg was very painful and swollen. He did not sleep well and was not feeling good about himself. He found the students too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April 12, 2001 he returned to the hospital for the removal of the screws in his ankle. This was complicated by infection at the site of the skin graft.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made progress from the summer of 2001 onward, Mr. Nicoll testified. He was able to put more weight on his right leg and put his foot down as he walked with crutches. However, there was minimum movement of his ankle. He was at the shop full time although not necessarily working full time. He took on students again in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By February 2002 the pain and swelling in his leg had become more severe. There was increasing arthritis and valgus malalignment along with collapse of the lateral aspect of his tibia. On April 25, 2002 he had, as his general physician, Dr. Ken Rohachuk, wrote in his report of April 8, 2004, "removal of hardware of the right distal tibial with medial closing wedge osteotomy using a local bone graft from his iliac crest". Mr. Nicoll testified that six weeks later he started to walk again, initially with a cane.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Nicoll told the Court that at the present time his right ankle has thirty percent mobility up and down but hardly any from side to side. His ankle and leg are painful with sharp pains from day to day. There is always pain in his ankle, he stated. It is a grinding, hard pain. The more he works the more pain there is. To get relief he has to stop work and take the weight off his foot. A painful corn on his heel means he cannot put any weight on it without using a pad.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terms of his depression he has good days and bad. His mood goes along with being tired. He has few social activities, perhaps an occasional movie or concert by himself, or friends visit the shop. He is unable to walk as he used to before the accident, and is no longer able to ski or swim because he cannot walk barefoot around the pool deck. He is sensitive about the unsightly scar in the area of the skin draft.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Melvin George Heath has known Mr. Nicoll for over 7 years. Under Mr. Nicoll's direction Mr. Heath is building his seventh guitar. He is a paying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Following the accident Mr. Heath visited Mr. Nicoll at the University Hospital and periodically at his mother's home. He observed him to be quite upset because he could not go to the shop or build guitars. Prior to the accident he did not notice that Mr. Nicoll was restricted in any way in doing his work. After the fall he was quite restricted in his movements, 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Heath testified that Mr. Nicoll "does fine" at work now but it is a struggle and the mobility situation is evident. He is restricted in his use of the machinery, such as the band saw, because he cannot push the larger pieces of wood through on his own, and has difficulty picking up tools. He is much slower at his work, and walks quite slowly with a limp. He uses a cane, and has to pause to get his ankle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Nicoll's younger sister, Mrs. Jennifer Jean Preza, testified that her brother is now more positive than he was after the fall, but he is still depressed "to a certain extent". He walks with a limp and uses a cane. She is able to see the pain he is in, she stated, although he does not complain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Stiegelmar has noted that Mr. Nicoll has developed some knee pain. X-rays indicate some ongoing degenerative changes in his knee. He writes that "although his ankle injury did not initiate this, it has exacerbated this". Mr. Nicoll has also developed lateral foot pain due to an altered gait.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have referred earlier in these reasons to the back pain Mr. Nicoll had before the accident due to an injury in 1991. He was treated with a discectomy in 1995, injections at the pain clinic and pain killers. Prior to the fall his chronic lumbar pain had reached a level of relative stability but, as Dr. Rohachuk acknowledged in cross-examination, Mr. Nicoll's complaints of back pain at times increased prior to the fall. Mr. Nicoll testified that he was at the time of the fall trying to reduce the amount of medication he took for his back pain, although it was demonstrated in cross-examination this had not been achieved. As a result of the fall, he stated, he had to triple the amount of medication. The fall exacerbated his pre-existing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Nicoll is left with a permanent ankle deformity and leg length discrepancy. He continues to have chronic pain of the ankle which is permanent in nature and may deteriorate further as the joint becomes more arthritic and unstable. His options are ankle fusion or replacement. The former would likely result in loss of mobility in his ankle, but as Dr. Stiegelmar testified in cross-examination, his limp could be improved and his weight bearing would improve. Ankle replacement runs the risk that if too much bone is removed the empty space cannot be filled and amputation may be required. Thus, the surgeon leaves as much bone as possible so that if the operation fails fusion is still an option.</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Subject to the apportionment of liability set out above, I award damages as follows: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agree with the plaintiff that an award of $100,000 is appropriate under this heading and therefore award the plaintiff that amount.</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claims $1,159.28 including the cost of acupuncture treatments which Mr. Nicoll commenced in January, 2005 in the amount of $840. The defence takes no issue with this claim. Special damages in the amount of $1,159.28 are therefore allowed.</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Based on Mr. Nicoll's net income of $6,777.26 for the first nine months of the year 2000, the plaintiff calculates his loss of income from the date of the fall on September 23, 2000 to the date of the trial in April, 2005 as being $27,757.66 without taking into consideration the possibility of an increase (or loss) in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oral submissions the defence submitted the Court ought to consider a global figure of $10,000 for the plaintiff's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Nicoll's net income for 2001 and 2002 was $3,094.64 and $4,667.47 respectively. In those years he was virtually incapacitated due to the five surgical procedures he underwent and the slowness of his recovery during his convalescence. In 2003 his net income dropped to $2,529.85. He told the Court that his income was similar in amount for the year 2004. He testified that he tires easily and that his work takes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my judgment it is appropriate to allow the amount claimed from the time of the fall to the end of 2002 in the amount of $12,572.67 plus a portion of the amount claimed thereafter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result I award $18,000 for Mr. Nicoll's loss of past income.</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seeks $51,328.68 being the capitalized cost of weekly acupuncture treatments until he reaches age 75 at $60 per session ($3,120 yearly) and using a multiplier of 3.5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 says the Present Value Tables used to calculate the capitalized value are not in evidence. Nor is there evidence, it is submitted, that the treatments are needed for life. A small amount, for a year or two, is at most justifiable, it is argued.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Nicoll testified that he benefits greatly from the acupuncture treatments, particularly with his circulation and swelling problems. The treatments also help with the pain. He would "like to continue" with the treatments as long as he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medical evidence before the Court does not contain a recommendation Mr. Nicoll receive acupuncture treatments even as an adjunct to other treatment modalities. Given the very fair position of the defence, however, it is appropriate to award Mr. Nicoll $15,000 under this heading.</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Nicoll claims $222,300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have earlier in these reasons referred to the impediments to Mr. Nicoll's guitar making business created by the fall: his inability to handle the machinery as he did before the accident, the need to rest and elevate his leg, and his loss of energy. He is, and will be, I find hampered in his present business and likely hampered from earning income from all types of employment. In a word, as the result of the fall a capital asset belonging to Mr. Nicoll has been lost or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Kwei v. Boisclair </w:t>
      </w:r>
      <w:hyperlink r:id="rId95"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the Court at pp. 399-400 referred to the following considerations the Court should take into account in assessing the value of the lost or impaired asset:</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been rendered less capable overall from earning income from all types of employment;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marketable or attractive as an employee to potential employers;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lost the ability to take advantage of all job opportunities which might otherwise have been open to him, had he not been injured,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evidence supports an affirmative response to each of the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 submits that the Court should take into account the effect the plaintiff's chronic low back pain would have had on his earning capacity absent the fall. The defendant submits that a global figure of $75,000 is sufficient to compensate the plaintiff for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Undoubtedly the plaintiff's back injury impaired the plaintiff's earning capacity, but on the evidence I find he was not, prior to the fall, restricted in his guitar making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award the plaintiff $200,000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summary the plaintiff, subject to the apportionment of liability set out above, is awarded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230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1,159.28</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past income</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18,000.00</w:t>
            </w:r>
          </w:p>
        </w:tc>
        <w:tc>
          <w:tcPr>
            <w:tcW w:w="430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882"/>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301"/>
        <w:gridCol w:w="313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$334,159.28</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Subject to hearing counsel on the matter, the plaintiff is entitled to his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SCARTH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Number 216 Holdings Ltd. v. ING Insurance Co. of Canada, [2013] B.C.J. No. 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S103229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2013 BCSC 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[2013] I.L.R. I-5382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17 C.C.L.I. (5th) 292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224 A.C.W.S. (3d) 280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2013 CarswellBC 36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[2013] B.C.W.L.D. 2988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[2013] B.C.W.L.D. 3032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[2013] B.C.W.L.D. 3000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[2013] B.C.W.L.D. 3034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[2013] B.C.W.L.D. 2989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[2013] B.C.W.L.D. 3033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Number 216 Holdings Ltd., Plaintiff, and ING Insurance Company of Canada and, in French Compagnie D'Assurance ING Du Canada, and Porter &amp; McMillan (1992)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8"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5" w:name="Keywords_17"/>
      <w:bookmarkEnd w:id="205"/>
      <w:r>
        <w:rPr>
          <w:rFonts w:ascii="arial" w:eastAsia="arial" w:hAnsi="arial" w:cs="arial"/>
          <w:b/>
          <w:color w:val="000000"/>
          <w:sz w:val="20"/>
          <w:lang w:val="en-US" w:eastAsia="en-US" w:bidi="ar-SA"/>
        </w:rPr>
        <w:t>Civil litigation — Civil procedure — Costs — Security for costs — Where plaintiff insolvent or impecunious — Where plaintiff is corporation or association — Application by defendants for security for costs dismissed — Plaintiff sued insurer and broker in connection with denial of coverage for destruction of commercial building due to fire — Insurer alleged fire resulted from arson — Parties agreed corporate plaintiff lacked sufficient exigible assets to satisfy potential costs award — Security for costs denied, as posting security would stifle claim that was not prima facie unmeritorious — Delay in bringing application four years after commencement of action was basis for denial in and of itself.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Practice and procedure — Costs — Application by defendants for security for costs dismissed — Plaintiff sued insurer and broker in connection with denial of coverage for destruction of commercial building due to fire — Insurer alleged fire resulted from arson — Parties agreed corporate plaintiff lacked sufficient exigible assets to satisfy potential costs award — Security for costs denied, as posting security would stifle claim that was not prima facie unmeritorious — Delay in bringing application four years after commencement of action was basis for denial in and of itself.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6" w:name="Case Summary_16"/>
            <w:bookmarkEnd w:id="2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ING Insurance and others, for security for costs and a stay pending posting of security by the plaintiff, Number 216 Holdings. A fire resulted in the substantial destruction of a commercial building on property owned by the plaintiff. The defendants included the insurer and the broker which arranged coverage. The insurer denied coverage, alleging that the plaintiff had been fraudulent and committed arson. The insurer based its findings on the fact that the plaintiff's principal had opportunity to set the fire, and financial motives, namely that the building was likely to go into foreclosure. The plaintiff sued the insurer on the basis of breach of the policy and good faith duties. The plaintiff sued the broker on the basis of negligent advice concerning the replacement value of the building. Trial was adjourned until 2013 with the defendants bringing the predicate application seeking security for costs. The plaintiff submitted that an order to post security would stifle its claims and that the predicate application was an instrument of oppression by the insurer to capitalize on a situation of its own making.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7" w:name="Holdings of Court_13"/>
            <w:bookmarkEnd w:id="20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parties agreed that the plaintiff lacked sufficient exigible assets to satisfy an award for costs. Denial of the insurance claim and possible under-insurance were contributing causes of the plaintiff's current financial weakness. The plaintiff's claim was not prima facie unmeritorious. The plaintiff's principals incurred personal expense and risk in bringing the claim forward. Litigation was the only route to obtaining production of documents and payment under the policy. It would be unjust, under the circumstances, to allow an order for security that would stifle the plaintiff's claim. In addition, the delay in giving notice of the application four years after commencement of the action was reason of itself to deny the relief sought.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8" w:name="Legislation Cited_15"/>
      <w:bookmarkEnd w:id="2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9"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483" w:history="1">
        <w:r>
          <w:rPr>
            <w:rFonts w:ascii="arial" w:eastAsia="arial" w:hAnsi="arial" w:cs="arial"/>
            <w:i/>
            <w:color w:val="0077CC"/>
            <w:sz w:val="20"/>
            <w:u w:val="single"/>
            <w:shd w:val="clear" w:color="auto" w:fill="FFFFFF"/>
            <w:lang w:val="en-US" w:eastAsia="en-US" w:bidi="ar-SA"/>
          </w:rPr>
          <w:t>SBC 2002, CHAPTER 57, s. 236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484"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9" w:name="Counsel_18"/>
      <w:bookmarkEnd w:id="2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Guy J. Collette.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ING Insurance Company of Canada: David J.E. Bilkey.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Porter &amp; McMillian: Mark M. Skorah,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0" w:name="Judgment_18"/>
      <w:bookmarkEnd w:id="210"/>
      <w:r>
        <w:pict>
          <v:line id="_x0000_s1121"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Security for Costs and Other Applications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bring applications for orders that the plaintiff post security for costs, a stay of the proceeding pending the posting of the security, and dismissal of the proceeding if the security is not posted within 21 days. They also seek liberty to apply for increased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opposes the defendants'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well, the plaintiff brings certain other applications: an application to amend its claim; and an application for production of documents from the files of the solicitor of the defendant ING Insurance Company of Canada ("ING"). I will address these matters after the application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brief background and chronology of the history of this proceeding is relevant to the applications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owns real property located in Prince George, BC. The property is a commercial building, two stories high, with a basement. There were a number of commercial tenants on the main floor and one residential tenant upstairs.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 owned by either Sean and Rose Millns, a married couple, or Sean Millns alone (this was unclear on the evidence on this application). Regardless, it appears to be common ground that Sean and Rose Millns are at most the only two individuals who stand behind the corporate veil.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May 21, 2007, there was a fire on the property which substantially destroyed the building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property was insured by the defendant ING. The defendant Porter &amp; McMillan (1992) Ltd. ("PML") was the insurance broker which obtained the policy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June 2007, the plaintiff submitted to ING the fire proof of loss form. ING denied coverage based on an exclusion in the policy for loss or damage caused by the "dishonest or criminal act of anyone insured under the policy". In its letter of August 7, 2007 denying coverage, ING alleged that the plaintiff had participated in causing the fire or arranging to have the fire set. ING alleged that the plaintiff had been fraudulent and committed criminal 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Rose Millns has deposed in her affidavit No. 3 sworn April 13, 2012 in this proceeding that after receiving the ING letter, she telephoned an ING representative to ask of the basis for the allegations. She was told that ING had hired a lawyer for the purpose of establishing privilege over the investigation and that the plaintiff would have to sue ING to find out what evidence ING had or the reasons behind denying their claim. ING's lawyer, Mr. Bilkey, then wrote to the plaintiff on August 17, 2007, setting out in brief some of the facts alleged by ING. These alleged facts included the allegation that Mr. Millns had exclusive opportunities to set the fire or cause it to be set and "[t]he financial circumstances surrounding the business operation at the fire location lead to a finding of financial motive for setting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One of the factors that had aroused ING's suspicion about the cause of the fire was the fact that the policy limits for the property were increased only a week before the fire. As it turns out, however, that policy increase was as a result of unsolicited recommendations made by PML and the defendants do not rely on that circumstance as indicative of motive.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ING investigated the financial circumstances of the plaintiff in the summer of 2007. They learned at least by September of 2007 that the plaintiff was in desperate financial circumstances because it was no longer receiving rental income on the property but still liable for its mortgage payments. Ms. Millns advised ING's adjusters that she and her husband Sean had already spent $3,000 of their personal money towards the plaintiff's debts, but that they could not continue to fund it without rental income. ING was advised that the property was likely to go into foreclosure without assistance from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January 3, 2008, the plaintiff commenced these proceedings. The plaintiff alleges that ING has breached the policy and breached its duties to the plaintiff to, amongst other things, act in good faith. As well, the plaintiff alleges that PML was negligent in respect of its advice or lack of advice regarding the appropriate value to assign to the replacement cost of the building for insurance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January 22, 2008, ING filed its first statement of defence. This was amended in September 2009, and further amended in October 2009. The ING statement of defence alleges that the fire was brought about by or the result of the wilful act of the plaintiff or agents on the plaintiff's behalf and at the plaintiff's direction. The statement of defence alleges that the acts of the plaintiff were offences under one or more sections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governing arson-related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PML filed its statement of defence on February 28, 2008. PML denies that it owed a duty of care or contractual obligation to the plaintiff to estimate the replacement cost of the building or to express an opinion to the plaintiff on the adequacy of the limits of insurance coverage, and denies that it was negligent or breached any contract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October 2009, the plaintiff made amendments to the statement of claim. In August 2010, the plaintiff filed a notice of trial setting the matter for 20 days of trial commencing February 20,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matter was set for trial by judge and jury. On February 7, 2011, on the application of the defendants, Fitzpatrick J. made an order that the allegations of bad faith be severed from the balance of the allegations in the plaintiff's amended statement of claim. The order required that the bad faith claim be tried at a later date after the conclusion of the other issues pleaded in the amended statement of claim; and that discovery on the bad faith claim be adjourned until after the conclusion of the other issues pleaded in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the same time, the defendants brought an application to strike the plaintiff's jury notice, which application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November 7, 2007, ING through its counsel obtained an expert report analyzing the likely cause of the fire. ING examined Mr. Millns for discovery on August 21,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ING learned from responses to requests made on examination for discovery of Mr. Millns on August 21, 2008, that the subject property had been listed for sale twice: in June of 2004 at a price of $495,000 which was reduced to $465,000, and which expired September 2005; and on November 15, 2006 at a price of $490,500, which was reduced to $475,000 and which listing expired February 20,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Sometime prior to May 2011, ING became aware that the plaintiff had not paid the full demolition and clean up costs incurred in respect of the property after the fire. When the demolition company sued the plaintiff for breach of contract, the plaintiff issued a third party notice against ING. ING applied for and obtained a stay of that action by order dated May 9, 2011, pending resolution of the current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part of the discovery process, ING's counsel wrote to counsel for the plaintiff on May 17, 2011, requesting certain historical financial documents, including with respect to the past real estate listings for the property and pre-2009 tax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By letter dated November 24, 2011, counsel for the plaintiff advised that most of the plaintiff's financial records had already been listed in their list of documents. These documents included documentation of the major expenses for the property. Counsel for the plaintiff enclosed all additional financial information, including the company's tax returns for the years 2005-2007, and documents related to the prior real estate listings.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June 2011, the plaintiff filed a notice of application for summary trial, seeking a declaration that ING was in breach of the contract of insurance and that it must indemnify the plaintiff. ING filed its own application for a summary trial and dismissal of the plaintiff's claim against it, in August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January 2012, the two summary trial applications were heard over three days. In oral reasons for judgment delivered January 11, 2012, Curtis J. dismissed the applications on the basis that he was unable, on the whole of the evidence before him, "to find the facts necessary to decide the issue of whether or not it is proven on the balance of probabilities that Mr. Millns set the fire, and in addition, ... it would be unjust to decide this issue on affidavit evidence": </w:t>
      </w:r>
      <w:r>
        <w:rPr>
          <w:rFonts w:ascii="arial" w:eastAsia="arial" w:hAnsi="arial" w:cs="arial"/>
          <w:i/>
          <w:color w:val="000000"/>
          <w:sz w:val="20"/>
          <w:lang w:val="en-US" w:eastAsia="en-US" w:bidi="ar-SA"/>
        </w:rPr>
        <w:t>Number 216 Holdings Ltd. v. ING Insurance Company of Canada,</w:t>
      </w:r>
      <w:r>
        <w:rPr>
          <w:rFonts w:ascii="arial" w:eastAsia="arial" w:hAnsi="arial" w:cs="arial"/>
          <w:color w:val="000000"/>
          <w:sz w:val="20"/>
          <w:lang w:val="en-US" w:eastAsia="en-US" w:bidi="ar-SA"/>
        </w:rPr>
        <w:t xml:space="preserve"> (11 January 2012), Vancouver S103229 at para. 9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Because of the pending summary trial applications in January 2012, all parties agreed to adjourn the pending trial which was set to commence in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meantime, Sean and Rose Millns had faced the spectre that ING might advance a claim against them should a court determine that the fire was deliberately set. Since ING had indemnified the property's first mortgagee and partially indemnified the property's second mortgagee, and incurred costs, this potential claim was in the hundreds of thousands of dollars. On January 5, 2012, ING offered to forego any claim it might have against Sean and Rose Millns, including any subrogated claim, in exchange for the plaintiff forgoing its right to a jury on the plaintiff's claim against ING for breach of contract and indemnity. The plaintiff accepted that offer. As a result, as of January 5, 2012, Sean and Rose Millns no longer faced the potential of personal liability in respect of the underlying issues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January 24, 2012, ING filed a notice of trial resetting the trial for March 25, 2013 for 20 days. As is standard in the notice of trial, counsel for ING undertook to pay the hearing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February 2012, ING retained a chartered accountant to provide an opinion with regard to the financial position of the plaintiff as at February 29, 2012 and May 21, 2007. The resulting opinion provided by Mr. Warrington dated March 8, 2012 was that the plaintiff was insolvent as at February 29,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the plaintiff disagrees that it is insolvent, it does concede on this application that it would be unable to pay the defendants' costs if it fails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ING filed its present notice of application seeking an order for security for costs on March 21, 2012. PML filed a similar application seeking an order that the plaintiff post security for costs on April 13, 2012. After some difficulty in getting on in general Chambers, the earliest this matter could be heard by me, the assigned case management judge and trial judge, was December 11,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 -- Application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parties do not dispute the applicable legal principles on an application for security for costs as against a corporate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This court has both inherent jurisdiction to order a party to post security for costs, as well as jurisdiction over a corporation based on s. 236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corporation is the plaintiff in a legal proceeding brought before the court, and if it appears that the corporation will be unable to pay the costs of the defendant if the defendant is successful in the defence, the court may require security to be given by the corporation for those costs, and may stay all legal proceedings until the security is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summarized in </w:t>
      </w:r>
      <w:r>
        <w:rPr>
          <w:rFonts w:ascii="arial" w:eastAsia="arial" w:hAnsi="arial" w:cs="arial"/>
          <w:i/>
          <w:color w:val="000000"/>
          <w:sz w:val="20"/>
          <w:lang w:val="en-US" w:eastAsia="en-US" w:bidi="ar-SA"/>
        </w:rPr>
        <w:t>Integrated Contractors Ltd v. Leduc Development Ltd.,</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2009 BCSC 965</w:t>
        </w:r>
      </w:hyperlink>
      <w:r>
        <w:rPr>
          <w:rFonts w:ascii="arial" w:eastAsia="arial" w:hAnsi="arial" w:cs="arial"/>
          <w:color w:val="000000"/>
          <w:sz w:val="20"/>
          <w:lang w:val="en-US" w:eastAsia="en-US" w:bidi="ar-SA"/>
        </w:rPr>
        <w:t xml:space="preserve"> at paras. 11-15, the applicable legal principles as established by the leading authorities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stage of the legal test on an application for security for costs is the requirement that the applicant make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respondent would be unable to pay the applicant's costs if the respondent's claim fails: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 </w:t>
      </w:r>
      <w:hyperlink r:id="rId486" w:history="1">
        <w:r>
          <w:rPr>
            <w:rFonts w:ascii="arial" w:eastAsia="arial" w:hAnsi="arial" w:cs="arial"/>
            <w:i/>
            <w:color w:val="0077CC"/>
            <w:sz w:val="20"/>
            <w:u w:val="single"/>
            <w:shd w:val="clear" w:color="auto" w:fill="FFFFFF"/>
            <w:lang w:val="en-US" w:eastAsia="en-US" w:bidi="ar-SA"/>
          </w:rPr>
          <w:t>91 A.C.W.S. (3d) 362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Kropp v. Swaneset Bay Golfcourse Ltd.</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(1997), 29 B.C.L.R. (3d) 252</w:t>
        </w:r>
      </w:hyperlink>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90 B.C.A.C. 170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Fat Mel's Restaurant Ltd. v. Canadian Northern Shield Insurance Co.</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(1993) 76 B.C.L.R. (2d) 231</w:t>
        </w:r>
      </w:hyperlink>
      <w:r>
        <w:rPr>
          <w:rFonts w:ascii="arial" w:eastAsia="arial" w:hAnsi="arial" w:cs="arial"/>
          <w:color w:val="000000"/>
          <w:sz w:val="20"/>
          <w:lang w:val="en-US" w:eastAsia="en-US" w:bidi="ar-SA"/>
        </w:rPr>
        <w:t xml:space="preserve"> (C.A.), </w:t>
      </w:r>
      <w:hyperlink r:id="rId488" w:history="1">
        <w:r>
          <w:rPr>
            <w:rFonts w:ascii="arial" w:eastAsia="arial" w:hAnsi="arial" w:cs="arial"/>
            <w:i/>
            <w:color w:val="0077CC"/>
            <w:sz w:val="20"/>
            <w:u w:val="single"/>
            <w:shd w:val="clear" w:color="auto" w:fill="FFFFFF"/>
            <w:lang w:val="en-US" w:eastAsia="en-US" w:bidi="ar-SA"/>
          </w:rPr>
          <w:t>25 B.C.A.C. 95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applicants do meet this requirement, the respondent may resist an order for security for costs by showing that it has sufficient exigible assets to satisfy an award of costs: </w:t>
      </w:r>
      <w:r>
        <w:rPr>
          <w:rFonts w:ascii="arial" w:eastAsia="arial" w:hAnsi="arial" w:cs="arial"/>
          <w:i/>
          <w:color w:val="000000"/>
          <w:sz w:val="20"/>
          <w:lang w:val="en-US" w:eastAsia="en-US" w:bidi="ar-SA"/>
        </w:rPr>
        <w:t>Scopeset Technology Inc. v. Astaro Corp.</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2004 BCSC 830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well, the respondent to a security for costs application can resist an order for security for costs if it can show there is no arguable defence to its claim: </w:t>
      </w:r>
      <w:r>
        <w:rPr>
          <w:rFonts w:ascii="arial" w:eastAsia="arial" w:hAnsi="arial" w:cs="arial"/>
          <w:i/>
          <w:color w:val="000000"/>
          <w:sz w:val="20"/>
          <w:lang w:val="en-US" w:eastAsia="en-US" w:bidi="ar-SA"/>
        </w:rPr>
        <w:t>Scopeset</w:t>
      </w:r>
      <w:r>
        <w:rPr>
          <w:rFonts w:ascii="arial" w:eastAsia="arial" w:hAnsi="arial" w:cs="arial"/>
          <w:color w:val="000000"/>
          <w:sz w:val="20"/>
          <w:lang w:val="en-US" w:eastAsia="en-US" w:bidi="ar-SA"/>
        </w:rPr>
        <w:t xml:space="preserve"> at para.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there are other factors which may touch upon the exercise of the court's discretion in determining whether or not to grant an order requiring a party to post security for costs. Potentially relevant on the facts of this application are the following factors: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court is satisfied that ordering security for costs would unfairly stifle a valid claim, the court may refuse to order security: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at para. 17;</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security for costs application is brought against a defendant advancing a counterclaim, and the counterclaim is sufficiently intertwined with the defendant's defence of the main claim: </w:t>
      </w:r>
      <w:r>
        <w:rPr>
          <w:rFonts w:ascii="arial" w:eastAsia="arial" w:hAnsi="arial" w:cs="arial"/>
          <w:i/>
          <w:color w:val="000000"/>
          <w:sz w:val="20"/>
          <w:lang w:val="en-US" w:eastAsia="en-US" w:bidi="ar-SA"/>
        </w:rPr>
        <w:t>Gray v. Powerassist Technologies Inc.</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2001 BCSC 1208</w:t>
        </w:r>
      </w:hyperlink>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10 C.P.C. (5th) 148</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Scotford Electrical &amp; Technical Services Ltd. v. Blue Mountain Log Sales Ltd.</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2005 BCSC 538</w:t>
        </w:r>
      </w:hyperlink>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10 C.P.C. (6th) 237</w:t>
        </w:r>
      </w:hyperlink>
      <w:r>
        <w:rPr>
          <w:rFonts w:ascii="arial" w:eastAsia="arial" w:hAnsi="arial" w:cs="arial"/>
          <w:color w:val="000000"/>
          <w:sz w:val="20"/>
          <w:lang w:val="en-US" w:eastAsia="en-US" w:bidi="ar-SA"/>
        </w:rPr>
        <w:t xml:space="preserve"> (B.C.S.C., Master);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financial hardship that may give rise to the respondent's inability to pay costs is due to the very actions of the applicants at issue in the respondent's claim: </w:t>
      </w:r>
      <w:r>
        <w:rPr>
          <w:rFonts w:ascii="arial" w:eastAsia="arial" w:hAnsi="arial" w:cs="arial"/>
          <w:i/>
          <w:color w:val="000000"/>
          <w:sz w:val="20"/>
          <w:lang w:val="en-US" w:eastAsia="en-US" w:bidi="ar-SA"/>
        </w:rPr>
        <w:t>Tour-Mate Technologies Corp. v. Syntronix Systems Limited et al.</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[1993] B.C.J. No. 599</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Middlekamp v. Fraser Valley Real Estate Board</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[1993] B.C.J. No. 2965</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if the court concludes a security for costs order is warranted, the court has discretion as to the quantum of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Furthermore, the lateness of an application for security for costs is a factor which the court may also take into account, particularly where there is evidence that an order for security would stifle the action: </w:t>
      </w:r>
      <w:r>
        <w:rPr>
          <w:rFonts w:ascii="arial" w:eastAsia="arial" w:hAnsi="arial" w:cs="arial"/>
          <w:i/>
          <w:color w:val="000000"/>
          <w:sz w:val="20"/>
          <w:lang w:val="en-US" w:eastAsia="en-US" w:bidi="ar-SA"/>
        </w:rPr>
        <w:t>Kropp v. Swaneset Bay Golf Course Ltd.</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(1997), 29 B.C.L.R. (3d) 252</w:t>
        </w:r>
      </w:hyperlink>
      <w:r>
        <w:rPr>
          <w:rFonts w:ascii="arial" w:eastAsia="arial" w:hAnsi="arial" w:cs="arial"/>
          <w:color w:val="000000"/>
          <w:sz w:val="20"/>
          <w:lang w:val="en-US" w:eastAsia="en-US" w:bidi="ar-SA"/>
        </w:rPr>
        <w:t xml:space="preserve"> at para. 25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Here all parties agree that the plaintiff would be unable to satisfy an order for security for costs if the plaintiff was ultimately unsuccessful in the proceeding, and it does not have sufficient exigible assets to satisfy an award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issues that emerge from the parties' submissions on the application for security for costs are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an order for security stifle the plaintiff's claims and is the plaintiff's impecuniosity due to the alleged wrongs of the defendants?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there been unreasonable delay in bringing forward the application for security?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defendants have arguable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other issues are:</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plaintiff's proposed amendments to its notice of civil claim be allowed?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plaintiff's application for production of documents from ING's solicitor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Would an order for security stifle the plaintiff's claims and is the plaintiff's impecuniosity due to the alleged wrongs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does not have sufficient financial resources of its own to post security for costs. It submits that an order for security for costs will stifle this action. It says that the application for security for costs is being used as an instrument of oppression by the defendants. It says that ING is seeking to "capitalize on a situation of its own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defendants argue that the analysis of a corporate plaintiff's ability to pay costs is not limited to a consideration of the company's financial resources, but can also include consideration of the financial resources of the company's directors, shareholders, or other backers or interested persons. This was a factor in </w:t>
      </w:r>
      <w:r>
        <w:rPr>
          <w:rFonts w:ascii="arial" w:eastAsia="arial" w:hAnsi="arial" w:cs="arial"/>
          <w:i/>
          <w:color w:val="000000"/>
          <w:sz w:val="20"/>
          <w:lang w:val="en-US" w:eastAsia="en-US" w:bidi="ar-SA"/>
        </w:rPr>
        <w:t>Apex Mountain Resort Ltd. v. British Columbia</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[1998] B.C.J. No. 1918</w:t>
        </w:r>
      </w:hyperlink>
      <w:r>
        <w:rPr>
          <w:rFonts w:ascii="arial" w:eastAsia="arial" w:hAnsi="arial" w:cs="arial"/>
          <w:color w:val="000000"/>
          <w:sz w:val="20"/>
          <w:lang w:val="en-US" w:eastAsia="en-US" w:bidi="ar-SA"/>
        </w:rPr>
        <w:t xml:space="preserve"> (S.C.). In that case, Bauman J. (as he then was) considered the evidence of the plaintiff's general success in raising investment money as defeating the argument that an order for security for costs would stifle the plaintiff's claim. Later, on a subsequent application, the amount ordered for security for costs was substantially reduced from $100,000 to $10,000 based on the corporate plaintiff's failure to raise money from investors and to avoid stifling the claim: </w:t>
      </w:r>
      <w:hyperlink r:id="rId495" w:history="1">
        <w:r>
          <w:rPr>
            <w:rFonts w:ascii="arial" w:eastAsia="arial" w:hAnsi="arial" w:cs="arial"/>
            <w:i/>
            <w:color w:val="0077CC"/>
            <w:sz w:val="20"/>
            <w:u w:val="single"/>
            <w:shd w:val="clear" w:color="auto" w:fill="FFFFFF"/>
            <w:lang w:val="en-US" w:eastAsia="en-US" w:bidi="ar-SA"/>
          </w:rPr>
          <w:t>[1999] B.C.J. No. 3288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their submissions, the defendants suggest that Sean and Rose Millns have the resources to fund this litigation and therefore the litigation will not be stifled if security for costs is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the Millns' evidence disputes this. Rose Millns deposes in her affidavit no. 3 sworn April 13, 2012 that although she was a realtor and mortgage broker, she has not worked as such for over two years. She assists her husband by working in the office of his waste management company in Prince George, called All Points Waste Disposal Inc. That is a separate entity which involves Sean Millns driving a truck to pick up waste containers. She deposes at para. 16 that she and Mr. Millns: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put substantial personal time and resources into dealing with the insurance denial and conducting the litigation that has arisen as a result of it. We are not in a financial position to post security for costs of this action. It is virtually certain that the Plaintiff would have to abandon its claim if there is an order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addition, the evidence is clear that the only revenue of the plaintiff prior to the fire was rental income from the property which ceased once the fire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Certainly the denial of the plaintiff's insurance claim by ING directly relates to its current financial weakness. This may not be the sole reason of its financial weakness but it is certainly one of the reasons. Likewise, if the plaintiff was under-insured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of the defendant PML, this is also directly linked to the plaintiff's current impecuniosity.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One of the policy reasons behind the provision of orders for security for costs is that "the plaintiff is not to be permitted a free ride on an unlikely claim at the defendants' expense", as held by Spencer J. in </w:t>
      </w:r>
      <w:r>
        <w:rPr>
          <w:rFonts w:ascii="arial" w:eastAsia="arial" w:hAnsi="arial" w:cs="arial"/>
          <w:i/>
          <w:color w:val="000000"/>
          <w:sz w:val="20"/>
          <w:lang w:val="en-US" w:eastAsia="en-US" w:bidi="ar-SA"/>
        </w:rPr>
        <w:t>Island Research &amp; Development Corp. v. Boeing Co.</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[1991] B.C.J. No. 12</w:t>
        </w:r>
      </w:hyperlink>
      <w:r>
        <w:rPr>
          <w:rFonts w:ascii="arial" w:eastAsia="arial" w:hAnsi="arial" w:cs="arial"/>
          <w:color w:val="000000"/>
          <w:sz w:val="20"/>
          <w:lang w:val="en-US" w:eastAsia="en-US" w:bidi="ar-SA"/>
        </w:rPr>
        <w:t xml:space="preserve"> (S.C.); cited with approval in </w:t>
      </w:r>
      <w:r>
        <w:rPr>
          <w:rFonts w:ascii="arial" w:eastAsia="arial" w:hAnsi="arial" w:cs="arial"/>
          <w:i/>
          <w:color w:val="000000"/>
          <w:sz w:val="20"/>
          <w:lang w:val="en-US" w:eastAsia="en-US" w:bidi="ar-SA"/>
        </w:rPr>
        <w:t>Fat Mel's Restaurant Ltd. v. Canadian Northern Shield Insurance Co.</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(1993), 76 B.C.L.R. (2d) 231</w:t>
        </w:r>
      </w:hyperlink>
      <w:r>
        <w:rPr>
          <w:rFonts w:ascii="arial" w:eastAsia="arial" w:hAnsi="arial" w:cs="arial"/>
          <w:color w:val="000000"/>
          <w:sz w:val="20"/>
          <w:lang w:val="en-US" w:eastAsia="en-US" w:bidi="ar-SA"/>
        </w:rPr>
        <w:t xml:space="preserve"> at para. 15 (C.A.) and </w:t>
      </w:r>
      <w:r>
        <w:rPr>
          <w:rFonts w:ascii="arial" w:eastAsia="arial" w:hAnsi="arial" w:cs="arial"/>
          <w:i/>
          <w:color w:val="000000"/>
          <w:sz w:val="20"/>
          <w:lang w:val="en-US" w:eastAsia="en-US" w:bidi="ar-SA"/>
        </w:rPr>
        <w:t>Beasse v. Holness</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2006 BCSC 1265</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prospect of an award of costs acts as a deterrent against frivolous claims. It brings home to plaintiffs the fact that plaintiffs will face risks in bringing litigation. When looking behind the corporate veil of a corporate plaintiff to see if other interested persons may be able to post costs, the court is considering the policy rationale that individuals who seek to use the courts to benefit from a corporation's lawsuit, such as its shareholders, should not be immune from the risks of that lawsuit, otherwise, frivolous or abusive claims might be advanced. Thus, where a plaintiff is owned by parties who use the corporate vehicle as a shield to limit their own liability, but who are the true individuals who will benefit from the success of the claim, and where those individuals have the financial wherewithal to post costs, it may be unjust to deny a defendant the order for posting of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strikes me therefore that it is relevant, in considering the security for costs application, to consider whether there are other risks to the people who stand behind the plaintiff's corporate veil, so as to fulfil this aspect of the policy behind an order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Here, the natural persons who stand behind the corporate plaintiff, Sean and Rose Millns, have incurred several risks in the litigation or the issues which are the subject of the litigation. There is evidence that they had to incur personal expense in relation to the debts of the plaintiff connected with the property after the fire. They faced a potentially large claim by ING against them personally, and were not secure from this possibility until January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addition, Sean and Rose Millns face the risk of reasons for judgment which could find one or both of them to be implicated in a fraud or arson. This of course would have serious repercussions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This is not a case where the claim is on its face without merit. There is no doubt that the plaintiff's building did suffer a fire, it was insured by ING, and PML was the plaintiff's insurance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Thus, this is not a case where there is a high risk of there being a potential abuse of process if the plaintiff is not ordered to pay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also note that there can be no mistake that the applications for security for costs are designed to bring home to the plaintiff or its principals, the Millns, that there are risks to proceeding to trial and perhaps even to prevent them from proceeding to trial. The defendants have already expended significant sums in defending the case, and the quantum of costs they seek to be posted is not going to be close to approaching indemnity for their actual costs. The defendants do not argue that they would suffer any hardship if costs would be unrecoverable if they were to succeed in their defences at the end of the day. I do not say that hardship to the defendants is a necessary factor, only that I consider it a relevant factor to weigh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also am mindful of the comments in </w:t>
      </w:r>
      <w:r>
        <w:rPr>
          <w:rFonts w:ascii="arial" w:eastAsia="arial" w:hAnsi="arial" w:cs="arial"/>
          <w:i/>
          <w:color w:val="000000"/>
          <w:sz w:val="20"/>
          <w:lang w:val="en-US" w:eastAsia="en-US" w:bidi="ar-SA"/>
        </w:rPr>
        <w:t>Split Vision Eyewear Inc. v. The Economical Insurance Group</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2010 BCSC 396</w:t>
        </w:r>
      </w:hyperlink>
      <w:r>
        <w:rPr>
          <w:rFonts w:ascii="arial" w:eastAsia="arial" w:hAnsi="arial" w:cs="arial"/>
          <w:color w:val="000000"/>
          <w:sz w:val="20"/>
          <w:lang w:val="en-US" w:eastAsia="en-US" w:bidi="ar-SA"/>
        </w:rPr>
        <w:t xml:space="preserve"> at para.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not be open to insurers to take the position that they will only disclose documents if their insured sues them and then turn around and try to put a roadblock in the way of that litigation by seeking security for costs (all the while having been told by their insured of the effect of their denial of coverage on the insured's financial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Here, where the plaintiff's claim is that its insurer denied it the appropriate insurance coverage, and where that denial of coverage has to a large degree caused the plaintiff's difficult financial circumstances, and where without litigation there is no way for the plaintiff to otherwise obtain production of documents and convince the insurer to pay under the policy, it would seem unjust to allow the defendants an order for security that would have the effect of stifling the plaintiff's claim. Here, the claim against the insurance broker is not so fundamentally different as to provide for a different conclusion on its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short, I find that an order for security for costs would likely stifle the plaintiff's claims and that to some significant degree, the plaintiff's current financial difficulty has been contributed to by the alleged wrongs of the defendants. These are factors that weigh heavily against the defendants' application, on the facts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Has there been unreasonable delay in bringing forward the application for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did not give notice of this application until some four years after the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ING argues that any delay in bringing this application was caused by the plaintiff failing to produce financial records until late in the day. ING states that once those financial records were produced, it moved quickly to bring its application. Furthermore, the defendants argue that the effect of delay can be moderated by awarding security for costs for an amount based on the estimated future costs of the action. Thus, the defendant ING has reduced its request for an order for security for costs in the amount of $110,000 to an amount in the range of $40,000-$50,000; and PML submits that instead of seeking costs of $76,000, some sum in the range of $25,000-$33,000 would be adequate to recognize the costs of a 20 day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says it has suffered prejudice by the delay in the bringing of this application, in that the plaintiff has taken the risks of this proceeding for four years, and the Millns have also incurred costs and risk in relation to the proceedings. Furthermore, the plaintiff argues that its tight financial circumstances were well known by the defendants even prior to the commencement of the action, and there has been no delay by the plaintiff in producing financial information necessary to educate the defendants about its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parties have actively prosecuted and defended this proceeding: there have been approximately four days of examination for discovery, production of documents, court applications (application to strike the jury notice and sever the bad faith claim, and the two summary trial applications). In addition, the plaintiff has obtained expert opinions in support of its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agree with the plaintiff that the defendants' applications are brought too late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do not accept the argument by ING that it only had sufficient information on which to bring this application in February or March of 2012. On the contrary, from the very beginning of the dispute between the plaintiff and ING, ING has been of a mind that the plaintiff has been in desperate financial circumstances. This forms the basis of ING's allegation that the plaintiff had a motive for setting fire to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Furthermore, this does not seem to be a case where the corporate plaintiff's corporate and financial structure is so complicated that it would take considerable time and study to understand. The situation of the corporate plaintiff appears fairly straightforward: it had one asset, the property at issue, for which it incurred expenses and from which it generated rental income. It was not a company which was owned by inter-related companies or secretive persons or offshore interests, unlike the plaintiffs in the case of </w:t>
      </w:r>
      <w:r>
        <w:rPr>
          <w:rFonts w:ascii="arial" w:eastAsia="arial" w:hAnsi="arial" w:cs="arial"/>
          <w:i/>
          <w:color w:val="000000"/>
          <w:sz w:val="20"/>
          <w:lang w:val="en-US" w:eastAsia="en-US" w:bidi="ar-SA"/>
        </w:rPr>
        <w:t>Bergen Industries and Fishing Corp. v. Victoria Shipyards Co.</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2000 BCSC 130</w:t>
        </w:r>
      </w:hyperlink>
      <w:r>
        <w:rPr>
          <w:rFonts w:ascii="arial" w:eastAsia="arial" w:hAnsi="arial" w:cs="arial"/>
          <w:color w:val="000000"/>
          <w:sz w:val="20"/>
          <w:lang w:val="en-US" w:eastAsia="en-US" w:bidi="ar-SA"/>
        </w:rPr>
        <w:t>, a case relied upon by 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my view, it is no answer to the defendants' delay to simply adjust the amount of security for costs that might be ordered. There is evidence that the reduced sums of security for costs would still stifle the plaintiff's action. Had the defendants brought their applications early on and been successful, the plaintiff would not have incurred all of the expense of full discovery and a summary trial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conclude that the delay in giving notice of this application itself is sufficient reason to deny it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Based on the circumstances I have reviewed, including the facts that the claim would likely be stifled if security for costs were ordered, that the plaintiff's difficult financial circumstances have been contributed to in a significant way by the defendants' alleged wrongs, and the delay in bringing these applications, I dismiss the defendants' applications for security for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 the defendants have arguable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An additional ground for dismissing an application for security for costs can be that the defendants do not have arguable defences. Here, it is not necessary to consider this ground given the conclusions that I have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do note that the plaintiff says that the evidence of the defendants cannot possibly prove that the fire was deliberately set, or set by Mr. Millns, which is necessary for ING to prove in order to establish its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defence that the fire was deliberately set by Mr. Millns is based on circumstantial evidence. The weighing of this circumstantial evidence will be a matter to be determined after trial. I have necessarily been given only a preview of the potential evidence and issues at trial. At this stage, given my conclusions on the other factors, it is not necessary or appropriate for me to closely analyze and comment on the relative strengths and weaknesses of each side's case. I am mindful that there is a danger of one side or the other reading too much into any comments I may make and perhaps shaping their case or any pre-trial settlement positions accordingly.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Issues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Amendments to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proposes to make some further amendments to its claim, set out in a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plaintiff gave notice of its application in May 2012. Most of the proposed amendments relate to ING and flow in part from the order of Fitzpatrick J. severing the bad faith claim. As well, because there was a change in the form of pleadings as required by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amendments seek to change the form of the claim from an amended statement of claim to a further amended notice of civil claim to conform to the current forms. One of the amendments has to do with recognizing a change in the corporate name of ING, which is now known as Intact Insurance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ING does not oppose the amendments concerning it and I therefore grant leave to the plaintiff to amend its claim in the manner it seeks as against 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Some of the proposed amendments relate to the claim against PML. PML objects to two of the proposed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first area of objection has to do with the plaintiff's claim for damages against PML. In the existing amended statement of claim, the plaintiff does not particularize its damages claim against PML, but in its prayer for relief seeks damages for breach of contract, aggravated damages, and punitive damages. Despite pleading in its amended statement of claim that PML was negligent, the plaintiff appears to have overlooked pleading that any general damages were caused by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in its claim against ING, the plaintiff pleaded at para. 32 of its existing amended statement of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ING's refusal to pay the insurance proceeds in a timely fashion contributed to the Plaintiff suffering further damages, including but not limited to:</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rental income;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economic status;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financial credit;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savings and interest on savings;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Interests, penalties and charges on the two mortgages on the property;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upset to the companies['] principals[.]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the proposed new amendments, the plaintiff seeks to plead the same relief as already pleaded against ING, as against PML, and to plead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What is proposed in the amendments is to particularize the relief sought against PML under the heading "Relief Sought Against Porter &amp; McMillan for Breach of Contract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as follows: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difference between the amount the building was insured for and the actual replacement cost of the Building;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for breach of contract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relief as this Court may deem meet and just.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Porter &amp; McMillan's breach of contract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Plaintiff suffering further damages, including but not limited to:</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inadequate insurance to replace the Building;</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rental income;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economic status;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financial credit;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savings and interest on savings;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Interests, penalties and charges on the two mortgages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PML argues that these new damages allegations against it raise new issues and that the court should find either that it is too late to allow these amendments or that if allowed, they should be on terms as to costs and as to further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argues that the amendments to its claim really just amounts to particularization of the general damages claim that has always been advanced against PML and these amendments do not introduce anything new or surprising to PML.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appears to me that in its prior pleading, the plaintiff had not properly followed the logic of its claim against PML through to its prayer for relief. In short, the original pleading was sloppy. However, in the overall litigation the plaintiff has always sought to claim a broad range of consequential damages. I do not consider that PML can be the least bit taken by surprise that the plaintiff seeks to advance its full consequential damages claim against it and not just against ING. There is no affidavit evidence suggesting there is any surprise or prejudice to PML in allowing these pleadings at this late stage. For example, PML does not provide sworn evidence that it did not anticipate the scope of the plaintiff's damages claim, or that it cannot be ready for trial now that the plaintiff has particularized its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am of the view that any prejudice to PML in respect of the more refined pleading of damages against it will be minor and can be addressed by further discovery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next area of amendments which are objected to by PML have to do with the framing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the existing amended statement of claim, the plaintiff pleads at para. 19 that it relied on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amendments thereto, particulars of which included:</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obtain an adequate appraisal of the Building.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proposed amendment would change the above language of the claim to read:</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Failure to </w:t>
      </w:r>
      <w:r>
        <w:rPr>
          <w:rFonts w:ascii="arial" w:eastAsia="arial" w:hAnsi="arial" w:cs="arial"/>
          <w:color w:val="000000"/>
          <w:sz w:val="20"/>
          <w:u w:val="single"/>
          <w:lang w:val="en-US" w:eastAsia="en-US" w:bidi="ar-SA"/>
        </w:rPr>
        <w:t>recommend</w:t>
      </w:r>
      <w:r>
        <w:rPr>
          <w:rFonts w:ascii="arial" w:eastAsia="arial" w:hAnsi="arial" w:cs="arial"/>
          <w:color w:val="000000"/>
          <w:sz w:val="20"/>
          <w:lang w:val="en-US" w:eastAsia="en-US" w:bidi="ar-SA"/>
        </w:rPr>
        <w:t xml:space="preserve"> an appraisal of the Building.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PML argues that changing the claim of its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that of failing to obtain an adequate appraisal, to that of failing to recommend an appraisal, is withdrawal of an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PML argues that for a change in a pleading to constitute a withdrawal of an admission, the admission must be one which was considered and made with the intention that the other party would rely on it, citing </w:t>
      </w:r>
      <w:r>
        <w:rPr>
          <w:rFonts w:ascii="arial" w:eastAsia="arial" w:hAnsi="arial" w:cs="arial"/>
          <w:i/>
          <w:color w:val="000000"/>
          <w:sz w:val="20"/>
          <w:lang w:val="en-US" w:eastAsia="en-US" w:bidi="ar-SA"/>
        </w:rPr>
        <w:t>Lam v. University of British Columbia</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2012 BCSC 670</w:t>
        </w:r>
      </w:hyperlink>
      <w:r>
        <w:rPr>
          <w:rFonts w:ascii="arial" w:eastAsia="arial" w:hAnsi="arial" w:cs="arial"/>
          <w:color w:val="000000"/>
          <w:sz w:val="20"/>
          <w:lang w:val="en-US" w:eastAsia="en-US" w:bidi="ar-SA"/>
        </w:rPr>
        <w:t xml:space="preserve"> for this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 respect, I am not persuaded by the submissions of PML that the former pleading was an admission or that it was intended that PML would rely on it. What the plaintiff was intending to do, clearly, was particularize the alleged breach of the standard of care by PML. Of course, the standard of care of PML is likely to be determined as a matter of expert evidence. The fact that the plaintiff did not previously plead that PML failed to "recommend" an appraisal is not an admission by the plaintiff that PML had either recommended an appraisal or that its failure to do so was not a breach of standard of care. Simply put, the lack of a prior pleading that PML failed to recommend an appraisal was not any kind of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PML further argues that this change in the framing of the breach of the standard of care requires a different approach to the case with further discovery. I was not given any specific examples on how this could be so. I presume that the discovery to date sought answers to the inquiry "what did PML in fact do in relation to the plaintiff's insurance coverage", and "what conversations did the plaintiff's representatives have with PML's employees", which factual answers will still be relevant with respect to this change in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am satisfied that the proposed amendments ought to be granted so as to allow the plaintiff to properly frame its case and that the amendments will not be prejudicial to PML's ability to be ready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PML does not otherwise object to the other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therefore grant leave to the plaintiff to further amend the notice of civil claim in the form attached as Schedule A to the plaintiff's notice of application filed May 14,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accept that there may be some nuances arising from these amendments that PML may wish to address on examination for discovery. I will therefore grant PML the leeway to conduct a further examination for discovery of a representative of the plaintiff limited to these two new aspects of the plaintiff's amendments, the damages claim against PML and the claim that PML failed to recommend an appraisal, such examination for discovery to not exceed two hours.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Application for Production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Lastly, the plaintiff applies for a declaration that ING has waived privilege over its solicitor file in whole or in part through to March 19, 2012, that ING produce those documents listed in Part 3 of its list of documents, that the plaintiff be at liberty to cross-examine Christina J. Cook on her affidavit sworn March 19, 2012, and that ING's application for security for costs be adjourned until these steps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basis for the plaintiff's application is affidavit no. 3 of Christina Cook sworn March 19, 2012, and filed by ING in support of its security for costs application. Ms. Cook is an associate with the law firm representing 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thrust of the plaintiff's application is that Ms. Cook deposed to information in her affidavit which constitutes a waiver of solicitor/client privilege. Not only did she depose as to facts as though they were within her first hand knowledge (when they were clearly hearsay), she offered evidence on underlying issues in the proceeding. For example, at para. 10 of her affidavit, she swore: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a thorough investigation, ING concluded that the fire was caused by, or at the direction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was my impression on reading Ms. Cook's affidavit that she was attempting to advance argument on the part of ING. Many of the propositions in her affidavit should have properly been part of counsel submissions and not counsel's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However, I conclude that there is no need to decide the plaintiff's application at this time, given that I have dismissed the defendants' application for security for costs. However, production of the solicitor's file may be relevant in the second stage of the litigation, if that stage goes ahead, namely, the bad faith claim against ING. Thus, I will order that the plaintiff's application be adjourned generally with liberty to the plaintiff to reapply.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Costs on the determined applications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Olsen v. Behr Process Corp., [2003] B.C.J. No. 1887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Oppal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26 - 29,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S006106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1887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1252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 B.C.L.R. (4th) 315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429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1252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Leonard Olsen, Paul Dennis and Linda Dennis, plaintiffs, and Behr Process Corporation and Behr Process Canada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3"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1" w:name="Keywords_18"/>
      <w:bookmarkEnd w:id="211"/>
      <w:r>
        <w:rPr>
          <w:rFonts w:ascii="arial" w:eastAsia="arial" w:hAnsi="arial" w:cs="arial"/>
          <w:b/>
          <w:color w:val="000000"/>
          <w:sz w:val="20"/>
          <w:lang w:val="en-US" w:eastAsia="en-US" w:bidi="ar-SA"/>
        </w:rPr>
        <w:t xml:space="preserve">Practice — Actions, commencement of — Individuals and corporations, status or standing — Class actions, certification, considerations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2" w:name="Case Summary_17"/>
            <w:bookmarkEnd w:id="2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three plaintiffs to certify a class action against Behr Process regarding its wood stain products. The plaintiffs alleged that Behr was negligent, breached contractual warranties, and contravened British Columbia's Trade Practice Act as well as the federal Competition Act in marketing wood stains subject to mildew. They claimed that the products irreparably damaged their property. Behr argued that there was insufficient evidence to support these allegations, that any problems would be different at different locations, and that consultation with Behr's technical services department was a better way to handle any disputes.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3" w:name="Holdings of Court_14"/>
            <w:bookmarkEnd w:id="21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class proceeding was certified based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The plaintiffs had a viable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 were at least two class members. The fact that one plaintiff might be a non-resident was not determinative. While there were some individualized issues, these did not predominate over issues that were common, particularly as to whether Behr's products damaged the plaintiffs' properties. It made no sense from the perspectives of judicial economy and individual accessibility to the courts to compel each plaintiff to commence a separate lawsuit.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4" w:name="Legislation Cited_16"/>
      <w:bookmarkEnd w:id="2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4"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508" w:history="1">
        <w:r>
          <w:rPr>
            <w:rFonts w:ascii="arial" w:eastAsia="arial" w:hAnsi="arial" w:cs="arial"/>
            <w:i/>
            <w:color w:val="0077CC"/>
            <w:sz w:val="20"/>
            <w:u w:val="single"/>
            <w:shd w:val="clear" w:color="auto" w:fill="FFFFFF"/>
            <w:lang w:val="en-US" w:eastAsia="en-US" w:bidi="ar-SA"/>
          </w:rPr>
          <w:t>R.S.B.C. 1996, c. 50, ss. 2</w:t>
        </w:r>
      </w:hyperlink>
      <w:r>
        <w:rPr>
          <w:rFonts w:ascii="arial" w:eastAsia="arial" w:hAnsi="arial" w:cs="arial"/>
          <w:color w:val="000000"/>
          <w:sz w:val="20"/>
          <w:lang w:val="en-US" w:eastAsia="en-US" w:bidi="ar-SA"/>
        </w:rPr>
        <w:t xml:space="preserve">, 4. Competition Act, </w:t>
      </w:r>
      <w:hyperlink r:id="rId509" w:history="1">
        <w:r>
          <w:rPr>
            <w:rFonts w:ascii="arial" w:eastAsia="arial" w:hAnsi="arial" w:cs="arial"/>
            <w:i/>
            <w:color w:val="0077CC"/>
            <w:sz w:val="20"/>
            <w:u w:val="single"/>
            <w:shd w:val="clear" w:color="auto" w:fill="FFFFFF"/>
            <w:lang w:val="en-US" w:eastAsia="en-US" w:bidi="ar-SA"/>
          </w:rPr>
          <w:t>R.S.C. 1985, c. C-34, s. 36</w:t>
        </w:r>
      </w:hyperlink>
      <w:r>
        <w:rPr>
          <w:rFonts w:ascii="arial" w:eastAsia="arial" w:hAnsi="arial" w:cs="arial"/>
          <w:color w:val="000000"/>
          <w:sz w:val="20"/>
          <w:lang w:val="en-US" w:eastAsia="en-US" w:bidi="ar-SA"/>
        </w:rPr>
        <w:t xml:space="preserve">. Trade Practice Act, </w:t>
      </w:r>
      <w:hyperlink r:id="rId370"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5" w:name="Counsel_19"/>
      <w:bookmarkEnd w:id="2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5"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W.K. Branch, J. Prodor and D.B. Lebans, for the plaintiffs. E.J. Adair and R.B. Fraser,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6" w:name="Judgment_19"/>
      <w:bookmarkEnd w:id="216"/>
      <w:r>
        <w:pict>
          <v:line id="_x0000_s1126" style="position:absolute;z-index:2518323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7" w:name="OPPAL J."/>
            <w:bookmarkEnd w:id="217"/>
            <w:r>
              <w:rPr>
                <w:rFonts w:ascii="arial" w:eastAsia="arial" w:hAnsi="arial" w:cs="arial"/>
                <w:b/>
                <w:color w:val="000000"/>
                <w:sz w:val="30"/>
                <w:lang w:val="en-US" w:eastAsia="en-US" w:bidi="ar-SA"/>
              </w:rPr>
              <w:t>OPPAL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plaintiffs to certify a class action pursuant to the Class Proceedings Act, </w:t>
      </w:r>
      <w:hyperlink r:id="rId508" w:history="1">
        <w:r>
          <w:rPr>
            <w:rFonts w:ascii="arial" w:eastAsia="arial" w:hAnsi="arial" w:cs="arial"/>
            <w:i/>
            <w:color w:val="0077CC"/>
            <w:sz w:val="20"/>
            <w:u w:val="single"/>
            <w:shd w:val="clear" w:color="auto" w:fill="FFFFFF"/>
            <w:lang w:val="en-US" w:eastAsia="en-US" w:bidi="ar-SA"/>
          </w:rPr>
          <w:t>R.S.B.C. 1996, c. 50, s. 2</w:t>
        </w:r>
      </w:hyperlink>
      <w:r>
        <w:rPr>
          <w:rFonts w:ascii="arial" w:eastAsia="arial" w:hAnsi="arial" w:cs="arial"/>
          <w:color w:val="000000"/>
          <w:sz w:val="20"/>
          <w:lang w:val="en-US" w:eastAsia="en-US" w:bidi="ar-SA"/>
        </w:rPr>
        <w:t>, and to appoint the plaintiffs, Leonard Olsen and Paul Dennis, as representatives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is a products liability case. The plaintiffs have alleged that they suffered damages and losses when they applied wood stain products, manufactured and marketed by the defendants, to their homes. The plaintiffs' claim is based upon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warranty and breaches of the Trade Practice Act, </w:t>
      </w:r>
      <w:hyperlink r:id="rId370"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and the Competition Act, R.S.C. 1985, C-34.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proposed class is defined as follows:</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purchased and applied or caused to be applied, on or after January 1, 1991, the Defendants' products Super Liquid Raw-Hide or Natural Seal Plus (the "Products") to a natural wood exterior surface within British Columbia; or</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have a legal or beneficial interest in a natural wood exterior surface within British Columbia, to which the Products were applied on or after January 1,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proposed common issues are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owe a duty of care to the Plaintiffs and the Class Members to ensure that the Products were not defective and would not result in damage or injury to the exterior wood surfaces to which they were applied?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standard of care in designing, manufacturing and testing the Products, and if so, when did the breaches begin? In relation to this issue, the following sub-issues will be considered:</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Products contain ingredients that were chemically incompatible or unstable, such as to promote mildew growth and discolouration and degradation of the Products and the wood surfaces to which they were applied?</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Products contain insufficient concentrations of mildewcide or an improper type of mildewcide so as to cause mildew growth and discolouration and degradation of the Products and the wood surfaces to which they were applied?</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ignore warnings provided by their mildewcide suppliers to the effect that the suppliers' mildewcide should not be used with the Products?</w:t>
      </w:r>
    </w:p>
    <w:p>
      <w:pPr>
        <w:numPr>
          <w:numId w:val="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Products contain ingredients that would not dry completely, leaving a finish that would attract dirt and debris and promote mildew growth and discolouration?</w:t>
      </w:r>
    </w:p>
    <w:p>
      <w:pPr>
        <w:numPr>
          <w:numId w:val="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properly test the performance of the Products either before or after distribution, or, alternatively, did they ignore, conceal, destroy or lose the results of such tests?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owe a duty of care to the Plaintiffs and the Class Members to warn them that the Products could cause damage to exterior wood surfaces by promoting mildew growth, discolouration and degradation?</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standard of care in failing to adequately warn the Plaintiffs and the Class Members that the Products could cause damage to exterior wood surfaces, and if so, when did the breaches begin?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Trade Practice Issues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"suppliers" as that term is defined in the Trade Practice Act, s. 1?</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Defendants' conduct in marketing, promotion, labeling and sale of the Product to Class Members a "consumer transaction" as that term is defined in the Trade Practice Act, s. l, and "deceptive acts or practices" or "unconscionable acts or practices" pursuant to Trade Practice Act, ss. 3 and 4?</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Competition Act and Breach of Warranty Issues</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make representations as set out in paragraphs 15, 16 and 44 of the Amended Statement of Claim:</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Products or their wrappers or containers,</w:t>
      </w:r>
    </w:p>
    <w:p>
      <w:pPr>
        <w:numPr>
          <w:numId w:val="1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in-store or point-of-purchase displays, or</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literature accompanying the Products, and if so, were those representations false or misleading in a material respect so as to contravene the Competition Act, s. 52?</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make representations as set out in paragraphs 15, 16 and 45 of the Amended Statement of Claim:</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Products or their wrappers or containers,</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in-store or point-of-purchase displays, or</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literature accompanying the Products, and if so, were those representations false?</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Issue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liable to pay punitive or exemplary damages having regard to the nature of the established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representative plaintiffs have alleged that they purchased wood stain products manufactured by the defendants and sold by various retail outlets. The plaintiff Mr. Olsen, a resident of Hornby Island, has deposed that in September 1996 he purchased a product known as Super-Liquid Raw-Hide (SLR) and applied it on red cedar siding and posts on his property. He has stated that within two years of the application, the stairs "of the home and deck began turning black". Similarly, the plaintiff Mr. Dennis, a resident of Everett, Washington, has deposed that in December 1996 he purchased Natural Seal Plus (NSP) and applied it on a cedar planter and a cedar totem pole. He said he purchased and applied the product "in order to preserve the quality...." He has also deposed that within six months the surface upon which the product was applied turned black.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Mueller, a mycologist, who examined both the Olsen and Dennis properties made the following comments in a report dated May 18, 2001: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sides of the Olsen home are heavily colonized by aureobasidium pullulans with ASTM disfigurement rating of zero in the worse areas. The surfaces also colonized in most areas by cladosporium sp., another dark colour mildew that contributes to the disfigurement.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went on to state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main constituents of Behr Raw-Hide coatings is linseed oil, a well-known food source for aureobasidium pullulans.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Mueller's reports are almost identical in that in each case he said that in his opinion the discolouration and the damage on the plaintiffs' properties was caused by application of the defendants' products. Thus, the plaintiffs' claim is that the defendants' products caused and contributed to the growth of mildew.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claim is that the defendants' wood stains caused irreparable harm to their homes and that it is not financially feasible to either replace or repair the damaged wood. It is also alleged that the costs for each individual to commence litigation far outweighs the costs incurred in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Plaintiffs' counsel has alleged that notwithstanding a lack of public notice as of May 5, 2002, they have been contacted by approximately 147 persons from British Columbia and other provinces who wish to become involved in 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have argued that these proceedings are not appropriate for certification for a number of reasons. First, it is argued that there is an insufficient evidentiary basis to justify certification. In other words, the evidence falls short of the requirements for certification. In that regard, the defendants have filed extensive evidence with the court that relates to the beneficial aspects of the products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have deposed that the performance of any exterior wood stain can be affected by a number of factors, including weather conditions, proper application, proper maintenance and proper surface preparation. For instance, the defendants have stated that all NSP labels clearly state that it is necessary to recoat or reapply the product on a periodic basis. Failure to do that may result in discolouration. As well, the defendants have challenged the findings of the plaintiffs' experts that the discolouration is, in fact, mildew, for it is stated that it could be iron stain, dirt or algae. It is argued that since January 1, 1991, the period from which the plaintiffs seek certification, "tens of thousands of gallons of the products have been sold in B.C. and in Canada and therefore the plaintiffs' allegation that the products' failure is 'total' cannot be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have argued that there simply is no air of reality to the plaintiffs' claims that the defendants' products failed totally. To that extent, the defendants rely on a number of expert witnesses. Dr. John Hauser, a university professor from the Sloane School of Management of the Massachusetts Institute of Technology, has deposed that he was retained by the defendants to assess the satisfaction of users of Behr exterior wood coatings and also to assess the satisfaction of individuals who contacted the defendants' technical services department with inquiries. He has deposed that he conducted extensive scientifically-based surveys of consumers in British Columbia and Oregon. He has deposed that "none of the Behr users in British Columbia report that they experience mildew problems. In comparison, about two percent of non-Behr users report that they experience mildew, a finding that is inconsistent with the plaintiffs' allegations that ... the products were defective and promote mildew growth." He has also deposed that "Behr users in British Columbia are generally satisfied with ... the products...." He has also deposed that Behr's Technical Services Department (TSD) "is highly effective in providing information and resolving issues or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Peter Reiss, a professor from the Stanford Graduate School of Business in California, has deposed that he was retained by the defendants to examine and analyze the frequency at which Canadian consumers complained to Behr about mildew or similar problems. He has deposed that the defendants have an active consumer service programme that monitors questions about the application and performance of their products. He has also deposed that the vast majority of consumer contacts are about SLR products and related to "mildew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Wayne Wilcox, a forest products pathologist and professor emeritus from the University of California, has deposed that for over 40 years he has studied, compiled and analyzed wood and forest products data. He is familiar with mildew growth. He has stated that the term "mildew" has a very widespread colloquial use and that there is widespread confusion as to the meaning of the term. The clear inference from his evidence is that the substance complained of may not be mildew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Wilcox has also examined eleven homes in Washington State where the products were alleged to have been applied. He has stated that even if the plaintiffs succeed in establishing that the products were defective, it will be necessary to determine whether the discolouration has resulted from iron stain, algae or weathering rather than mildew and, further, whether the discolouration of the wood surface existed prior to the application of the defendants' products. He has gone on to state that there is a myriad of causes of blackening or discolouration of a wood surface which do not arise from mildew or mould fungi. Finally, he has stated that "the reasonable life of wood coatings such as the products is relatively short." In other words, the mere fact that there may be discolouration does not necessarily mean that the defendants' products were defective in any sense. He has seriously challenged the plaintiffs' ability to prove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have technical services departments in both their Santa Ana, California and Calgary, Alberta locations. The departments are established in order to address consumer complaints. They offer services without charge to all purchasers of their products. Consumers are able to access the departments by the use of an 800 telephone number. According to the defendants' material, the department deals with problems relating to weather and mildew. However, it is said that those problems generally arise when the wood surface is not properly prepared for the application of the products. In any event, it is said that the defendants provide consumers with helpful advice in order to remedy the problems associated with the application of the products. In many cases cash payments are made to consumers on a "without fault" basis. In other words, consumers need not prove fault on the part of the defendants in order to recover compensation in the event they are not satisfied with the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have stated that they have kept a database relating to consumer complaints and problems. The defendants' evidence is that "the experience of B.C. consumers of the products is very positive and directly contradicts the plaintiffs' theory of "total failure' of the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law is not in dispute. The requirements for a class certification proceeding are set out in s. 4 of the Act. That section reads as follows:</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under section 2 or 3 if all of the following requirements are met:</w:t>
      </w:r>
    </w:p>
    <w:p>
      <w:pPr>
        <w:numPr>
          <w:numId w:val="2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2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2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2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2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2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the other class members.</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Western Canada Shopping Centres Inc. v. Dutton </w:t>
      </w:r>
      <w:hyperlink r:id="rId169" w:history="1">
        <w:r>
          <w:rPr>
            <w:rFonts w:ascii="arial" w:eastAsia="arial" w:hAnsi="arial" w:cs="arial"/>
            <w:i/>
            <w:color w:val="0077CC"/>
            <w:sz w:val="20"/>
            <w:u w:val="single"/>
            <w:shd w:val="clear" w:color="auto" w:fill="FFFFFF"/>
            <w:lang w:val="en-US" w:eastAsia="en-US" w:bidi="ar-SA"/>
          </w:rPr>
          <w:t>(2001), 201 D.L.R. (4th) 385</w:t>
        </w:r>
      </w:hyperlink>
      <w:r>
        <w:rPr>
          <w:rFonts w:ascii="arial" w:eastAsia="arial" w:hAnsi="arial" w:cs="arial"/>
          <w:color w:val="000000"/>
          <w:sz w:val="20"/>
          <w:lang w:val="en-US" w:eastAsia="en-US" w:bidi="ar-SA"/>
        </w:rPr>
        <w:t xml:space="preserve"> (S.C.C.), the Court set out four basic requirements that must be met before a class action may be certified. They are as follows:</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must be capable of clear definition.</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relating to law or fact must be common to all class members.</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success for one class member means a success for all.</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class representatives must adequately represent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first requirement is that there be an identifiable class of two or more persons and that the claims of the class members raise issues that are common to the members of the class. An issue becomes common "only where its resolution is necessary to the resolution of each class member's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leading authority on the requirements for certifying a class action is Hollick v. City of Toronto </w:t>
      </w:r>
      <w:hyperlink r:id="rId129" w:history="1">
        <w:r>
          <w:rPr>
            <w:rFonts w:ascii="arial" w:eastAsia="arial" w:hAnsi="arial" w:cs="arial"/>
            <w:i/>
            <w:color w:val="0077CC"/>
            <w:sz w:val="20"/>
            <w:u w:val="single"/>
            <w:shd w:val="clear" w:color="auto" w:fill="FFFFFF"/>
            <w:lang w:val="en-US" w:eastAsia="en-US" w:bidi="ar-SA"/>
          </w:rPr>
          <w:t>(2001), 205 D.L.R. (4th) 19</w:t>
        </w:r>
      </w:hyperlink>
      <w:r>
        <w:rPr>
          <w:rFonts w:ascii="arial" w:eastAsia="arial" w:hAnsi="arial" w:cs="arial"/>
          <w:color w:val="000000"/>
          <w:sz w:val="20"/>
          <w:lang w:val="en-US" w:eastAsia="en-US" w:bidi="ar-SA"/>
        </w:rPr>
        <w:t xml:space="preserve"> (S.C.C.), affirming </w:t>
      </w:r>
      <w:hyperlink r:id="rId510" w:history="1">
        <w:r>
          <w:rPr>
            <w:rFonts w:ascii="arial" w:eastAsia="arial" w:hAnsi="arial" w:cs="arial"/>
            <w:i/>
            <w:color w:val="0077CC"/>
            <w:sz w:val="20"/>
            <w:u w:val="single"/>
            <w:shd w:val="clear" w:color="auto" w:fill="FFFFFF"/>
            <w:lang w:val="en-US" w:eastAsia="en-US" w:bidi="ar-SA"/>
          </w:rPr>
          <w:t>(2000), 46 O.R. (3d) 257</w:t>
        </w:r>
      </w:hyperlink>
      <w:r>
        <w:rPr>
          <w:rFonts w:ascii="arial" w:eastAsia="arial" w:hAnsi="arial" w:cs="arial"/>
          <w:color w:val="000000"/>
          <w:sz w:val="20"/>
          <w:lang w:val="en-US" w:eastAsia="en-US" w:bidi="ar-SA"/>
        </w:rPr>
        <w:t xml:space="preserve"> (C.A.). The main issue in that case was whether the plaintiffs had met the certification requirements of the Ontario legislation, which is similar to the Act in this province. At the outset the Court said that the legislation ought not to be interpreted in a restrictive manner but should be construed generously (at p. 28). The Court also restated the public policy rationale for class action proceedings. The Court stated that class actions have three important advantages over individual law suits. First, they address the issue of judicial economy by avoiding duplication in fact-finding and legal analysis; second, they provide access to the courts on a more economic basis by spreading the costs over a larger number of class members; and, third, they address the question of modification of behaviour of wrongdoers (see 28-9).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first requirement under the Act is that the pleadings must disclose a cause of action. It is not the function of a judge on a certification hearing to determine the merits of the case by weighing evidence. In Hollick, supra, McLachlin C.J.C., at [paragraph] 29,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any inquiry into the merits of the action will not be relevant on a motion for certification") .... Rather the certification stage focuses on the form of the action. The question at the certification stage is not whether the claim is likely to succeed, but whether the suit is appropriately prosecuted as a class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Campbell v. Flexwatt Corp. </w:t>
      </w:r>
      <w:hyperlink r:id="rId149"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(C.A.), an issue before the Court was whether there was a cause of action against a particular defendant. In addressing that issue, Cumming J.A., at 358, made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argue, however, that irrespective of any duty to inspect, the named municipal defendants had a broader duty to ensure that unsafe products were not used. The appellants further argue that all of the named municipal defendants and the Province breached this broader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the City of Vancouver, or any of the other named defendants, owed a duty of care to the plaintiffs is a triable issue. If a duty of care was owed, whether it was subsequently breached is also a triable issue. Therefore, I am of the opinion that a cause of action does exist against the appellant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went on to state that the mere fact that determining the duty of care to the plaintiffs may be more difficult as far as that particular defendant was concerned is not a bar to certification as long as the plaintiffs are able to show that there is some evidence in support of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their position that in so doing the defendants also violated the provisions of both the Trade Practice Act and the Competition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Act requires that the plaintiffs prove that there are issues common to all class members. In Hoy v. Medtronic Inc. </w:t>
      </w:r>
      <w:hyperlink r:id="rId511" w:history="1">
        <w:r>
          <w:rPr>
            <w:rFonts w:ascii="arial" w:eastAsia="arial" w:hAnsi="arial" w:cs="arial"/>
            <w:i/>
            <w:color w:val="0077CC"/>
            <w:sz w:val="20"/>
            <w:u w:val="single"/>
            <w:shd w:val="clear" w:color="auto" w:fill="FFFFFF"/>
            <w:lang w:val="en-US" w:eastAsia="en-US" w:bidi="ar-SA"/>
          </w:rPr>
          <w:t>(2001), 94 B.C.L.R. (3d) 169</w:t>
        </w:r>
      </w:hyperlink>
      <w:r>
        <w:rPr>
          <w:rFonts w:ascii="arial" w:eastAsia="arial" w:hAnsi="arial" w:cs="arial"/>
          <w:color w:val="000000"/>
          <w:sz w:val="20"/>
          <w:lang w:val="en-US" w:eastAsia="en-US" w:bidi="ar-SA"/>
        </w:rPr>
        <w:t xml:space="preserve"> (S.C.), </w:t>
      </w:r>
      <w:hyperlink r:id="rId511" w:history="1">
        <w:r>
          <w:rPr>
            <w:rFonts w:ascii="arial" w:eastAsia="arial" w:hAnsi="arial" w:cs="arial"/>
            <w:i/>
            <w:color w:val="0077CC"/>
            <w:sz w:val="20"/>
            <w:u w:val="single"/>
            <w:shd w:val="clear" w:color="auto" w:fill="FFFFFF"/>
            <w:lang w:val="en-US" w:eastAsia="en-US" w:bidi="ar-SA"/>
          </w:rPr>
          <w:t>2001 BCSC 1343</w:t>
        </w:r>
      </w:hyperlink>
      <w:r>
        <w:rPr>
          <w:rFonts w:ascii="arial" w:eastAsia="arial" w:hAnsi="arial" w:cs="arial"/>
          <w:color w:val="000000"/>
          <w:sz w:val="20"/>
          <w:lang w:val="en-US" w:eastAsia="en-US" w:bidi="ar-SA"/>
        </w:rPr>
        <w:t>, the plaintiffs alleged that implanted electronic pacemakers were negligently manufactured by the defendant. The defendant raised a number of issues. The main arguments raised by the defendant related to the question of common issues. In other words, it was argued that there were no issues common to the class and that individual issues were predominant over common issues. It was also argued that the plaintiffs had failed to meet the preferable procedure requirement under s. 4(1)(b) of the Act. The latter was the main issue on appeal. Kirkpatrick J., at 180, dealt with the issue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Class Proceedings Act requires that the plaintiff demonstrate that the claims of the class members raise common issues, whether or not those common issues predominate over issues affecting only individual members. Counsel for the plaintiff is in possession of a considerable amount of evidence relating to claims against Medtronic in the United States. They have formulated the proposed common issues accordingly. In particular, I regard the issues of the duty of care, standard of care, and breach of the standard of care as issues common to all potential class members. Resolution of those issues would move the litigation forward and would satisfy the requirements of s. 4(1)(c)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185: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note, however, that common issues concerning duty of care, breach of the standard of care, and punitive damages are, generally speaking, unaffected by the individual issues which will undoubtedly arise. I do not perceive that, in respect of the common issues, a class action would become the "monster of complexity and cost" feared by Esson C.J.S.C. (as he then was) in Tiemstra v. Insurance Corp. of British Columbia </w:t>
      </w:r>
      <w:hyperlink r:id="rId512" w:history="1">
        <w:r>
          <w:rPr>
            <w:rFonts w:ascii="arial" w:eastAsia="arial" w:hAnsi="arial" w:cs="arial"/>
            <w:i/>
            <w:color w:val="0077CC"/>
            <w:sz w:val="20"/>
            <w:u w:val="single"/>
            <w:shd w:val="clear" w:color="auto" w:fill="FFFFFF"/>
            <w:lang w:val="en-US" w:eastAsia="en-US" w:bidi="ar-SA"/>
          </w:rPr>
          <w:t>(1996), 22 B.C.L.R. (3d) 49</w:t>
        </w:r>
      </w:hyperlink>
      <w:r>
        <w:rPr>
          <w:rFonts w:ascii="arial" w:eastAsia="arial" w:hAnsi="arial" w:cs="arial"/>
          <w:color w:val="000000"/>
          <w:sz w:val="20"/>
          <w:lang w:val="en-US" w:eastAsia="en-US" w:bidi="ar-SA"/>
        </w:rPr>
        <w:t xml:space="preserve"> (B.C.S.C.); affirmed </w:t>
      </w:r>
      <w:hyperlink r:id="rId513" w:history="1">
        <w:r>
          <w:rPr>
            <w:rFonts w:ascii="arial" w:eastAsia="arial" w:hAnsi="arial" w:cs="arial"/>
            <w:i/>
            <w:color w:val="0077CC"/>
            <w:sz w:val="20"/>
            <w:u w:val="single"/>
            <w:shd w:val="clear" w:color="auto" w:fill="FFFFFF"/>
            <w:lang w:val="en-US" w:eastAsia="en-US" w:bidi="ar-SA"/>
          </w:rPr>
          <w:t>(1997), 38 B.C.L.R. (3d) 377</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decision was upheld by the Court of Appeal (see </w:t>
      </w:r>
      <w:hyperlink r:id="rId514" w:history="1">
        <w:r>
          <w:rPr>
            <w:rFonts w:ascii="arial" w:eastAsia="arial" w:hAnsi="arial" w:cs="arial"/>
            <w:i/>
            <w:color w:val="0077CC"/>
            <w:sz w:val="20"/>
            <w:u w:val="single"/>
            <w:shd w:val="clear" w:color="auto" w:fill="FFFFFF"/>
            <w:lang w:val="en-US" w:eastAsia="en-US" w:bidi="ar-SA"/>
          </w:rPr>
          <w:t>[2003] B.C.J. No. 1251</w:t>
        </w:r>
      </w:hyperlink>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2003 BCCA 316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Act states that a class proceeding must be the preferable procedure for the fair and efficient resolution of the common issues: see s. 4(1)(d). In determining whether a class proceeding is preferable, the court must consider the provisions of s. 4(2) of the Act. Whether or not a class proceeding is preferable will of course depend upon the circumstances of each case. In Hollick, the Court concluded that the case was not appropriate for certification because a class proceeding was not the preferable procedure for the resolution of the common issues. The Court questioned the ability of the plaintiffs to prove a common defect. The Court found that the common issues were negligible since there was no basis for concluding that the pollution complained of was spread evenly over a geographic area so as to affect all proposed members of the class. In determining whether the preferability test has been met, a court must consider the whole of the circumstances. On that issue, McLachlin C.J.C. made the following comments at 35-36: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of preferability, then, must take into account the importance of the common issues in relation to the claims as a whole. It is true, of course, that the Act contemplates that class actions will be allowable even where there are substantial individual issues: see s. 5. It is also true that the drafters rejected a requirement, such as is contained in the American federal class action rule, that the common issues "predominate" over the individual issues: see Federal Rules of Civil Procedure, Rule 23(b)(3) (stating that class action maintainable only if "questions of law or fact common to the members of the class predominate over any questions affecting only individual members"); see also British Columbia Class Proceedings Act, s. 4(2)(a) (stating that, in determining whether a class action is the preferable procedures, the court must consider "whether questions of fact or law common to the members of the class predominate over any questions affecting only individual members"). I cannot conclude, however, that the drafters intended the preferability analysis to take place in a vacuum. There must be a consideration of the common issues in context. As the Chair of the Attorney General's Advisory Committee put it, the preferability requirement asks that the class representative "demonstrate that, </w:t>
      </w:r>
      <w:r>
        <w:rPr>
          <w:rFonts w:ascii="arial" w:eastAsia="arial" w:hAnsi="arial" w:cs="arial"/>
          <w:color w:val="000000"/>
          <w:sz w:val="20"/>
          <w:u w:val="single"/>
          <w:lang w:val="en-US" w:eastAsia="en-US" w:bidi="ar-SA"/>
        </w:rPr>
        <w:t>given all of the circumstances of the particular claim</w:t>
      </w:r>
      <w:r>
        <w:rPr>
          <w:rFonts w:ascii="arial" w:eastAsia="arial" w:hAnsi="arial" w:cs="arial"/>
          <w:color w:val="000000"/>
          <w:sz w:val="20"/>
          <w:lang w:val="en-US" w:eastAsia="en-US" w:bidi="ar-SA"/>
        </w:rPr>
        <w:t>, [a class action] would be preferable to other methods of resolving these claims and, in particular, that it would be preferable to the use of individual proceedings" (emphasis added): M. G. Cochrane, Class Actions: A Guide to the Class Proceedings Act, 1992 (1993), at p.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Hoy, supra, the Court of Appeal, in upholding the decision of Kirkpatrick J. on the preferability issue, stated that in determining whether a class proceeding is preferable the chambers judge must evaluate the proposed common issues in the context of the claims as a whole. Finch C.J.B.C. made the following statements at [paragraphs] 49 and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 [The chambers judge] then found at 78 that the common issues were "unlikely to be overwhelmed by individual issues to the degree found in Tiemstra, supra, or Bittner, supra." She said the determination of the common issues would advance the claim "to a </w:t>
            </w:r>
            <w:r>
              <w:rPr>
                <w:rFonts w:ascii="arial" w:eastAsia="arial" w:hAnsi="arial" w:cs="arial"/>
                <w:color w:val="000000"/>
                <w:sz w:val="18"/>
                <w:u w:val="single"/>
                <w:lang w:val="en-US" w:eastAsia="en-US" w:bidi="ar-SA"/>
              </w:rPr>
              <w:t>significant</w:t>
            </w:r>
            <w:r>
              <w:rPr>
                <w:rFonts w:ascii="arial" w:eastAsia="arial" w:hAnsi="arial" w:cs="arial"/>
                <w:color w:val="000000"/>
                <w:sz w:val="18"/>
                <w:lang w:val="en-US" w:eastAsia="en-US" w:bidi="ar-SA"/>
              </w:rPr>
              <w:t xml:space="preserve"> degree" (my [i.e. Finch C.J.B.C.'s] emphasis).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 I understand this to mean that in her view the determination of the common issues would advance the claims to an appreciable extent, and that individual issues would likely be less important aspects of the claims. </w:t>
            </w:r>
            <w:r>
              <w:rPr>
                <w:rFonts w:ascii="arial" w:eastAsia="arial" w:hAnsi="arial" w:cs="arial"/>
                <w:color w:val="000000"/>
                <w:sz w:val="18"/>
                <w:u w:val="single"/>
                <w:lang w:val="en-US" w:eastAsia="en-US" w:bidi="ar-SA"/>
              </w:rPr>
              <w:t>In other words, the common issues predominate over those affecting only individual claims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Whether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There is no doubt that based upon the pleadings the plaintiffs have a viable cause of action for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manufacture and testing of the defendants' products. The plaintiffs have filed evidence by which they have alleged that the defendants negligently manufactured and distributed without adequate warning the adverse nature of their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have also argued that the defendants have violated the provisions of both the Trade Practice Act and the Competition Act. In October 2002 the defendants made an application to strike out the plaintiffs' pleadings on the basis that they failed to disclose material facts. R. Holmes J. allowed the application in part and held that the claim for breach of warranty would be stricken in 30 days if the plaintiffs did not amend the pleadings to claim a complete cause of action for breach of warranty. The plaintiffs have amended their pleadings by alleging that the defendants breached the express or implied warranties by selling products that promoted, rather than retarded mildew growth or discoloration and degradation of the wood surfaces to which they were applied. However, he went on to decide that the plaintiffs failed to bring themselves within s. 22 of the Trade Practice Act in that there were no material facts to support the plaintiffs acting in reliance upon any "deceptive" or "unconscionable" act. He found that under the Act a claim may be supported by the mere silence of a manufacture with knowledge of a product defect. He went on to conclude that there was a sufficient basis to sustain a pleading under that Act (see [paragraphs] 29-34). It should also be noted that under s. 3(1) of the Act a deceptive act or practice is defined as an "oral, written, visual, descriptive or other representation, including a failure to disclose and any conduct having the capability, tendency or effect of deceiving or misleading a person. Thus, the definition of a deceptive act is extremely broad. While the pleadings comply with the provisions of the Trade Practice Act and the Competition Act, for the purposes of certification this essentially is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and the allegations under the statutes appear to be somewhat secondary.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have advanced numerous defences. While the defendants have seriously challenged the plaintiffs' allegations, it must be noted that at this stage of the proceedings it is not the function of this Court to assess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Whether there is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the Court stated in Western Canada Shopping Centres Inc., supra, a class must be capable of clear definition. The defendants have argued that the proposed class definition in this case is over-inclusive and fails to state objective criteria by which members of a class could be identified. It is argued that since the plaintiffs have proposed a commencement date of January 1991 the class can have no clear definition. It is further argued that there is no evidence to support claims for breach of warranty under the Trade Practice Act or under s. 36 of the Competition Act. As McLachlin C.J.C. stated in Western Canadian Shopping Centre Inc., supra, it is important that class definition must be determined at the outset of the litigation since class definition is critical because it identifies the individuals entitled to notice, entitled to relief (if relief is awarded), and bound by the judgment ( 38).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no doubt that at this stage there are at least two class members. There is no onus on the plaintiffs to state with exactitude the proposed size of the class. While there may be some concern that Mr. Dennis is a non-resident, it should be noted that that, in and of itself, is not a bar to certification. The non-residency issue was addressed by Kirkpatrick J. in Hoy, supra. She made the following comments at [paragraph]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utility of a non-resident sub-class is also supported by the fact that Medtronic Canada is a wholly owned subsidiary of Medtronic USA which manufactured all of the product in issue. Medtronic Canada has a head office in British Columbia. Medtronic Canada distributed the product in Canada. I find later in these reasons that the issues of duty of care, standard of care, and breach of the duty of care are common issues. They are issues which will not be made more complicated by the inclusion of non-resident class members. There is no doubt that the issues are complex. However, that complexity stands in favour of the issues being decided at one trial rather than in multiple trials with potentially conflicting results and far greater cumulative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of no consequence at this stage at least that the plaintiffs have proposed a commencement date of January 1991. If a plaintiff is unable to bring a claim within the time frame then the court can make the appropriate order. This is really an evidentiary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Whether the Claims of the Class Members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is of course fundamental that the claims raise common issues regardless of whether or not the common issues predominate over issues affecting only individual members: see s. 4(1)(c). There is no doubt that there are a number of individual issues that arise from the evidence. However, I cannot conclude that they predominate over issues that are common. The overriding common issue is whether the defendants' products were the cause of the alleged damage to the plaintiffs' properties. The defendants have relied upon Bittner v. Louisiana Pacific Corp. </w:t>
      </w:r>
      <w:hyperlink r:id="rId158" w:history="1">
        <w:r>
          <w:rPr>
            <w:rFonts w:ascii="arial" w:eastAsia="arial" w:hAnsi="arial" w:cs="arial"/>
            <w:i/>
            <w:color w:val="0077CC"/>
            <w:sz w:val="20"/>
            <w:u w:val="single"/>
            <w:shd w:val="clear" w:color="auto" w:fill="FFFFFF"/>
            <w:lang w:val="en-US" w:eastAsia="en-US" w:bidi="ar-SA"/>
          </w:rPr>
          <w:t>(1997), 43 B.C.L.R. (3d) 324</w:t>
        </w:r>
      </w:hyperlink>
      <w:r>
        <w:rPr>
          <w:rFonts w:ascii="arial" w:eastAsia="arial" w:hAnsi="arial" w:cs="arial"/>
          <w:color w:val="000000"/>
          <w:sz w:val="20"/>
          <w:lang w:val="en-US" w:eastAsia="en-US" w:bidi="ar-SA"/>
        </w:rPr>
        <w:t xml:space="preserve"> (S.C.), and Gariepy v. Shell Oil Co. </w:t>
      </w:r>
      <w:hyperlink r:id="rId515" w:history="1">
        <w:r>
          <w:rPr>
            <w:rFonts w:ascii="arial" w:eastAsia="arial" w:hAnsi="arial" w:cs="arial"/>
            <w:i/>
            <w:color w:val="0077CC"/>
            <w:sz w:val="20"/>
            <w:u w:val="single"/>
            <w:shd w:val="clear" w:color="auto" w:fill="FFFFFF"/>
            <w:lang w:val="en-US" w:eastAsia="en-US" w:bidi="ar-SA"/>
          </w:rPr>
          <w:t>(2002), 23 C.P.C. (5th) 360</w:t>
        </w:r>
      </w:hyperlink>
      <w:r>
        <w:rPr>
          <w:rFonts w:ascii="arial" w:eastAsia="arial" w:hAnsi="arial" w:cs="arial"/>
          <w:color w:val="000000"/>
          <w:sz w:val="20"/>
          <w:lang w:val="en-US" w:eastAsia="en-US" w:bidi="ar-SA"/>
        </w:rPr>
        <w:t xml:space="preserve"> (Ont. S.C.J.). In Bittner, the application for certification was dismissed on the grounds that questions affecting individual class members would predominate over questions common to the class. The Court concluded that many issues would have to be determined through individual trials and that the resolution of common issues would not materially advance each class member's claim for damages. The facts are worth noting. The plaintiffs had alleged that the defendants had negligently designed and manufactured wood siding which caused damage to the plaintiffs' homes. However, there were a number of issues that could only be resolved on an individual basis. Since 1985, the product had been continually and materially changed. It had been manufactured in the United States at 8 different plants. Each plant varied in terms of the wood source process implementation and finishing details (see p. 326). The Court concluded that the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complexities concerning the differences in the manufacture of the siding, as well as the distinctions between the types of siding and their different uses, as well individual issues concerning storage, installation, and maintenance, raise the thorny problem as to whether the question which the plaintiffs characterize as common to the class will in fact depend on individual proof in order to establish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Gariepy, supra, the plaintiffs sought to certify an action which was based primarily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manufacturers of resin used in plumbing systems. The allegations were that the resin in fittings and pipes was unsuitable for water plumbing systems. The application was dismissed on the grounds that the class was not clearly identifiable and also on the basis that the plaintiffs had not established that the resolution of the common issues would significantly advance the litigation. The Court went to state that in determining whether the defendant's products were inherently defective, a trial would not advance the overall determination of the liability issue, for other factors could be responsible for the failure of the pipes in any given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Bittner it was clear that the plaintiffs had failed to satisfy the Court on the commonality issue. I agree with plaintiffs' counsel that the decision in Gariepy simply cannot be reconciled with the general trend towards certification. In determining the issue of commonality, I am mindful of the words of Cumming J.A. in Campbell, supra, wherein he made the following comments at [paragraphs] 52 - 53: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question of commonality of issues lies at the heart of a class proceeding, for the intent of a class proceeding is to allow liability issues to be determined for the entire class based on a determination of liability of the defendants to the proposed representative plaintiffs.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When examining the existence of common issues it is important to understand that the common issues do not have to be issues which are determinative of liability; they need only be issues of fact or law that move the litigation forward. The resolution of a common issue does not have to be, in and or itself, sufficient to support relief. To require every common issue to be determinative of liability for every plaintiff and every defendant would make class proceedings with more than one defendant impossible.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have no difficulty in determining that the issues raised here are common in that the class members have an interest in common relating to the alleged defects in the defendants' products. The common issues in this case relate to liability and damages. The plaintiffs' common complaints relate to the suitability for use of the defendants' products.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is common to all members of the class. At this stage in the proceedings there appears to be no conflict between common issues and those affecting only individual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Whether a Class Proceeding would be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defendants' main argument on this issue is that there is a viable alternative method of addressing the plaintiffs' concerns and complaints, namely, the technical services department. I have no doubt that the technical services departments have assisted many people and have resolved many complaints. However, it should be noted that customer service departments such as those operated by the defendants are in-house departments that lack any meaningful form of independence. It cannot be said that the departments are a substitute or preferable to a class action that is capable of dealing with issues that are common to the class as a whole. In Chace v. Crane Canada Inc. </w:t>
      </w:r>
      <w:hyperlink r:id="rId516" w:history="1">
        <w:r>
          <w:rPr>
            <w:rFonts w:ascii="arial" w:eastAsia="arial" w:hAnsi="arial" w:cs="arial"/>
            <w:i/>
            <w:color w:val="0077CC"/>
            <w:sz w:val="20"/>
            <w:u w:val="single"/>
            <w:shd w:val="clear" w:color="auto" w:fill="FFFFFF"/>
            <w:lang w:val="en-US" w:eastAsia="en-US" w:bidi="ar-SA"/>
          </w:rPr>
          <w:t>(1997), 44 B.C.L.R. (3d) 264</w:t>
        </w:r>
      </w:hyperlink>
      <w:r>
        <w:rPr>
          <w:rFonts w:ascii="arial" w:eastAsia="arial" w:hAnsi="arial" w:cs="arial"/>
          <w:color w:val="000000"/>
          <w:sz w:val="20"/>
          <w:lang w:val="en-US" w:eastAsia="en-US" w:bidi="ar-SA"/>
        </w:rPr>
        <w:t xml:space="preserve"> (C.A.), the defendants argued that of the almost 3,000 claims made against their product, over 2,000 had been satisfactorily resolved without the necessity of litigation. The Court upheld the chambers judge's decision to certify the action primarily on the grounds that the Act permits the determination of common issues for the entire class, common issues for sub-classes and individual issues all at separate times (at 273). In dealing with the question of preferability, the Supreme Court said in Hollick, supra, that it must take into account the importance of the common issues in relation to the claims as a whole and that certification is appropriate even where there are substantial individual issues. Clearly a class procedure will address the concerns of the class members in a far more expeditious manner than the proliferation of individual law 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judicial trend is to certify class actions in order to avoid a multiplicity of law suits. In this case it makes no sense both from the perspective of judicial economy and individual accessibility to the courts to compel each plaintiff to commence separate law suits. In each case the plaintiffs' allegations and the defences to those allegations would be almost identical. In other words, issues of law and fact would be common. This is not a case in which individual issues would overwhelm common issues as was the case in Tiemstra v. Insurance Corp. of British Columbia </w:t>
      </w:r>
      <w:hyperlink r:id="rId513" w:history="1">
        <w:r>
          <w:rPr>
            <w:rFonts w:ascii="arial" w:eastAsia="arial" w:hAnsi="arial" w:cs="arial"/>
            <w:i/>
            <w:color w:val="0077CC"/>
            <w:sz w:val="20"/>
            <w:u w:val="single"/>
            <w:shd w:val="clear" w:color="auto" w:fill="FFFFFF"/>
            <w:lang w:val="en-US" w:eastAsia="en-US" w:bidi="ar-SA"/>
          </w:rPr>
          <w:t>(1997), 38 B.C.L.R. (3d) 377</w:t>
        </w:r>
      </w:hyperlink>
      <w:r>
        <w:rPr>
          <w:rFonts w:ascii="arial" w:eastAsia="arial" w:hAnsi="arial" w:cs="arial"/>
          <w:color w:val="000000"/>
          <w:sz w:val="20"/>
          <w:lang w:val="en-US" w:eastAsia="en-US" w:bidi="ar-SA"/>
        </w:rPr>
        <w:t xml:space="preserve"> (C.A.). This is a classic case in which individual law suits cannot be reasonably justified. In this case a class proceeding will obviously move the litigation forward. The plaintiffs have satisfied the requirements of the Act. There will be an order that the action be certified for class action. The class shall be defined as follows: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purchased and applied or caused to be applied, on or after January 1, 1991, the Defendants' products Super Liquid Raw-Hide or Natural Seal Plus (the "Products") to a natural wood exterior surface within British Columbia; or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have a legal or beneficial interest in a natural wood exterior surface within British Columbia, to which the Products were applied on or after January 1,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have some concerns that the proposed common issues are extremely broad. However, I am prepared, at this stage, to certify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as set out in the plaintiffs' written argument. Finally, there will be an order appointing the plaintiffs Leonard Olsen and Paul Dennis as representatives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conclusion, the plaintiffs have satisfied the requirements of the Act and there will be an order certifying these proceedings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OPPAL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7"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Pasnak v. Chura, [2003] B.C.J. No. 1591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28 - 31,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1 - 8,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A982385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1591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782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 B.L.R. (3d) 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782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Allen Gregory Pasnak and Double J. Investments Ltd., plaintiffs, and Norman Francis Chura, Chura Holdings Ltd., Summit Motors Ltd., Summit Leasing Ltd., Fleetwood Motors Ltd. and Summit Investments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8"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8" w:name="Keywords_19"/>
      <w:bookmarkEnd w:id="218"/>
      <w:r>
        <w:rPr>
          <w:rFonts w:ascii="arial" w:eastAsia="arial" w:hAnsi="arial" w:cs="arial"/>
          <w:b/>
          <w:color w:val="000000"/>
          <w:sz w:val="20"/>
          <w:lang w:val="en-US" w:eastAsia="en-US" w:bidi="ar-SA"/>
        </w:rPr>
        <w:t>Company law — Sale of shares — Valuation — Adjustments — Fundamental changes and shareholders' rights — Rights of equal shareholders — Deadlock, court ordered sale of shares — Winding-up legislation — Winding-up order — Oppression remedy.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9" w:name="Case Summary_18"/>
            <w:bookmarkEnd w:id="2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Pasnak against Chura for dissolution of the parties' business relationship and determination of the value of shares in the business. The parties jointly owned four companies. Pasnak managed Summit Motors, a Mazda franchise in Vancouver, and Summit Leasing, which owned the land occupied by the dealership. Fleetwood, a Mazda franchise in Surrey, and Summit Investments, were managed by Chura. In 1998, Fleetwood ceased operations. The parties agreed that Pasnak's holding company would purchase Chura's interest in the companies. However, there was a dispute as to the valuation of Chura's shares. Pasnak argued that he was entitled to purchase Chura's shares for less than the assessed value because Chura had breached certain duties as manager of Fleetwood. Pasnak alleged oppressive conduct,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partnership duties. He also claimed for breach of the shareholders agreement. The assessed value of Chura's shares, without adjustments, was $1,321,697. Pasnak sought adjustments of approximately $1 million, and argued that he should be able to purchase the shares for $282,836. Chura argued that the assessed value should not be adjusted.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0" w:name="Holdings of Court_15"/>
            <w:bookmarkEnd w:id="22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 adjustment was made for a loan still owing to Fleetwood by Chura, and the other claimed adjustments were disallowed. The parties had reached a dead-lock in the operation of the companies so that a winding-up order was just and equitable. Pasnak was ordered to pay $1,302,197 for Chura's shares. As to valuation, Pasnak had no standing to bring the claims against Chura for breach of fiduciary duty, oppressive conduct,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These claims were solely those of Fleetwood or Summit Investments to make. Pasnak could not prove any damage to himself or his company personally. The claim for breach of fiduciary duty was not made out on the evidence. There was no legal partnership, and so partnership duties did not apply. As well, there was no shareholders agreement between the parties with respect to Fleetwood.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1" w:name="Legislation Cited_17"/>
      <w:bookmarkEnd w:id="2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9"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Company Act, R.S.B.C. 1996, c. 62, ss. 2(i), 200, 200(1), 200(1)(a), 200(1)(b), 200(2), 200(2)(c), 201, 201(1), 201(1)(a), 201(1)(b), 224, 224(2)(c), 271, 271(3), 271(3)(a), 271(3)(b), 272.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2" w:name="Counsel_20"/>
      <w:bookmarkEnd w:id="2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0"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J.D. Shields, for the plaintiffs. H. Wiebach and G. Crickmore,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3" w:name="Judgment_20"/>
      <w:bookmarkEnd w:id="223"/>
      <w:r>
        <w:pict>
          <v:line id="_x0000_s1131"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INDEX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Assessed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Sections 271, 272, and 200(2) of the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Company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Oppressive vs. Derivative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Insurmountable Hurdle to an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Oppression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Common Law exceptions to Foss v.</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Harbottle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Common Law Personal Rights of Action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 the Plaintiffs</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in Partnership</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the Shareholders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Negative Adjustments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 for the Purchase of Shares/Winding Up</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4" w:name="TRUSCOTT J."/>
            <w:bookmarkEnd w:id="224"/>
            <w:r>
              <w:rPr>
                <w:rFonts w:ascii="arial" w:eastAsia="arial" w:hAnsi="arial" w:cs="arial"/>
                <w:b/>
                <w:color w:val="000000"/>
                <w:sz w:val="30"/>
                <w:lang w:val="en-US" w:eastAsia="en-US" w:bidi="ar-SA"/>
              </w:rPr>
              <w:t>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Allen Pasnak and the defendant Norman Chura are in a business relationship with each other through the vehicles of four companies, and both desire to bring this business relationship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have agreed that Allen Pasnak and/or his personal company Double J. Investments Ltd. ("Double J.") may purchase the shares of Norman Chura and his personal company Chura Holdings Ltd. (Mr. Chura's shares), in all four companies, being Summit Motors Ltd. (Summit Motors), Summit Leasing Ltd., Fleetwood Motors Ltd. ("Fleetwood") and Summit Investments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Unfortunately, the parties cannot agree upon the purchase price of the shares and request that the court determine the price. If the shares are not purchased at the price set by the court, the defendants Chura submit that the four companies should be wound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dispute between the parties is whether certain negative adjustments should be made to the valuation of Mr. Chura's shares, for the purpose of establishing the purchase price at which Mr. Pasnak and/or Double J. may purchase those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submit that these negative adjustments are appropriate for a number of reasons while the defendants deny that any negative adjustments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Summit Motors operates a Mazda franchise automobile dealership on East Hastings Street in Vancouver. The company was formed in 1973, and its directors are Mr. Pasnak and Mr. Chura, who are also equal shareholders in that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Summit Leasing Ltd. is the registered owner of the property on which Summit Motors operates its dealership. Mr. Pasnak and Mr. Chura are directors and equal shareholders in Summit Leasing Ltd.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Fleetwood also operated a Mazda franchise automobile dealership until 1998 in Surrey, British Columbia, but is no longer an operating company, although it still exists. Mr. Pasnak and Mr. Chura are directors of that company and indirectly equal shareholders in that company through their respective personal companies Double J. and Chura Holdings Ltd. In addition Double J. owns 175 - 8% preferred shares in Fleetwood with a par value of $1,000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Summit Investments Ltd. owns the property on which Fleetwood operated its Mazda dealership until 1998. Again, Mr. Pasnak and Mr. Chura are directors of that company and indirectly equal shareholders through their personal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Pasnak has managed Summit Motors alone, at least since 1982 when Fleetwood was established, and is paid by Summit Motors.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Chura managed Fleetwood alone from 1982 to the termination of its franchise in 1998, and was paid by Fleetwood until that time. Since February 1, 1999, Mr. Chura has been paid by Summit Motors pursuant to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Pasnak has always been the accountant for all four companies, Summit Motors, Summit Leasing Ltd., Fleetwood and Summit Investments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These four companies are defendants in this action but have filed no pleadings and were not represented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submit that they are entitled to a court order for the purchase of Mr. Chura's shares at a price less than their assessed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They submit that the purchase price should be reduced in part because of what are alleged to be breaches of duties by Mr. Chura in his operation of Fleetwood that have resulted in the share values in Fleetwood, including Double J.'s share values, being substantially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submit that these breaches by Mr. Chura constitute one or more of conduct oppressive to Double J. as a shareholder,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Double J., breach of fiduciary duty to Mr. Pasnak as the co-director of Fleetwood and to Double J. as shareholder, breach of a shareholders agreement with Mr. Pasnak, and breach of partnership duties to Mr. Pasnak.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Apart from these alleged specific breaches of duty, the plaintiffs submit that the court has the authority under s. 200 of the Company Act, </w:t>
      </w:r>
      <w:hyperlink r:id="rId524" w:history="1">
        <w:r>
          <w:rPr>
            <w:rFonts w:ascii="arial" w:eastAsia="arial" w:hAnsi="arial" w:cs="arial"/>
            <w:i/>
            <w:color w:val="0077CC"/>
            <w:sz w:val="20"/>
            <w:u w:val="single"/>
            <w:shd w:val="clear" w:color="auto" w:fill="FFFFFF"/>
            <w:lang w:val="en-US" w:eastAsia="en-US" w:bidi="ar-SA"/>
          </w:rPr>
          <w:t>R.S.B.C. 1996 Ch. 62</w:t>
        </w:r>
      </w:hyperlink>
      <w:r>
        <w:rPr>
          <w:rFonts w:ascii="arial" w:eastAsia="arial" w:hAnsi="arial" w:cs="arial"/>
          <w:color w:val="000000"/>
          <w:sz w:val="20"/>
          <w:lang w:val="en-US" w:eastAsia="en-US" w:bidi="ar-SA"/>
        </w:rPr>
        <w:t>, to establish any purchase price it considers appropriate in order to bring to an end or to remedy the matters complained of, and should reduce the purchase price to Mr. Pasnak by using that authority. This submission covers the balance of the claims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other hand, the defendants submit that Mr. Chura has breached no duties of care to the plaintiffs at all and otherwise there is no authority in the court under s. 200 to reduce the purchase price from the assessed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Assessed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PriceWaterhouseCoopers, chartered accountants, were appointed by court order of June 30, 1999, to inquire into, report on, and give an opinion as to the value of the four companies as of June 30,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parties agreed subsequently that the valuation date should be December 31,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PriceWaterhouseCoopers issued their opinion under a cover letter of October 25, 2001, and provided a valuation of the shareholdings as of December 31, 2000,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6"/>
        <w:gridCol w:w="1359"/>
        <w:gridCol w:w="1359"/>
        <w:gridCol w:w="125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w:t>
            </w:r>
          </w:p>
        </w:tc>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PASNAK</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CHURA</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8"/>
        <w:gridCol w:w="1882"/>
        <w:gridCol w:w="1987"/>
        <w:gridCol w:w="1882"/>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SUMMIT MOTORS LTD.</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$2,000,159</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$1,000,079</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$1,000,080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32"/>
        <w:gridCol w:w="1568"/>
        <w:gridCol w:w="1987"/>
        <w:gridCol w:w="1882"/>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SUMMIT LEASING LTD.</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414,386</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207,193</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207,193</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1359"/>
        <w:gridCol w:w="1987"/>
        <w:gridCol w:w="1882"/>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SUMMIT INVESTMENTS LTD.</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228,848</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114,424</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114,424</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common shares only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2"/>
        <w:gridCol w:w="1987"/>
        <w:gridCol w:w="1150"/>
        <w:gridCol w:w="1150"/>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FLEETWOOD MOTORS LTD.</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6"/>
        <w:gridCol w:w="2614"/>
        <w:gridCol w:w="1987"/>
        <w:gridCol w:w="1882"/>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$2,643,393</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$1,321,696</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$1,321,697</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 to this appraisal if there are no adjustments to be made to Mr. Chura's share value the cost to Mr. Pasnak of Mr. Chura's shares should be $1,321,697.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seek negative adjustments to that figure of approximately $1,000,000 and ask that the court order Mr. Chura to sell his shares for a total of $282,836.21.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turn now to consider the submissions of both parties on the legal issues that the plaintiffs submit should apply to negatively affect the price that Mr. Pasnak should have to pay for Mr. Chura's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Sections 271, 272, and 200(2) of the Company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submit that I should use the court's wide powers under s. 200(2) of the Company Act to negatively adjust the purchase price for Mr. Chura's shares below their assessed value. A broad discretion is created by s. 200(2), which provides: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under subsection (1), the court may, with a view to bringing to an end or to remedying the matters complained of, make an interim or final order it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submit that in this case the court can obtain this authority under s. 200(2) of the Company Act through the route of s. 271 and 272 of the Company Act, and does not have to come through the route of s. 200(1)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Section 271(3)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order that the company be wound up</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thinks it just and equitable to do so, or</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an event occurs on the occurrence of which the memorandum or articles provide that the company is to be dissolved.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first submit they are entitled to the relief of a winding up of the four companies pursuant to s. 271. The defendants agree with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My conclusion is that the plaintiffs are entitled to a winding up of the four companies as being just and equitable, as deadlock exists between Mr. Pasnak and Mr. Chura in the operation of these companies and a situation of deadlock is one of the classic circumstances supporting an order for a winding up. The authority is Palmeieri v. A.C. Paving Co., </w:t>
      </w:r>
      <w:hyperlink r:id="rId525" w:history="1">
        <w:r>
          <w:rPr>
            <w:rFonts w:ascii="arial" w:eastAsia="arial" w:hAnsi="arial" w:cs="arial"/>
            <w:i/>
            <w:color w:val="0077CC"/>
            <w:sz w:val="20"/>
            <w:u w:val="single"/>
            <w:shd w:val="clear" w:color="auto" w:fill="FFFFFF"/>
            <w:lang w:val="en-US" w:eastAsia="en-US" w:bidi="ar-SA"/>
          </w:rPr>
          <w:t>[1999] B.C.J. No. 1648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plaintiffs next submit that rather than wind up the four companies, the court use the authority of s. 272 of the Company Act to make an order under s. 200 as the court considers appropriate. The authority is Buckley v. B.C.T.F. </w:t>
      </w:r>
      <w:hyperlink r:id="rId526" w:history="1">
        <w:r>
          <w:rPr>
            <w:rFonts w:ascii="arial" w:eastAsia="arial" w:hAnsi="arial" w:cs="arial"/>
            <w:i/>
            <w:color w:val="0077CC"/>
            <w:sz w:val="20"/>
            <w:u w:val="single"/>
            <w:shd w:val="clear" w:color="auto" w:fill="FFFFFF"/>
            <w:lang w:val="en-US" w:eastAsia="en-US" w:bidi="ar-SA"/>
          </w:rPr>
          <w:t>(1992), 65 B.C.L.R. (2d) 155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Again I understand the defendants agree with this submission but submit that the purchase price ordered is one that should not be adjusted from the accountant's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Section 272 of the Company Act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 application for an order to wind up a company is made by a member on the ground that it is just and equitable that the company should be wound up, the court, if it is of the opinion that the applicant is entitled to relief either by winding up the company or under section 200, either may make an order for winding up or make an order under section 200 as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section has been interpreted to allow the court to make an order under s. 200 even if the court is of the opinion that the appellant is entitled to relief by winding up the company, if the more appropriate order is one under s. 200. (Buckley v. B.C.T.F.,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finally submit that having arrived at s. 200 through s. 272, I can use the general power set out at the beginning of s. 200(2) to negatively adjust the share price for Mr. Chura's shares. The plaintiffs submit that s. 200 allows the court to fashion any relief it wishes.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S.G. and S. Investments (1972) Ltd. v. Golden Boy Foods Inc., </w:t>
      </w:r>
      <w:hyperlink r:id="rId527" w:history="1">
        <w:r>
          <w:rPr>
            <w:rFonts w:ascii="arial" w:eastAsia="arial" w:hAnsi="arial" w:cs="arial"/>
            <w:i/>
            <w:color w:val="0077CC"/>
            <w:sz w:val="20"/>
            <w:u w:val="single"/>
            <w:shd w:val="clear" w:color="auto" w:fill="FFFFFF"/>
            <w:lang w:val="en-US" w:eastAsia="en-US" w:bidi="ar-SA"/>
          </w:rPr>
          <w:t>[1991] B.C.J. No. 3184</w:t>
        </w:r>
      </w:hyperlink>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(1991) 56 B.C.L.R. (2d) 273</w:t>
        </w:r>
      </w:hyperlink>
      <w:r>
        <w:rPr>
          <w:rFonts w:ascii="arial" w:eastAsia="arial" w:hAnsi="arial" w:cs="arial"/>
          <w:color w:val="000000"/>
          <w:sz w:val="20"/>
          <w:lang w:val="en-US" w:eastAsia="en-US" w:bidi="ar-SA"/>
        </w:rPr>
        <w:t>, our Court of Appeal dealt with a petition brought for a determination that there was a deadlock in a company justifying a winding up, and seeking an order for the sale of shares from one shareholder to another. Part of the order at the trial level was that pursuant to s. 224(2)(c) of the Company Act (now s. 200(2)(c)), one shareholder must offer to sell its shares to another shareholder, at a price to include a balance owing to it by way of a loan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Southin J.A., writing for the court, determined that the shareholder's loan ought not to have been included in the price of the shares as a shareholder's loan is a debt owing by the company to the shareholder, and there was nothing within s. 224 entitling the court to deal with it. The court said the trial court ought to have simply fixed the purchase price for the shares and left the shareholder to whom was owing such a debt his remedy at law for that debt. In fixing the price the terms should be fair and reasonable in every respect and the court ought not to fix the terms whimsically.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point to this decision excluding the shareholder's loan in the purchase price as authority for their submission that on an order for a sale of shares under s. 200(2)(c), adjustments to the valuation of the shares should not be made for other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I do not read S.G. &amp; S. Investments to say that no adjustments at all can be made to the assessed value of shares, I do think that the only adjustments that can be considered are those that will bring to an end or remedy matters complained of and are properly before the Court for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also think that in considering orders to bring to an end or to remedy matters complained of, the court can only consider orders within existing causes of action and not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s. 200 does not give the court authority to make orders outside causes of action recognized by law. Accordingly, I do not accept the plaintiffs' submission that I can fashion any relief I want, if that submission is meant to imply that I can go outside existing restrictions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Oppressive vs. Derivative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Alternatively, the plaintiffs submit that I am entitled to use the wide powers of s. 200(2) to adjust the purchase price of the shares because Mr. Chura has in fact operated Fleetwood in a manner oppressive to Double J. as a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Section 200(1) of the Company Act states:</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member of a company may apply to the court for an order on the ground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affairs of the company are being conducted, or the powers of the directors are being exercised, in a manner oppressive to one or more of the members, including the applicant,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some act of the company has been done, or is threatened, or that some resolution of the members or any class of members has been passed or is proposed, that is unfairly prejudicial to one or more of the members, including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right of a member of a company to make an application to the court for relief for oppressive conduct was first introduced into the Company Act in 1960.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the wording of the section indicates, it is designed to provide relief to members who do not have control over the company and who are being oppressed or being treated prejudicially by the operation of the company. It provides an avenue of relief where the complaining member is not able to bring about a change in the operation of the company internally, on his own. Section 200 allows a member in that position to seek relief from this oppression or unfairly prejudicial conduct from the court. If the member were able to obtain the relief internally in the company, then there would be no need for this section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submit in reply that all of the complaints of oppression are not oppression claims of Double J. at all but are legally claims that only Fleetwood itself can bring against Mr. Chura. They submit that the plaintiffs should have made their claims through a derivative action in the name of Fleetwood with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Section 201 of the Company Act, the derivative action section, states in part:</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member or director of a company may, with leave of the court, bring an action in the name and on behalf of the company</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enforce a right, duty or obligation owed to the company that could be enforced by the company itself, or</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obtain damages for any breach of a right, duty or obligation referred to in paragraph (a),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whether the right, duty or obligation arises under this Act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derivative action was first introduced into the Company Act in 1973 and ultimately has become s. 201. It also gives a member, as well as a director, the right to bring an application to court for relief, but in this case, seeking a right to bring an action in the name and on behalf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Again, as the wording indicates, it is a section designed to give a member or director of a company the right to bring company claims in the name of and on behalf of the company where the member or director, through internal company procedure, does not have and cannot obtain the authority to bring the action in the company name without this court application. Again, if the company wanted to bring an action of its own volition, there would be no need for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Without the derivative action provided by s. 201, the directors of the company could use their control over it to thwart any effort by an individual member or director to have the company take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Foss v. Harbottle, [1843] 2 Hare 461; 67 E.R. 189, stands for the fundamental principle of company law that a company and its shareholders are distinct entities and only the company can sue for a wrong done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issue is therefore which claims are company claims only to be brought by the company voluntarily or through a derivative action, and which claims can be brought by individual members as oppression against them personally, under s. 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parties have supplied me with over 50 authorities, many of which represent two lines of authority on oppression and derivative actions that have emerged in this province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line of authority relied upon by the defendants, the oppression remedy is considered to be available to a shareholder only if it is able to demonstrate that it has suffered personal losses separate and distinct from those suffered by the company. In this analysis, a loss to the shareholder of share value which is merely consequential or incidental to a loss suffered by the company itself must be the subject of a derivative action by the company for its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line of authority relied upon by the plaintiffs, the courts have granted shareholders a remedy for oppression despite the fact that their losses appear to be only consequential or incidental to the company's loss through their loss in share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These two different approaches to shareholder's personal remedies are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plaintiffs have cited to me British Columbia authority where the only effect upon the minority shareholder is to its share value and no more so than to the majority shareholders' share value, and yet the court has accepted these as oppression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One such case is Diligenti v. R.W.M.D. Operations Kelowna Ltd. </w:t>
      </w:r>
      <w:hyperlink r:id="rId528" w:history="1">
        <w:r>
          <w:rPr>
            <w:rFonts w:ascii="arial" w:eastAsia="arial" w:hAnsi="arial" w:cs="arial"/>
            <w:i/>
            <w:color w:val="0077CC"/>
            <w:sz w:val="20"/>
            <w:u w:val="single"/>
            <w:shd w:val="clear" w:color="auto" w:fill="FFFFFF"/>
            <w:lang w:val="en-US" w:eastAsia="en-US" w:bidi="ar-SA"/>
          </w:rPr>
          <w:t>(1976) 1 B.C.L.R. 36</w:t>
        </w:r>
      </w:hyperlink>
      <w:r>
        <w:rPr>
          <w:rFonts w:ascii="arial" w:eastAsia="arial" w:hAnsi="arial" w:cs="arial"/>
          <w:color w:val="000000"/>
          <w:sz w:val="20"/>
          <w:lang w:val="en-US" w:eastAsia="en-US" w:bidi="ar-SA"/>
        </w:rPr>
        <w:t xml:space="preserve">. Fulton, J. of this Court considered it to be a form of oppression or unfair prejudice for the three directors/shareholders to pay themselves excessive management fees to the exclusion of the fourth shareholder who was denied the right to participate in the management of the company. Fulton, J. cited the decision of National Building Maintenance Ltd. and Lee v. Dove </w:t>
      </w:r>
      <w:hyperlink r:id="rId529" w:history="1">
        <w:r>
          <w:rPr>
            <w:rFonts w:ascii="arial" w:eastAsia="arial" w:hAnsi="arial" w:cs="arial"/>
            <w:i/>
            <w:color w:val="0077CC"/>
            <w:sz w:val="20"/>
            <w:u w:val="single"/>
            <w:shd w:val="clear" w:color="auto" w:fill="FFFFFF"/>
            <w:lang w:val="en-US" w:eastAsia="en-US" w:bidi="ar-SA"/>
          </w:rPr>
          <w:t>[1972] 5 W.W.R. 410</w:t>
        </w:r>
      </w:hyperlink>
      <w:r>
        <w:rPr>
          <w:rFonts w:ascii="arial" w:eastAsia="arial" w:hAnsi="arial" w:cs="arial"/>
          <w:color w:val="000000"/>
          <w:sz w:val="20"/>
          <w:lang w:val="en-US" w:eastAsia="en-US" w:bidi="ar-SA"/>
        </w:rPr>
        <w:t>, a decision of our Court of Appeal, as authority for the proposition that the taking of management fees as a device to divert the profits of a company to a majority is conduct oppressive of a minority.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Although the question of a derivative action being the appropriate remedy was not raised in National Building Maintenance because the derivative action section was not added to the Company Act until 1973, the same cannot be said for the Diligenti case which was in 1976.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Similarly, in Ludlow v. McMillan </w:t>
      </w:r>
      <w:hyperlink r:id="rId530" w:history="1">
        <w:r>
          <w:rPr>
            <w:rFonts w:ascii="arial" w:eastAsia="arial" w:hAnsi="arial" w:cs="arial"/>
            <w:i/>
            <w:color w:val="0077CC"/>
            <w:sz w:val="20"/>
            <w:u w:val="single"/>
            <w:shd w:val="clear" w:color="auto" w:fill="FFFFFF"/>
            <w:lang w:val="en-US" w:eastAsia="en-US" w:bidi="ar-SA"/>
          </w:rPr>
          <w:t>[1995] B.C.J. No. 683</w:t>
        </w:r>
      </w:hyperlink>
      <w:r>
        <w:rPr>
          <w:rFonts w:ascii="arial" w:eastAsia="arial" w:hAnsi="arial" w:cs="arial"/>
          <w:color w:val="000000"/>
          <w:sz w:val="20"/>
          <w:lang w:val="en-US" w:eastAsia="en-US" w:bidi="ar-SA"/>
        </w:rPr>
        <w:t>, Saunders, J. (as she then was) also found it oppressive conduct to take excessive management fees significantly diminishing the assets of a company and consequently the value of each member's shares. However, in that case it was recognized that these were really wrongs to the company and the order was for the oppressor to restore the money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same result occurred in Chan v. G.M.S. Datalink International Corp. et al, </w:t>
      </w:r>
      <w:hyperlink r:id="rId531" w:history="1">
        <w:r>
          <w:rPr>
            <w:rFonts w:ascii="arial" w:eastAsia="arial" w:hAnsi="arial" w:cs="arial"/>
            <w:i/>
            <w:color w:val="0077CC"/>
            <w:sz w:val="20"/>
            <w:u w:val="single"/>
            <w:shd w:val="clear" w:color="auto" w:fill="FFFFFF"/>
            <w:lang w:val="en-US" w:eastAsia="en-US" w:bidi="ar-SA"/>
          </w:rPr>
          <w:t>[1996] B.C.J. No. 2015</w:t>
        </w:r>
      </w:hyperlink>
      <w:r>
        <w:rPr>
          <w:rFonts w:ascii="arial" w:eastAsia="arial" w:hAnsi="arial" w:cs="arial"/>
          <w:color w:val="000000"/>
          <w:sz w:val="20"/>
          <w:lang w:val="en-US" w:eastAsia="en-US" w:bidi="ar-SA"/>
        </w:rPr>
        <w:t>, where Kirkpatrick, J. of this Court cited National Building Maintenance and granted relief under the oppression section where excess management fees were paid. She also ordered the excess remuneration be repaid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Redekop v. Robco Construction Ltd. </w:t>
      </w:r>
      <w:hyperlink r:id="rId532" w:history="1">
        <w:r>
          <w:rPr>
            <w:rFonts w:ascii="arial" w:eastAsia="arial" w:hAnsi="arial" w:cs="arial"/>
            <w:i/>
            <w:color w:val="0077CC"/>
            <w:sz w:val="20"/>
            <w:u w:val="single"/>
            <w:shd w:val="clear" w:color="auto" w:fill="FFFFFF"/>
            <w:lang w:val="en-US" w:eastAsia="en-US" w:bidi="ar-SA"/>
          </w:rPr>
          <w:t>(1978) 7 B.C.L.R. 268</w:t>
        </w:r>
      </w:hyperlink>
      <w:r>
        <w:rPr>
          <w:rFonts w:ascii="arial" w:eastAsia="arial" w:hAnsi="arial" w:cs="arial"/>
          <w:color w:val="000000"/>
          <w:sz w:val="20"/>
          <w:lang w:val="en-US" w:eastAsia="en-US" w:bidi="ar-SA"/>
        </w:rPr>
        <w:t>, is another decision cited by the plaintiffs where it was found to be oppression for the majority shareholder to use company assets for his own personal interests at the expense of the other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Furry Creek Timber Corp. v. Laad Ventures Ltd. </w:t>
      </w:r>
      <w:hyperlink r:id="rId533" w:history="1">
        <w:r>
          <w:rPr>
            <w:rFonts w:ascii="arial" w:eastAsia="arial" w:hAnsi="arial" w:cs="arial"/>
            <w:i/>
            <w:color w:val="0077CC"/>
            <w:sz w:val="20"/>
            <w:u w:val="single"/>
            <w:shd w:val="clear" w:color="auto" w:fill="FFFFFF"/>
            <w:lang w:val="en-US" w:eastAsia="en-US" w:bidi="ar-SA"/>
          </w:rPr>
          <w:t>(1992), 75 B.C.L.R. (2d) 246</w:t>
        </w:r>
      </w:hyperlink>
      <w:r>
        <w:rPr>
          <w:rFonts w:ascii="arial" w:eastAsia="arial" w:hAnsi="arial" w:cs="arial"/>
          <w:color w:val="000000"/>
          <w:sz w:val="20"/>
          <w:lang w:val="en-US" w:eastAsia="en-US" w:bidi="ar-SA"/>
        </w:rPr>
        <w:t>, Newbury J. (as she then was), considered the difference between a shareholder's oppression claim and a derivative action claim and concluded that a shareholder can bring an oppression claim in respect of the same breach for which a company could also claim "provided the complaining shareholder has been affected by the breach in a manner different from or in addition to the indirect effect on the value of all shareholders' shares generally" (p. 254).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that case the respondents had, by indirect means, issued themselves additional shares in the company, thereby increasing the total number of their shares in proportion to the number of the complainant's shares. The oppression claim was successful because the complainant was the only shareholder in the entire corporate structure that was injured by the respondents' actions. While the value of all the shares as a whole in the company did not change, the value of each share had been reduced and the total value of the complainant's shares therefore had decreased in relation to the total value of the respondent's shares which had increased in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company itself had no claim because its assets were not affected and it therefore had suffered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What is properly a company claim was explained in considerable detail in the case of Rogers v. Bank of Montreal </w:t>
      </w:r>
      <w:hyperlink r:id="rId534" w:history="1">
        <w:r>
          <w:rPr>
            <w:rFonts w:ascii="arial" w:eastAsia="arial" w:hAnsi="arial" w:cs="arial"/>
            <w:i/>
            <w:color w:val="0077CC"/>
            <w:sz w:val="20"/>
            <w:u w:val="single"/>
            <w:shd w:val="clear" w:color="auto" w:fill="FFFFFF"/>
            <w:lang w:val="en-US" w:eastAsia="en-US" w:bidi="ar-SA"/>
          </w:rPr>
          <w:t>(1985), 64 B.C.L.R. 63</w:t>
        </w:r>
      </w:hyperlink>
      <w:r>
        <w:rPr>
          <w:rFonts w:ascii="arial" w:eastAsia="arial" w:hAnsi="arial" w:cs="arial"/>
          <w:color w:val="000000"/>
          <w:sz w:val="20"/>
          <w:lang w:val="en-US" w:eastAsia="en-US" w:bidi="ar-SA"/>
        </w:rPr>
        <w:t>. This case involved a chambers application by the defendants to strike out the plaintiffs' Writ and Statement of Claim as disclosing no reasonable claim, because they were company claims only. In allowing the application McKenzie J. of this court considered a number of authorities, apparently with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One such authority considered was Brown v. Menzies Bay Timber Co., </w:t>
      </w:r>
      <w:hyperlink r:id="rId535" w:history="1">
        <w:r>
          <w:rPr>
            <w:rFonts w:ascii="arial" w:eastAsia="arial" w:hAnsi="arial" w:cs="arial"/>
            <w:i/>
            <w:color w:val="0077CC"/>
            <w:sz w:val="20"/>
            <w:u w:val="single"/>
            <w:shd w:val="clear" w:color="auto" w:fill="FFFFFF"/>
            <w:lang w:val="en-US" w:eastAsia="en-US" w:bidi="ar-SA"/>
          </w:rPr>
          <w:t>[1917] 2 W.W.R. 658</w:t>
        </w:r>
      </w:hyperlink>
      <w:r>
        <w:rPr>
          <w:rFonts w:ascii="arial" w:eastAsia="arial" w:hAnsi="arial" w:cs="arial"/>
          <w:color w:val="000000"/>
          <w:sz w:val="20"/>
          <w:lang w:val="en-US" w:eastAsia="en-US" w:bidi="ar-SA"/>
        </w:rPr>
        <w:t>, a decision of our Court of Appeal. In that case, as explained in Rogers, the plaintiff, as a shareholder in three limited companies, complained that the defendants had conspired to deprive those companies of their assets and so managed them and so manipulated their assets that it eventually brought about the winding up of the third of these companies, which was an amalgamation of the first two companies, and the plaintiff's stock became worthless. In that case the trial judge concluded that there was no direct damage to the plaintiff as his only loss resulted from wrongs alleged to have been done to the companies in which he was a shareholder and not to him personally, and could be only righted by the companies. The Court of Appeal upheld the trial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another case cited by McKenzie J., Prudential Assur. Co. v. Newmann Indust. Ltd., [1982] 1 All E.R. 354 (C.A.), the English Court of Appeal stated that a shareholder cannot recover damages merely because the company in which he is interested has suffered damage. Further, he cannot recover a sum equal to the diminution in the market value of his shares or equal to the likely diminution in dividend because such a loss is merely a reflection of the loss suffered by the company. He does not suffer any personal loss as his only loss is through the diminution in the value of the net assets of the company in which he has a shareholding. This was held to be so even where the defendant caused the company to sell its assets at under value in furtherance of a conspiracy against the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Still another case cited by McKenzie J. was the case of Green v. Victor Talking Mach. Co. 24 F. 2d 378 (C.A. 2nd Circ.), 1928, where the plaintiff widow alleged that immediately after her husband's death the defendant and its directors entered into a malicious scheme and conspiracy to secure for themselves the assets and goodwill of the company. McKenzie J. quoted extensively from this case including the following paragraphs: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there are numerous shareholders, it is apparent that each suffers relatively, depending upon the number of shares he owns, the same damages as all the others, and that each will be made whole if the corporation obtains restitution or compensation from the wrongdoer. Obviously it is sound policy to require a single action to be brought by the corporation, rather than to permit separate suits by each shareholder. In logic the result is justified, because the only right of the shareholder which has been infringed is what may be called his derivative or corporate right. Having elected to conduct their business in a corporate form, the men behind the corporation have, in the phrase of Justice Holmes, "interposed a non-conductor" between themselves and those who deal with them in their corporate enterprise. Donnell v. Herring-Hall-Marvin Safe Co., 208 U.S. 267, 273, 28 S. Ct. 288, 52 L. Ed. 481. Even when all the stock is owned by a sole shareholder, there seems no adequate reason to depart from the general rule that the corporation and its shareholders are to be treated as distinct legal persons. Therefore even a sole shareholder has no independent right which is violated by trespass upon or conversion of the corporation's property. Only his "corporate rights" have been invaded and consequently he cannot sue the tort-feasor in an action at law. Button v. Hoffman, 61 Wis. 20, 20 N.W. 667, 50 Am. Rep. 131; Farrar v. Pillsbury, 217 Mass. 330, 104 N.E. 737; see Ulmer v. Lime Rock R. Co., 98 Me. 579, 57 A. 1001, 66 L.R.A. 387; 1 Morawetz, Corporations (2d Ed.) SS 232, 233.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Admitting this to be the general rule, the appellant contends that the result is different when a tort-feasor is animated by malice toward a particular shareholder, and that in such circumstances the principle that intentional harm without justification is actionable gives the shareholder a personal right of action, whether he is a sole shareholder or one of many. With this contention we cannot agree. Assuming that the allegations of the complaint are adequate to charge that the defendant's motive in doing the above-mentioned affirmative acts to the injury of the corporation's credit and business was a malicious desire to damage plaintiff as a shareholder, the cause of action is still the corporation's. The intention of the defendant is to invade the "corporate rights" of the shareholders; that is, the corporation's rights, whether this end is desired as a means of satisfying a grudge against some particular shareholder or all of them, or for some other motive. A defendant's motive in interfering with the corporation's business may be material in determining whether his interference is tortious or privileged, as in the case of fair competition; but his motive will not of itself create an independent cause of action in favour of shareholders, because only their derivative or corporate rights have been infringed. The policy of having their remedy lie in a suit by the corporation is not affected by the wrongdoer's malice toward an individual shareholder.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 shareholder to obtain a personal right of action there must be relations between him and the tort-feasor independent of those which the shareholder derives through his interest in the corporate assets and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McKenzie J. considered this to be a good analysis of law that was consistent generally with Canadian and British law and an excellent exposition of that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McKenzie J. cited further cases as well, some of which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Ferguson v. Wallbridge, [1935] 1 W.W.R. 673 (P.C.), held that shareholders of a company cannot sue personally for appropriation of a company's assets by the majority even if that appropriation was pursuant to a conspiracy to injure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Bakal v. Petursson, </w:t>
      </w:r>
      <w:hyperlink r:id="rId536" w:history="1">
        <w:r>
          <w:rPr>
            <w:rFonts w:ascii="arial" w:eastAsia="arial" w:hAnsi="arial" w:cs="arial"/>
            <w:i/>
            <w:color w:val="0077CC"/>
            <w:sz w:val="20"/>
            <w:u w:val="single"/>
            <w:shd w:val="clear" w:color="auto" w:fill="FFFFFF"/>
            <w:lang w:val="en-US" w:eastAsia="en-US" w:bidi="ar-SA"/>
          </w:rPr>
          <w:t>[1953] 4 D.L.R. 449</w:t>
        </w:r>
      </w:hyperlink>
      <w:r>
        <w:rPr>
          <w:rFonts w:ascii="arial" w:eastAsia="arial" w:hAnsi="arial" w:cs="arial"/>
          <w:color w:val="000000"/>
          <w:sz w:val="20"/>
          <w:lang w:val="en-US" w:eastAsia="en-US" w:bidi="ar-SA"/>
        </w:rPr>
        <w:t xml:space="preserve"> (S.C.C.), held that shareholders and employees of a company cannot sue for the wrongful transfer of its assets for no consideration resulting in the destruction of the value of their shares and the termination of their employment even if that transfer was pursuant to a conspiracy to injure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D&amp;H Hldg. Ltd. v. Trinity Placentia Mall Ltd. </w:t>
      </w:r>
      <w:hyperlink r:id="rId537" w:history="1">
        <w:r>
          <w:rPr>
            <w:rFonts w:ascii="arial" w:eastAsia="arial" w:hAnsi="arial" w:cs="arial"/>
            <w:i/>
            <w:color w:val="0077CC"/>
            <w:sz w:val="20"/>
            <w:u w:val="single"/>
            <w:shd w:val="clear" w:color="auto" w:fill="FFFFFF"/>
            <w:lang w:val="en-US" w:eastAsia="en-US" w:bidi="ar-SA"/>
          </w:rPr>
          <w:t>(1984), 45 Nfld. &amp; P.E.I.R. 172</w:t>
        </w:r>
      </w:hyperlink>
      <w:r>
        <w:rPr>
          <w:rFonts w:ascii="arial" w:eastAsia="arial" w:hAnsi="arial" w:cs="arial"/>
          <w:color w:val="000000"/>
          <w:sz w:val="20"/>
          <w:lang w:val="en-US" w:eastAsia="en-US" w:bidi="ar-SA"/>
        </w:rPr>
        <w:t>, 132 A.P.R. 172 (T.D.), held that minority shareholders of a company cannot personally recover damages or obtain a declaration when the company rents its premises to the majority shareholders at an improperly low 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Birch v. Sullivan, [1957] 1 W.L.R. 1247, [1958] 1 All E.R. 56, held that the shareholders of a company cannot sue for appropriation of its corporate opportunities resulting in a decrease of its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Finally McKenzie J. referred to the case of Goldex Mines Ltd. v. Revill </w:t>
      </w:r>
      <w:hyperlink r:id="rId538" w:history="1">
        <w:r>
          <w:rPr>
            <w:rFonts w:ascii="arial" w:eastAsia="arial" w:hAnsi="arial" w:cs="arial"/>
            <w:i/>
            <w:color w:val="0077CC"/>
            <w:sz w:val="20"/>
            <w:u w:val="single"/>
            <w:shd w:val="clear" w:color="auto" w:fill="FFFFFF"/>
            <w:lang w:val="en-US" w:eastAsia="en-US" w:bidi="ar-SA"/>
          </w:rPr>
          <w:t>(1974), 7 O.R. (2d) 216</w:t>
        </w:r>
      </w:hyperlink>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54 D.L.R. (3d) 672</w:t>
        </w:r>
      </w:hyperlink>
      <w:r>
        <w:rPr>
          <w:rFonts w:ascii="arial" w:eastAsia="arial" w:hAnsi="arial" w:cs="arial"/>
          <w:color w:val="000000"/>
          <w:sz w:val="20"/>
          <w:lang w:val="en-US" w:eastAsia="en-US" w:bidi="ar-SA"/>
        </w:rPr>
        <w:t>, a judgment of the Ontario Court of Appeal, dealing with alleged wrongful acts of directors. In that case the court considered the issue to be "where the same acts of directors or of shareholders cause damage to the company and also to shareholders or a class of them, is a shareholders cause of action for the wrong done to him derivative?" The court there referred to yet another case in the United States where the court had said that if the injury is not incidental to an injury to the corporation an individual cause of action does exist. In Goldex the court interpreted the phrase "not incidental to an injury to the corporation", to mean "not arising simply because the corporation itself has been damaged, and as a consequence of the damage to it, its shareholders have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these authorities and others McKenzie J.'s conclusion of the Statement of Claim in Rogers was that claims were being asserted which arose solely because the company itself had been damaged and consequently there was no separate cause of action available to the plaintiffs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Rogers was upheld in the Court of Appeal at </w:t>
      </w:r>
      <w:hyperlink r:id="rId539" w:history="1">
        <w:r>
          <w:rPr>
            <w:rFonts w:ascii="arial" w:eastAsia="arial" w:hAnsi="arial" w:cs="arial"/>
            <w:i/>
            <w:color w:val="0077CC"/>
            <w:sz w:val="20"/>
            <w:u w:val="single"/>
            <w:shd w:val="clear" w:color="auto" w:fill="FFFFFF"/>
            <w:lang w:val="en-US" w:eastAsia="en-US" w:bidi="ar-SA"/>
          </w:rPr>
          <w:t>[1987] 2 W.W.R. 364</w:t>
        </w:r>
      </w:hyperlink>
      <w:r>
        <w:rPr>
          <w:rFonts w:ascii="arial" w:eastAsia="arial" w:hAnsi="arial" w:cs="arial"/>
          <w:color w:val="000000"/>
          <w:sz w:val="20"/>
          <w:lang w:val="en-US" w:eastAsia="en-US" w:bidi="ar-SA"/>
        </w:rPr>
        <w:t>, substantially for the reasons of Mr. Justice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J.G. MacIntosh in his article "The Oppression Remedy: Personal or Derivative?" 1991 70 Can.Bar.Rev. 29, cited in Furry Creek, deals extensively with the issue as to what is a personal claim and what is a derivative action claim and considers National Building Maintenance, Diligenti and Redekop to be cases that, without comment, allow actions of a derivative character to proceed under the oppression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Starcom International Optics Corp. v. Macdonald Re: Starcom International Optics Corporation, </w:t>
      </w:r>
      <w:hyperlink r:id="rId540" w:history="1">
        <w:r>
          <w:rPr>
            <w:rFonts w:ascii="arial" w:eastAsia="arial" w:hAnsi="arial" w:cs="arial"/>
            <w:i/>
            <w:color w:val="0077CC"/>
            <w:sz w:val="20"/>
            <w:u w:val="single"/>
            <w:shd w:val="clear" w:color="auto" w:fill="FFFFFF"/>
            <w:lang w:val="en-US" w:eastAsia="en-US" w:bidi="ar-SA"/>
          </w:rPr>
          <w:t>[1994] B.C.J. No. 548</w:t>
        </w:r>
      </w:hyperlink>
      <w:r>
        <w:rPr>
          <w:rFonts w:ascii="arial" w:eastAsia="arial" w:hAnsi="arial" w:cs="arial"/>
          <w:color w:val="000000"/>
          <w:sz w:val="20"/>
          <w:lang w:val="en-US" w:eastAsia="en-US" w:bidi="ar-SA"/>
        </w:rPr>
        <w:t xml:space="preserve">, Newbury J. again considered the question whether the claim was one of oppression or one of derivative action. She pointed out that "in British Columbia at least, the distinction between this type of action (an allegation of breach of duty of directors to shareholders) and a claim of breach of duty owed by directors to their company has been clearly drawn since Re: Goldstream Resources Ltd. </w:t>
      </w:r>
      <w:hyperlink r:id="rId541" w:history="1">
        <w:r>
          <w:rPr>
            <w:rFonts w:ascii="arial" w:eastAsia="arial" w:hAnsi="arial" w:cs="arial"/>
            <w:i/>
            <w:color w:val="0077CC"/>
            <w:sz w:val="20"/>
            <w:u w:val="single"/>
            <w:shd w:val="clear" w:color="auto" w:fill="FFFFFF"/>
            <w:lang w:val="en-US" w:eastAsia="en-US" w:bidi="ar-SA"/>
          </w:rPr>
          <w:t>(1986), 2 B.C.L.R. (2d) 244</w:t>
        </w:r>
      </w:hyperlink>
      <w:r>
        <w:rPr>
          <w:rFonts w:ascii="arial" w:eastAsia="arial" w:hAnsi="arial" w:cs="arial"/>
          <w:color w:val="000000"/>
          <w:sz w:val="20"/>
          <w:lang w:val="en-US" w:eastAsia="en-US" w:bidi="ar-SA"/>
        </w:rPr>
        <w:t xml:space="preserve"> (S.C.), although in some earlier decisions of this court, the distinction was not discussed". Reference was made to Diligenti, National Building Maintenance and Redecop, as some of these earlier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Newbury J. went on to say, "but it is also clear that the two causes of action are not mutually exclusive, and that particular conduct on the part of directors may constitute both a breach of fiduciary duty in respect of which the company may sue, and the basis of an oppression action provided the petitioning shareholder has also been affected qua shareholder by the breach". Reference in this regard was made to Furry Creek, inter 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appears that the authorities in British Columbia are divided between the National Building Maintenance line of authority and the Rogers line of authority, to include Furry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my opinion the Rogers line of authority should be followed as the National Building Maintenance decision preceded incorporation into the Company Act of the derivative action section and the Rogers decision appears to be accepted as the leading British Columbia authority on what is properly a derivative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Accordingly, I conclude that wherever the plaintiff Double J. cannot show any loss other than to its share value in Fleetwood, equal to the loss of share value of the other member Chura Holdings Ltd., by Mr. Chura's operation of Fleetwood, they are properly company claims for Fleetwood to bring, and not oppression claims for Double J. to bring.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Insurmountable Hurdle to an Oppression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Typically on an oppression claim the oppressed member seeks an order that the oppressor purchase its shares at their pre-oppressed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This form of order is sought because the oppressor runs the company and the oppressed member wants out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this case, however, even if Mr. Chura was the oppressor, it would only have been oppression of Double J. in the operation of Fleetwood and not oppression in any of the other three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Double J. is not seeking an order that Mr. Chura or Chura Holdings Ltd. purchase its shares in Fleetwood at a pre-oppression value. Rather, it seeks to purchase the shares of Chura Holdings Ltd. in Fleetwood, along with Mr. Chura's shares in the other three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shares of Chura Holdings Ltd. in Fleetwood have nil value according to the share valuations of the accountants.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All the value in Mr. Chura's shares is in his shares in the other three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seek to impose any oppression of Mr. Chura in Fleetwood on him through a reduction in the purchase price of his shares in the other three companies, to account for that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do not know of any legal authority for me on an oppression claim to impose the consequences of oppression in one company on the purchase price of shares of the oppressor in other companies where there is no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Common law exceptions to Foss v. Harbottle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submits that if these are not oppression claims but company claims they can still bring these claims in their own names relying upon common law exceptions to Foss v. Harbottle supra, as set out in Daniels v. Daniels [1978] 2 All E.R.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Daniels was a preliminary ruling on an application by the defendants to strike out the Statement of Claim as disclosing no reasonable cause of action that would justify an action by minority shareholders against the majority for damages caused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It was a case where the minority shareholders were suing in their own name, but on behalf of the company (my underlining),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directors in taking a benefit for themselves. Being a preliminary ruling it did not deal with the issue of who would be entitled to any damages. It stated that a minority shareholder who has no other remedy may sue where directors use their powers intentionally or unintentionally, fraudulently or negligently in a manner which benefits themselves at the expense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additional authorities that the plaintiffs rely upon for this common law right, such as Gorner v. Martin, </w:t>
      </w:r>
      <w:hyperlink r:id="rId542" w:history="1">
        <w:r>
          <w:rPr>
            <w:rFonts w:ascii="arial" w:eastAsia="arial" w:hAnsi="arial" w:cs="arial"/>
            <w:i/>
            <w:color w:val="0077CC"/>
            <w:sz w:val="20"/>
            <w:u w:val="single"/>
            <w:shd w:val="clear" w:color="auto" w:fill="FFFFFF"/>
            <w:lang w:val="en-US" w:eastAsia="en-US" w:bidi="ar-SA"/>
          </w:rPr>
          <w:t>[1985] N.J. No. 107</w:t>
        </w:r>
      </w:hyperlink>
      <w:r>
        <w:rPr>
          <w:rFonts w:ascii="arial" w:eastAsia="arial" w:hAnsi="arial" w:cs="arial"/>
          <w:color w:val="000000"/>
          <w:sz w:val="20"/>
          <w:lang w:val="en-US" w:eastAsia="en-US" w:bidi="ar-SA"/>
        </w:rPr>
        <w:t xml:space="preserve"> and Burland v. Earle, </w:t>
      </w:r>
      <w:hyperlink r:id="rId543" w:history="1">
        <w:r>
          <w:rPr>
            <w:rFonts w:ascii="arial" w:eastAsia="arial" w:hAnsi="arial" w:cs="arial"/>
            <w:i/>
            <w:color w:val="0077CC"/>
            <w:sz w:val="20"/>
            <w:u w:val="single"/>
            <w:shd w:val="clear" w:color="auto" w:fill="FFFFFF"/>
            <w:lang w:val="en-US" w:eastAsia="en-US" w:bidi="ar-SA"/>
          </w:rPr>
          <w:t>[1902] A.C. 83</w:t>
        </w:r>
      </w:hyperlink>
      <w:r>
        <w:rPr>
          <w:rFonts w:ascii="arial" w:eastAsia="arial" w:hAnsi="arial" w:cs="arial"/>
          <w:color w:val="000000"/>
          <w:sz w:val="20"/>
          <w:lang w:val="en-US" w:eastAsia="en-US" w:bidi="ar-SA"/>
        </w:rPr>
        <w:t>, also appear to be cases of common law derivative action claims in the name of the shareholders for the benefit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common law derivative action claim has been superseded and replaced by the statutory derivative action claim under s. 201 of the Company Act, and the common law right of a shareholder to claim on behalf of the company in his or her own personal name no longer exists. Re: Goldstream held that since the enactment of the derivative action section there is no means in British Columbia of commencing any derivative action other than under the provisions of this section as it entirely replaces any previous common law derivative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Common Law Personal Rights of Action of the Plaintiffs</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plaintiffs rely upon Beamish v. Solnick Estate, </w:t>
      </w:r>
      <w:hyperlink r:id="rId544" w:history="1">
        <w:r>
          <w:rPr>
            <w:rFonts w:ascii="arial" w:eastAsia="arial" w:hAnsi="arial" w:cs="arial"/>
            <w:i/>
            <w:color w:val="0077CC"/>
            <w:sz w:val="20"/>
            <w:u w:val="single"/>
            <w:shd w:val="clear" w:color="auto" w:fill="FFFFFF"/>
            <w:lang w:val="en-US" w:eastAsia="en-US" w:bidi="ar-SA"/>
          </w:rPr>
          <w:t>[1980] O.J. No. 87</w:t>
        </w:r>
      </w:hyperlink>
      <w:r>
        <w:rPr>
          <w:rFonts w:ascii="arial" w:eastAsia="arial" w:hAnsi="arial" w:cs="arial"/>
          <w:color w:val="000000"/>
          <w:sz w:val="20"/>
          <w:lang w:val="en-US" w:eastAsia="en-US" w:bidi="ar-SA"/>
        </w:rPr>
        <w:t xml:space="preserve"> (Ont. S.C.), and Goldex Mines Ltd. v. Revill </w:t>
      </w:r>
      <w:hyperlink r:id="rId538" w:history="1">
        <w:r>
          <w:rPr>
            <w:rFonts w:ascii="arial" w:eastAsia="arial" w:hAnsi="arial" w:cs="arial"/>
            <w:i/>
            <w:color w:val="0077CC"/>
            <w:sz w:val="20"/>
            <w:u w:val="single"/>
            <w:shd w:val="clear" w:color="auto" w:fill="FFFFFF"/>
            <w:lang w:val="en-US" w:eastAsia="en-US" w:bidi="ar-SA"/>
          </w:rPr>
          <w:t>(1974), 54 D.L.R. (3d) 672</w:t>
        </w:r>
      </w:hyperlink>
      <w:r>
        <w:rPr>
          <w:rFonts w:ascii="arial" w:eastAsia="arial" w:hAnsi="arial" w:cs="arial"/>
          <w:color w:val="000000"/>
          <w:sz w:val="20"/>
          <w:lang w:val="en-US" w:eastAsia="en-US" w:bidi="ar-SA"/>
        </w:rPr>
        <w:t xml:space="preserve"> (Ont. C.A.), as their authority for a personal claim of Mr. Pasnak, as a director of Fleetwood, against Mr. Chura, as a fellow director,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Beamish the court dealt with a non-suit application at the end of the plaintiff's evidence. The plaintiff was a director suing in a representative capacity on behalf of the company and also in his personal capacity. The non-suit failed in the representative claim and judgment was given to the company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 personal claim the trial judge agreed that there can be a cause of action by one director against the other in certain circumstances, those being when the director is exposed to a risk of special harm or damage quite apart from the damage to be suffered by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the circumstances in that case the serious risk to the director, quite apart from damages suffered by the company, was being personally called on his guarantee to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my view Beamish maintains the distinction between damage to the company and special damage to the individual apart from damage to the company. It does not stand for any proposition that there is a cause of action by one director against another director generally, regardless of special damage to that other director distinct from damage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Beamish relied upon Goldex which the plaintiffs here also rely upon, but again, Goldex makes this distinction as well between damage to the company and special damage to a particular shareholder or shareholders not arising simply as a consequence of damage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do not believe these cases assist the plaintiff in establishing that Mr. Chura has breached any duty of care to Mr. Pasnak, unless the plaintiffs can prove separate and distinct damage to them personally, which is the same requirement that they have for proving a claim of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Chura did agree in his evidence at trial that he had an obligation to protect Mr. Pasnak's interest in the companies and had an obligation to act in his best interest as a shareholder in Fleetwood, but in my view Mr. Chura was not speaking of legal obligations but of moral obligations only.</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plaintiffs rely upon the cases of Coleman v. Myers, [1977] 2 N.Z.L.R. 225 (C.A.), and Dusik v. Newton </w:t>
      </w:r>
      <w:hyperlink r:id="rId545" w:history="1">
        <w:r>
          <w:rPr>
            <w:rFonts w:ascii="arial" w:eastAsia="arial" w:hAnsi="arial" w:cs="arial"/>
            <w:i/>
            <w:color w:val="0077CC"/>
            <w:sz w:val="20"/>
            <w:u w:val="single"/>
            <w:shd w:val="clear" w:color="auto" w:fill="FFFFFF"/>
            <w:lang w:val="en-US" w:eastAsia="en-US" w:bidi="ar-SA"/>
          </w:rPr>
          <w:t>(1985), 62 B.C.L.R. 1</w:t>
        </w:r>
      </w:hyperlink>
      <w:r>
        <w:rPr>
          <w:rFonts w:ascii="arial" w:eastAsia="arial" w:hAnsi="arial" w:cs="arial"/>
          <w:color w:val="000000"/>
          <w:sz w:val="20"/>
          <w:lang w:val="en-US" w:eastAsia="en-US" w:bidi="ar-SA"/>
        </w:rPr>
        <w:t xml:space="preserve"> (C.A.), as their authority for the proposition that Mr. Chura, as a director of Fleetwood, owed a fiduciary duty to Double J. as the shareholder of Fleetwood and to Mr. Pasnak as a co-director, and that this fiduciary duty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Coleman the directors were found to owe duties to the shareholders, those duties being not to make negligent misstatements to the shareholders on material matters concerning the sale of their shares to the directors, and to fully disclose to the shareholders any material fact of which they were unaware and which might reasonably materially affect their decision as to whether they would sell or as to the terms of sale of their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Dusik v. Newton followed Coleman v. Myers and Goldex in saying that the essential basis of breach of fiduciary duty is the improper advantage taken by the director of a confidence reposed in him either by, or for the benefit of, the plaintiff. Some factors influencing a decision whether a director will have a fiduciary duty to a shareholder are dependence upon information and advice, the existence of a relationship of confidence, the significance of some particular transaction for the parties and the extent of any positive action taken by or on behalf of the director to promote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Dusik was a case of the director failing to advise the minority shareholder of an offer of a third party to buy all the shares of the company for a price that would have realized a price for the minority shareholder's shares of $1.5 million. Without this information the minority shareholder sold his shares separately to that third party for only $450,000. The court found the director liable to the shareholder for breach of fiduciary duty in failing to disclose the original offer of $1.5 million for the minority shares, and ordered the director to pay the difference to the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do not have any trouble accepting the principle that Mr. Chura, as director of Fleetwood, might owe fiduciary duties of disclosure to Mr. Pasnak as co-director and to Double J. as shareholder in particular circumstances. Where I do have a problem is in the application of the principles of fiduciary duty to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Plaintiffs' counsel says that Mr. Chura did not discuss with Mr. Pasnak contracts that he had Fleetwood enter into with a Mr. Stenner and with his own son Darren Chura. However, there is no evidence in the case, on my review, that Mr. Chura had any duty to discuss these contracts with Mr. Pasnak. The evidence is that Mr. Pasnak ran Summit Motors independently and Mr. Chura did likewise with Fleetwood. There is no evidence of any understanding between the two parties that Mr. Pasnak would be informed or consulted on any employment contracts of Fleetwood. In fact, the evidence is to the contrary from Mr. Chura that he did not consider that either party had to consult with the other before making business decisions in the company they were operating. Mr. Pasnak never disputed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Chura was a director of Summit Motors as well as Mr. Pasnak and similarly I heard no evidence of any expectation of either party that Mr. Chura would be consulted on the operations of Summit Motors either. As the plaintiffs have stated in their written submissions there were no meetings of directors and no meetings of shareholders of any of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Chura did give evidence at trial that he expected that if something of issue came up, he or Mr. Pasnak would bring it to the other's attention. However "something of issue" was never defined in the question nor the answer, and I have no idea what Mr. Chura considered to be of issue when he gave that answer. I consider this evidence to be far too vague to impose any specific fiduciary duty on Mr. Chura to inform Mr. Pasnak.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conclude the plaintiffs have not made out any claim against the defendants for breach of fiduciary duty.</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in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plaintiffs submit that the relationship between Mr. Chura and Mr. Pasnak was really one of partnership even though they carried on their business relationship through incorporated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plaintiffs submit that this relationship of partnership obliged Mr. Chura, as a partner of Mr. Pasnak, to act towards him with utmost fairness and good faith, and to account to Mr. Pasnak as a partner for personal benefits that he has taken from the business of the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plaintiffs rely upon Breslaw Holdings Ltd. v. Tuer Enterprises Ltd. </w:t>
      </w:r>
      <w:hyperlink r:id="rId546" w:history="1">
        <w:r>
          <w:rPr>
            <w:rFonts w:ascii="arial" w:eastAsia="arial" w:hAnsi="arial" w:cs="arial"/>
            <w:i/>
            <w:color w:val="0077CC"/>
            <w:sz w:val="20"/>
            <w:u w:val="single"/>
            <w:shd w:val="clear" w:color="auto" w:fill="FFFFFF"/>
            <w:lang w:val="en-US" w:eastAsia="en-US" w:bidi="ar-SA"/>
          </w:rPr>
          <w:t>(1991), 77 Man. R. (2d) 137</w:t>
        </w:r>
      </w:hyperlink>
      <w:r>
        <w:rPr>
          <w:rFonts w:ascii="arial" w:eastAsia="arial" w:hAnsi="arial" w:cs="arial"/>
          <w:color w:val="000000"/>
          <w:sz w:val="20"/>
          <w:lang w:val="en-US" w:eastAsia="en-US" w:bidi="ar-SA"/>
        </w:rPr>
        <w:t>, where at trial the court concluded that the parties' relationship was as a partnership carried on under the guise of a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the Court of Appeal in Breslaw, however, at </w:t>
      </w:r>
      <w:hyperlink r:id="rId547" w:history="1">
        <w:r>
          <w:rPr>
            <w:rFonts w:ascii="arial" w:eastAsia="arial" w:hAnsi="arial" w:cs="arial"/>
            <w:i/>
            <w:color w:val="0077CC"/>
            <w:sz w:val="20"/>
            <w:u w:val="single"/>
            <w:shd w:val="clear" w:color="auto" w:fill="FFFFFF"/>
            <w:lang w:val="en-US" w:eastAsia="en-US" w:bidi="ar-SA"/>
          </w:rPr>
          <w:t>81 Man. R. (2d) 106</w:t>
        </w:r>
      </w:hyperlink>
      <w:r>
        <w:rPr>
          <w:rFonts w:ascii="arial" w:eastAsia="arial" w:hAnsi="arial" w:cs="arial"/>
          <w:color w:val="000000"/>
          <w:sz w:val="20"/>
          <w:lang w:val="en-US" w:eastAsia="en-US" w:bidi="ar-SA"/>
        </w:rPr>
        <w:t>, the trial judgment was reversed and Huband J.A., in the course of his reasons, agreed with counsel that the business, created as a company, should be so regarded. He did state though, that this did not preclude individual shareholders in a company from reaching an agreement between themselves that would alter their ordinary responsibilities as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On the evidence before me, however, I do not know of any agreement between Mr. Pasnak and Mr. Chura altering their ordinary responsibilities as shareholders personally or through their personal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addition, in Steward v. Donnelly, </w:t>
      </w:r>
      <w:hyperlink r:id="rId548" w:history="1">
        <w:r>
          <w:rPr>
            <w:rFonts w:ascii="arial" w:eastAsia="arial" w:hAnsi="arial" w:cs="arial"/>
            <w:i/>
            <w:color w:val="0077CC"/>
            <w:sz w:val="20"/>
            <w:u w:val="single"/>
            <w:shd w:val="clear" w:color="auto" w:fill="FFFFFF"/>
            <w:lang w:val="en-US" w:eastAsia="en-US" w:bidi="ar-SA"/>
          </w:rPr>
          <w:t>[2001] B.C.J. No. 2071</w:t>
        </w:r>
      </w:hyperlink>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2001 BCSC 1396</w:t>
        </w:r>
      </w:hyperlink>
      <w:r>
        <w:rPr>
          <w:rFonts w:ascii="arial" w:eastAsia="arial" w:hAnsi="arial" w:cs="arial"/>
          <w:color w:val="000000"/>
          <w:sz w:val="20"/>
          <w:lang w:val="en-US" w:eastAsia="en-US" w:bidi="ar-SA"/>
        </w:rPr>
        <w:t>, Bennett J. of this court dealt with this same allegation of a partnership arising in the context of companies. She found that as there was no partnership agreement signed nor tax returns filed as a partnership and as the parties had never operated as a legal partnership, they were only equal shareholders in companies. Even though one party referred to the other as his "partner" it was found there was no partnership but instead a relationship of equal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For the same reasons as stated by Huband J.A. in Breslaw and Bennett J. in Steward, I find that there was no legal partnership per se between Mr. Chura and Mr. Pasnak but rather a relationship of equal shareholders either personally or through their personal companies, in the four companies through which they decided to carry on their business relationship. As such, their rights are to be determined by applying company law principles and not partnership principles.</w:t>
      </w:r>
      <w:r>
        <w:rPr>
          <w:rFonts w:ascii="arial" w:eastAsia="arial" w:hAnsi="arial" w:cs="arial"/>
          <w:sz w:val="20"/>
          <w:lang w:val="en-US" w:eastAsia="en-US" w:bidi="ar-SA"/>
        </w:rPr>
        <w:cr/>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the Shareholders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plaintiffs submit that the written shareholders agreement between Mr. Pasnak and Mr. Chura and Summit Motors and its extension by written agreement between Mr. Pasnak and Mr. Chura to Summit Leasing Ltd., was extended verbally to Fleetwood as well because Mr. Chura said in his evidence that he was content with the status quo continuing when Fleetwood and Summit Investments Ltd. were 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Chura's evidence of status quo was not given in relation to the two written agreements for Summit Motors and Summit Leasing Ltd. and I conclude that there was no similar agreement existing between Mr. Pasnak and Mr. Chura applicable to Fleetwood. In fact the two individuals personally were not even the shareholders of Fleetwood since the shareholders were Double J. and Chura Holdings Ltd. The evidence of Mr. Pasnak was that he did not approach Mr. Chura on a shareholders agreement for Fleetwood, but rather on a new shareholders agreement for all companies and Mr. Chura refused. Mr. Chura's evidence was that he had no discussions at all about the issue with Mr. Pasnak.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conclude that the claim for breach of contract based on the shareholders agreement for Summit Motors,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Negative Adjustments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negative adjustments sought by the plaintiffs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1568"/>
        <w:gridCol w:w="523"/>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$175,000.00</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Value of Preferred Shares of Double J. in Fleetwood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$ 82,249.00</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Interest on the $175,000 at 8% from January 1, 1997 to mid November,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$ 73,052.05</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Difference in Salaries of Pasnak and Chura 1990-2000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$110,000.00</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Salary Credit to Mr. Chura for 1995</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$ 31,000.00</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half cost of Stenner Settlement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1673"/>
        <w:gridCol w:w="523"/>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$ 56,000.00</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Value of five Mazdas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1568"/>
        <w:gridCol w:w="523"/>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$ 96,425.81</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half of the Net Darren Chura Judgment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$ 17,204.17</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half of the Costs Award against Darren Chura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$ 55,503.78</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half of the costs paid to Fleetwood's counsel for the Darren Chura litigation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$ 3,774.62</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half of the costs paid to Fleetwood's counsel for the Amex litigation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$316,125.00</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Advances to the defendants from February 1, 1999, to date. To December 31, 2000, the Plaintiffs claim one half. From that date, the Plaintiffs claim all.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$ 19,500.00</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half of $39,000 owing by Norm Chura to Fleetwood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$ 3,026.36</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half of legal fees paid to Campney Murphy - Exhibit 1, Tab 71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will consider each of the proposed adjustments in turn in the order as presented by the plaintiffs to determine whether Mr. Chura should be answerable to the plaintiffs.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Value of Preferred Shares of Double J. in Fleetwood - $175,000 + 8% interest from January 1, 1997 to mid-November, 2002 = $257,249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plaintiffs submit that as Mr. Chura had taken $175,000 more out of the companies over the years than had Mr. Pasnak, in 1991 Mr. Pasnak through Double J. had to accept preferred shares in Fleetwood equal to that amount at 8% interest, instead of cash, because of lack of funds in Fleetwood to pay him that amount directly. Accordingly the plaintiffs say Mr. Pasnak or Double J. should now be entitled to a credit for $175,000 plus 8% interest from Mr. Chura's share values in the remaining three companies, in order to stay even with Mr. Chura on monies taken out of the companies, now that Fleetwood is worthless and Mr. Pasnak cannot redeem his preferred shares from Fleetwood.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It was Mr. Chura's evidence that Mr. Pasnak could have chosen to take preferred shares or a dividend in any one of the other three companies, but he chose to take the shares in Fleetwood and earn 8% interest on those shares, and should bear the consequences now of his business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Pasnak's evidence was that he did not have an option as to which company to take preferred shares from because his accountants advised him that Fleetwood had to declare a dividend of $350,000; $175,000 credit to Mr. Chura to cover the money he had already taken, and another $175,000 dividend for him. This required him to take the preferred shares out of Fleetwood as Fleetwood could not afford to pay him the $175,000 dividend.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 letter of July 31, 1990, from the accountants to Mr. Chura, Tab 72 of the Plaintiffs Book of Documents, states that Mr. Chura had a debt to both Fleetwood and Summit. It is unclear to which Summit company reference was being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any event, the letter recommends a dividend declaration from Fleetwood of $400,000, to flow equally to Mr. Chura and Mr. Pasnak; the amount to Mr. Chura to cover his advances shown as a receivable.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For some reason this plan was not followed. What does seem clear from the letter, however, is that a part of Mr. Chura's debt was with one of the Summit companies. There is no explanation from Mr. Pasnak at trial why he did not take a dividend or preferred shares from that Summit company instead of all from Fleetwood, other than his evidence that his accountant said he had to take the preferred shares in Fleetwood because Fleetwood issued a dividend declaration of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do not consider the explanation given by Mr. Pasnak sufficient to consider Mr. Chura personally responsible to him to now pay the dividend out of his own share value in the other three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This is not an issue of oppression by Mr. Chura or breach of any other duty. It is a responsibility of Fleetwood that cannot now be met. Mr. Pasnak's claim is properly one to bring against Fleetwood, whether Mr. Pasnak had to take the preferred shares in Fleetwood to start with or could have taken the shares in another company, or could have taken a dividend from one of the other companies. Mr. Chura does not owe any duty to Mr. Pasnak to pay him back from his own money. Such an obligation would require an agreement between the two personally that in the event Fleetwood defaulted, Mr. Chura would pay Mr. Pasnak out of his own pocket to even them up. There is no evidence of such an agreement existing and as it is not an issue of oppression this item of adjustment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is also not an issue for which I consider that I have any discretion given to me by s. 200(2) of the Company Act.</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Difference in Salaries of Pasnak and Chura 1990-2000 - $73,052.05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This is really the same issue as a) and b)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This claim is based upon Mr. Chura's evidence at trial that he and Mr. Pasnak had an agreement that whatever each took out of the businesses over the years while working, the other could do the same. The plaintiffs' submission is that it is only fair that both parties' salaries be equalized now that the assets of the companies are being divided.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Chura responds that the financial records show that Mr. and Mrs. Pasnak have taken greater pension contributions than he has through the years of over $60,000, and these amounts should be taken into account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Without deciding whether there is any difference overall in favour of Mr. Pasnak, or what that difference might be, in my view this is not an obligation for Mr. Chura personally to have to satisfy. He never agreed that any difference would be paid out of his pocket personally, rather than from the companies, and as it does not involve any breach of duty on his part, this item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would think that Mrs. Pasnak would have seen any difference in salaries developing over the years and taken action himself at that time to make up any difference.</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Salary credit to Mr. Chura for 1995 of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This claim also falls into the same category as the two categories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Chura took a leave of absence from work in January, 1995, and continued to be paid. At trial his evidence was that the reason was for ill health due to stress. He said he talked to Mr. Pasnak in December, 1994, and told him he was taking time off. He expected to be gone for three to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Chura said he was going to come back in the sixth month or about June, 1995, and Mr. Pasnak told him to stay away as they were negotiating a buy-out at that time. Instead he came back at the end of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Chura was cross-examined on evidence he gave at Examination-for-Discovery that his doctor had ordered him to take a year off, as well as evidence in an affidavit of October 15, 1998, that by January, 1996, his health had rebounded to a point where he was able to resume an active role in the management of the companies and resume operational control of Fleetwood Motors.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Chura explained that the decision was his to take time off after consultation with his doctor, and not on doctor's order, and although his health had improved by 1996 he had talked to Mr. Pasnak in June, 1995, and had said he was feeling really good and wanted to come back, but Mr. Pasnak did not want him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Pasnak testified that he took over the management of Fleetwood on February 1, 1995, at the request of Mazda Canada, made in the presence of Mr. Chura. Concerning Mr. Chura's evidence of a conversation with him about taking time off for stress and wishing to return in June, 1995, but being refused, Mr. Pasnak denied that Mr. Chura mentioned any medical reason at all or indicated any wish to come back. According to him Mr. Chura said he wanted to play a lot of golf.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Again, I do not see any basis for any claim by Mr. Pasnak against Mr. Chura personally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Presumably Mr. Pasnak agreed to Mr. Chura continuing to take a salary in 1995 while not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Presumably Mr. Pasnak never asked Mr. Chura to reimburse Fleetwood for his 1995 salary. The claim was first made at trial and in my view has not been pleaded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If there is any claim at all to be made, in my opinion it is a claim of Fleetwood's and not of Mr. Pasnak's.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his evidence at trial Mr. Pasnak sought compensation for himself for all of the extra work he performed in 1995 in managing both Summit Motors and Fleetwood.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If this is the real basis for this claim, in my view Mr. Pasnak should have taken care of that concern himself in 1995.</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One-half costs of Stenner settlement - $31,000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Stenner was a person hired by Mr. Chura in 1997 to be General Sales Manager at Fleetwood. Ultimately he was fired by Mr. Chura and it cost Fleetwood $62,000 in settlement of Mr. Stenner's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There is a dispute between the parties as to the actual role of Mr. Stenner at Fleetwood, his actual salary, the duties of Mr. Chura while Mr. Stenner was employed, and the wisdom of Fleetwood hiring Mr. Stenner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It is not necessary for me to resolve these disputes on the evidence. This is clearly a claim for Fleetwood to make against Mr. Chura, if there is any claim at all, as it was Fleetwood's loss. It may be that hiring Mr. Stenner and paying him the salary he received was not the wisest decision for Mr. Chura to make, but in my view that does not give the plaintiffs any personal right of action against Mr. Chura.</w:t>
      </w:r>
      <w:r>
        <w:rPr>
          <w:rFonts w:ascii="arial" w:eastAsia="arial" w:hAnsi="arial" w:cs="arial"/>
          <w:sz w:val="20"/>
          <w:lang w:val="en-US" w:eastAsia="en-US" w:bidi="ar-SA"/>
        </w:rPr>
        <w:cr/>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Value of Five Mazdas - $56,000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Chura has retained five Mazdas owned by Fleetwood, for the personal use of his wife, his children and himself. If Mr. Chura refuses to make arrangements with Mr. Pasnak for the return of these vehicles, then in my opinion it is for Fleetwood to bring a claim against Mr. Chura and not the plaintiffs. This item is denied.</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One-half of the net Darren Chura Judgment and costs award - $113,629.98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At the instance of Mr. Chura, Fleetwood entered into three agreements with Darren Chura, his son, in 1997 and 1998, the effect of which was purportedly to confirm the terms of employment for Darren Chura at Fleetwood and to provide for the terms of his severance from Fleetwood, if his employment was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These agreements were the subject of litigation between Fleetwood and Darren Chura and his wife and his personal company, along with other claims being made by Fleetwood. Shaw J. gave judgment on April 6, 2001 in Fleetwood Motors Ltd. V. Chura, </w:t>
      </w:r>
      <w:hyperlink r:id="rId549" w:history="1">
        <w:r>
          <w:rPr>
            <w:rFonts w:ascii="arial" w:eastAsia="arial" w:hAnsi="arial" w:cs="arial"/>
            <w:i/>
            <w:color w:val="0077CC"/>
            <w:sz w:val="20"/>
            <w:u w:val="single"/>
            <w:shd w:val="clear" w:color="auto" w:fill="FFFFFF"/>
            <w:lang w:val="en-US" w:eastAsia="en-US" w:bidi="ar-SA"/>
          </w:rPr>
          <w:t>[2001] B.C.J. No. 953</w:t>
        </w:r>
      </w:hyperlink>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2001 BCSC 662</w:t>
        </w:r>
      </w:hyperlink>
      <w:r>
        <w:rPr>
          <w:rFonts w:ascii="arial" w:eastAsia="arial" w:hAnsi="arial" w:cs="arial"/>
          <w:color w:val="000000"/>
          <w:sz w:val="20"/>
          <w:lang w:val="en-US" w:eastAsia="en-US" w:bidi="ar-SA"/>
        </w:rPr>
        <w:t>, holding that Darren Chura was dismissed for cause and setting aside the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addition Shaw J. ordered judgment against Darren Chura personally for an amount ultimately calculated to be $240,487.68 inclusive of costs. This covered a number of claims of Fleetwood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plaintiffs' claim recovery from Mr. Chura of 50% of the net judgment and costs (after some payments were made) on the basis that Darren Chura has not paid the full judgment and Mr. Chura, being the instigator of these contracts and having allowed his son to take advantage of Fleetwood on the other claims, should also be responsible for the judgment to the extent of 50%, representing his 50% interest in Fleetwood through Chura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Presumably, the reason why the plaintiffs only claim 50% and not 100% of the judgment unpaid is because they accept that the loss was to Fleetwood and if Mr. Chura had to pay 100% of the judgment to Fleetwood, he would simply recover 50% of it through the shares of Chura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defendants argue that the reasons of Shaw J. are not binding on me as that lawsuit was between different parties and on different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contracts in evidence before me and Mr. Chura's explanations for these contracts and for his other actions towards his son leave no doubt in my mind that these were sweetheart arrangements that Mr. Chura had Fleetwood enter into with his son only because it was his son, and not in the interests of Fleetwood, and in authorizing these arrangements he breached his duties to Fleetwood as an officer and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problem once again, however, is that all of the claims are properly Fleetwood's claims against Mr. Chura.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When Fleetwood sued Darren Chura before Mr. Justice Shaw, it was Mr. Pasnak who directed the prosecution of that claim over the objections of Mr. Chura.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questioned Mr. Pasnak's present counsel on why this claim was not made part of the claim before Mr. Justice Shaw and his reason was that this action was already in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my view that explanation provides no basis for giving the plaintiffs here any right of action that properly belongs to Fleetwood. The only potential effect on the plaintiffs personally of any misdeed by Mr. Chura with respect to these arrangements is on the share value of Double J. in Fleetwood equal to the effect on the share value of Chura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This claim is denied as properly belonging only to Fleetwood.</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One-half of the cost paid to Fleetwood's counsel for the Darren Chura litigation - $55,503.78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Again, for the same reasons applicable to the Darren Chura judgment and costs, this is properly a claim of Fleetwood's to make and not a personal claim of the plaintiffs to make.</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One-half of the costs paid to Fleetwood's counsel for the Amex litigation - $3,774.62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Once again, this is an expense of Fleetwoods and its claim to make, if any, and is not a claim for the plaintiffs to make.</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Advances to the defendants from February 1, 1999, to December 1, 2002 - $316,125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plaintiffs claim one-half of the advances to Mr. Chura to December 31, 2000, the date of the share valuations, and the full amount of the advances made to Mr. Chura from December 31, 2000 to December 1, 2002. Presumably the claim continues after December 1, 2002 as long as Mr. Chura receives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This claim arises out of the order of Allan J. in this action on December 14, 1999, that Summit Motors pay to Mr. Chura a monthly salary equal to that being received by Mr. and Mrs. Pasnak, retroactive to February 1, 1999, and continuing until further order of this court or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This order was made on application by Mr. Chura for relief under ss. 200, 271 and 272 of the Company Act, or for relief by way of a mandatory injunction requiring Mr. Pasnak to authorize the four companies to pay him a monthly salary equal to that received by Mr. Pasnak and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Allan J. concluded that Mr. Chura was the subject of an unfairly prejudicial act within s. 200(1) of the Company Act, which finding gave the court a broad discretion to make an interim or final order, including ordering a company to compensate an aggrieved person under ss. (2)(i).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She concluded that Mr. Chura was an "aggrieved person" entitled to compensation under ss. (2)(i) in the form of a monthly salary from Summit Motors.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unfairly prejudicial act was identified as the ouster of Mr. Chura from management of, inter alia, Summit Motors, notwithstanding what the court considered to be his absolute right to participate in management pursuant to clause 10 of the shareholders agreement between Mr. Pasnak and Mr. Chura and Summit Motors. Clause 10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party shall have equal rights in the management of the Company and its business and shall be faithful to the other in all Company transactions and shall give his undivided time and attention to the interest of the Company and its business unless he be prevented by illness or other reasonable cause and shall use his utmost endeavours to promote the interest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the alternative, Allan J. granted Mr. Chura a mandatory injunction requiring Summit Motors to pay him a monthly salary. The grounds for the injunction were the serious question to be tried as to Mr. Chura's right to earn a salary from, inter alia, Summit Motors, and evidence of a breach of that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On the issue of Mr. Chura providing an undertaking as to damages, Allan J. found that to be unnecessary in view of Mr. Chura's entitlement to the substantial assets of the four companies that provided adequate security for any damages that might flow from the injunction.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at trial, it is determined that Mr. Chura was not entitled to draw a salary from any of the companies after February, 1999, then the appropriate adjustments can be made with respect to Mr. Chura's interest in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Allan J. noted that Mr. Pasnak was vehemently opposed to Mr. Chura's participation at the Summit Motors dealership but she gave him the opportunity to utilize Mr. Chura's services in return for his salary, by drawing up a list of reasonable duties for Mr. Chura to perform. If Mr. Chura did not agree that the proposed duties were appropriate or reasonable, he had the right to apply to the court for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There was evidence that Mr. Chura's lawyers responded negatively in a letter to some suggested duties for Mr. Chura, apparently listed in a letter from Mr. Pasnak's own lawyers, although that letter is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reasons of Allan J. do not require Mr. Chura to apply to the court for directions on what are appropriate or reasonable duties but only give him that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Since I understand that Summit Motors is continuing to pay Mr. Chura a salary pursuant to the order of Allan J. without any further submissions, the issue in my view now is whether Mr. Chura was entitled to draw a salary after February, 1999, or whether he should have to pay back the money he has received to date through a negative adjustment to the purchase price of his shares, as damages caused to Summit Motors by the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plaintiffs submit that Mr. Chura had no legal right to a salary from Summit Motors and being a shareholder, officer and director of Summit Motors did not entitle him to a salary. Reliance is placed upon the judgment of Fulton J. in Diligenti where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shareholder he has no right to employment or remuneration in a managerial or administrative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This statement of Fulton J. is qualified, however, by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such rights would arise only as the result of express or implied agreement that he should be so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this case Mr. Chura has the benefit of clause 10 of the Shareholders Agreement that, in the words of Allan J., gave him an absolute right to manage Summit Motors alongside Mr. Pasnak.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evidence is that after Fleetwood was formed in 1982 Mr. Chura moved from Summit Motors to manage Fleetwood while Mr. Pasnak remained at Summit Motors to manage it by himself. That was obviously by agreement, but I have no evidence that the mutual intention of the parties was to terminate any part of the Shareholders Agreement on Summit Motors for all time. I conclude that the right of Mr. Chura to co-manage Summit Motors in Clause 10 was simply placed in abeyance to be reactivated if circumstances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Once Fleetwood was closed down, I consider that Mr. Chura's rights under Clause 10 were reactivated and available to be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Neither party took the position at trial that the Shareholders Agreement was not still in effect after Fleetwood came into existence. In fact, the plaintiff submitted it was not only still in effect, but it was extended to Fleetwood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It may be that Mr. Chura cannot show any actual written contract of employment with Summit Motors entitling him to a salary, even if he has the right under Clause 10 to manage, but as Allan J. said in her reasons - neither can Mr. Pasnak. In my view the right to a salary comes with the exercise of the right to manage which Mr. Chura sought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Alternatively, the plaintiffs say that even if Mr. Chura was entitled to a salary at Summit Motors, his dishonest conduct at Fleetwood precluded him from any right of management and salary in Summit Motors.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The authority relied upon by the plaintiffs for this proposition is McKinley v. BC Tel, </w:t>
      </w:r>
      <w:hyperlink r:id="rId550" w:history="1">
        <w:r>
          <w:rPr>
            <w:rFonts w:ascii="arial" w:eastAsia="arial" w:hAnsi="arial" w:cs="arial"/>
            <w:i/>
            <w:color w:val="0077CC"/>
            <w:sz w:val="20"/>
            <w:u w:val="single"/>
            <w:shd w:val="clear" w:color="auto" w:fill="FFFFFF"/>
            <w:lang w:val="en-US" w:eastAsia="en-US" w:bidi="ar-SA"/>
          </w:rPr>
          <w:t>[2001] S.C.J. No. 40</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2001 SCC 38</w:t>
        </w:r>
      </w:hyperlink>
      <w:r>
        <w:rPr>
          <w:rFonts w:ascii="arial" w:eastAsia="arial" w:hAnsi="arial" w:cs="arial"/>
          <w:color w:val="000000"/>
          <w:sz w:val="20"/>
          <w:lang w:val="en-US" w:eastAsia="en-US" w:bidi="ar-SA"/>
        </w:rPr>
        <w:t>, where the court said that whether an employer is justified in dismissing an employee on the grounds of dishonesty is a question that requires an assessment of the context of the alleged misconduct and the test is whether the employee's dishonesty gives rise to a breakdown in the employment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There is no evidence that Mr. Chura was ever dishonest in management of Summit Motors. The only possible evidence of dishonesty of his in Fleetwood was in his favourable treatment of his son Darren through the employment and severance contracts. While I consider that to be a serious matter, I view that as a matter confined to his son and Fleetwood, which has no connection to the management of Summit Motors. In my view it did not give rise to a breakdown in the employment relationship within that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Pasnak gave evidence of his concerns that Mr. Chura was disruptive to staff at Summit Motors, but I do not consider the evidence sufficient to support a finding that Mr. Chura has breached his duties under the Shareholders Agreement disentitling him to his rights under Clause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my view Mr. Chura was entitled to draw a salary from Summit Motors after February, 1999, as he was prepared to resume management duties in that company, and no adjustment should be made to the purchase price of his shares in the four companies as a result of receiving this salary.</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One-half of $39,000 owing by Norm Chura to Fleetwood - $19,500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his evidence at trial Mr. Chura agreed that the amount he owes on his personal account to Fleetwood will be deducted from whatever he is entitled to on the sale of his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defendants say that the amount of Mr. Chura's account with Fleetwood is not in evidence. However, Mr. Chura in his evidence said it was about $39,000 so on his agreement I am prepared to order that the sale price of his shares be reduced by 50% of that amount or $19,500. This accounts for the fact that theoretically $39,000 would be repaid to Fleetwood and Mr. Chura would recover 50% of that amount through his shareholdings.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One-half of legal fees paid to Campney Murphy - $3,026.36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evidence that the plaintiffs refer to for this claim is evidence of Mr. Chura with respect to an account of November 20, 1997, from Campney Murphy to Mr. Chura in the amount of $6,052.72. Mr. Chura explained in his evidence that this was for advice to Fleetwood and not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am unable to see why Mr. Chura should be personally liable for this claim on any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 for the Purchase of Shares/Winding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my opinion the appropriate order to make is that the plaintiffs or either of them be permitted to purchase all the shares of Mr. Chura and Chura Holdings Ltd. in the four companies for the amount of $1,321,697, less $19,500, for a total of $1,302,197.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addition the plaintiffs will pay court order interest to these defendants at prevailing rates on the purchase monies, from December 31, 2000 to date of purchase, to account for their use of Mr. Chura's money since December 31,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plaintiffs or either of them will have 90 days from today's date to complete this purchase of the shares and pay court order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If the plaintiffs decide not to purchase the shares for the amount I have directed to be paid, by 90 days from today's date, the defendants will be entitled to apply before me on seven days notice for an order winding up the four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This order is consistent with the order made in Discovery Enterprises Inc. v. Epco Industries Ltd. et al, </w:t>
      </w:r>
      <w:hyperlink r:id="rId552" w:history="1">
        <w:r>
          <w:rPr>
            <w:rFonts w:ascii="arial" w:eastAsia="arial" w:hAnsi="arial" w:cs="arial"/>
            <w:i/>
            <w:color w:val="0077CC"/>
            <w:sz w:val="20"/>
            <w:u w:val="single"/>
            <w:shd w:val="clear" w:color="auto" w:fill="FFFFFF"/>
            <w:lang w:val="en-US" w:eastAsia="en-US" w:bidi="ar-SA"/>
          </w:rPr>
          <w:t>[2002] B.C.J. No. 1957</w:t>
        </w:r>
      </w:hyperlink>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2002 BCSC 1236</w:t>
        </w:r>
      </w:hyperlink>
      <w:r>
        <w:rPr>
          <w:rFonts w:ascii="arial" w:eastAsia="arial" w:hAnsi="arial" w:cs="arial"/>
          <w:color w:val="000000"/>
          <w:sz w:val="20"/>
          <w:lang w:val="en-US" w:eastAsia="en-US" w:bidi="ar-SA"/>
        </w:rPr>
        <w:t>, and in my view satisfies the goal of bringing to an end the business relationship between Mr. Pasnak and Mr. Chura, as both of them have desired.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parties will have liberty to speak to the matter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Perez v. Galambos, [2006] B.C.J. No. 1396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Rice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S046696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1396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899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721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Estela Perez, plaintiff, and Michael Z. Galambos and Michael Z. Galambos Law Corporation, both carrying on business as "Galambos &amp; Company" and the said Galambos &amp;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3"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5" w:name="Keywords_20"/>
      <w:bookmarkEnd w:id="225"/>
      <w:r>
        <w:rPr>
          <w:rFonts w:ascii="arial" w:eastAsia="arial" w:hAnsi="arial" w:cs="arial"/>
          <w:b/>
          <w:color w:val="000000"/>
          <w:sz w:val="20"/>
          <w:lang w:val="en-US" w:eastAsia="en-US" w:bidi="ar-SA"/>
        </w:rPr>
        <w:t>Legal profession — Barristers and solicitors — Relationship with client — Client's property (receipt of money, trust accounts) — Action for damages by the defendant lawyer's bookkeeper who had periodically deposited personal funds to the firm's general account to help keep its line of credit within its bank's authorized limits — In March 2004, the firm closed and the defendant filed an assignment in bankruptcy — The plaintiff's only chance of recovery was to prove her entitlement to a claim on the defendant's professional insurance policies — Action dismissed — While it was unfortunate that the plaintiff's support for the defendant created a large debt that proved to be irrecoverable, there was nothing that established a breach of any duty owed by the defendant or his firm beyond his default as a debtor.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Professional duties — Fiduciary duties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for damages by the defendant lawyer's bookkeeper who had periodically deposited personal funds to the firm's general account to help keep its line of credit within its bank's authorized limits — In March 2004, the firm closed and the defendant filed an assignment in bankruptcy — All of its assets went to satisfy secured creditors — The plaintiff's only chance of recovery was to prove her entitlement to a claim on the defendant's professional insurance policies — Action dismissed — There was no evidence that the defendant was negligent in handling his firm's business, or that he owed the plaintiff any special duty in that respect.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Fiduciary duty — Professional — Legal — Action for damages by the defendant lawyer's bookkeeper who had periodically deposited personal funds to the firm's general account to help keep its line of credit within its bank's authorized limits — In March 2004, the firm closed and the defendant filed an assignment in bankruptcy — All of its assets went to satisfy secured creditors — The plaintiff's only chance of recovery was to prove her entitlement to a claim on the defendant's professional insurance policies — Action dismissed — While it was unfortunate that the plaintiff's support for the defendant created a large debt that proved to be irrecoverable, there was nothing that established a breach of any duty owed by the defendant or his firm beyond his default as a debtor.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Undue influence — Nature of relationship — Action for damages by the defendant lawyer's bookkeeper who had periodically deposited personal funds to the firm's general account to help keep its line of credit within its bank's authorized limits — In March 2004, the firm closed and the defendant filed an assignment in bankruptcy — The plaintiff's only chance of recovery was to prove her entitlement to a claim on the defendant's professional insurance policies — One of her claims was based on undue influence — Action dismissed — The plaintiff extended the loans voluntarily and much on her own initiative — There was no evidence of any efforts by the defendant to impose his will over her, to convince her to act against her wishes, or to appeal to her sympathy — In the circumstances, there was no evidence of undue influence.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6" w:name="Case Summary_19"/>
            <w:bookmarkEnd w:id="2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misrepresentation, and breaches of duty in tort, obligations in contract and fiduciary duty by Perez, who was the bookkeeper for Galambos' law firm from May 2001 to March 2004 -- Periodically during that time, she deposited personal funds of her own to the firm's general account to help the firm keep its line of credit within its bank's authorized limits -- In March 2004, the firm closed and Galambos, filed an assignment in bankruptcy -- By that time, Perez's personal advances to the firm totalled nearly $200,000 -- There was no dispute that Galambos and his law corporation were jointly and severally indebted to Perez for the funds she advanced -- However, all of Galambos' assets had gone to satisfy secured creditors through the bankruptcy and a receivership -- Perez's only chance of recovery was to prove her entitlement to a claim on Galambos's professional insurance policies -- Perez claimed that because free legal service was a term of her employment, she was a client of the firm -- Alternatively, she claimed she became a client upon first receipt of the legal services -- She also contended that the oral contract for the loans between her and Galambos included an implied term that Galambos would provide any legal advice that was required in relation to those loans -- Alternatively, she claimed that Galambos owed her a fiduciary duty outside of a solicitor-client relationship -- Further, she alleged that even in the absence of a contractual duty of care or a fiduciary duty, Galambos owed her a common law duty of care under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 because the proximity of their relationship was such that it was within reasonable contemplation that Galambos's carelessness could cause Perez injury -- She argued that in such a close relationship, and because Galambos was a lawyer, he had a duty to make it "abundantly clear" that he did not act in her interests or intend to assume a duty of care towards her -- Perez also argued that the power dynamics of their relationship were such that she "was simply unable to refuse" the requests for loans -- HELD: Action dismissed -- While it was unfortunate that Perez's support for Galambos created a large debt that proved to be irrecoverable, there was nothing that established a breach of any duty owed by Galambos or his firm beyond his default as a debtor -- The evidence indicated that Perez retained Galambos for three specific legal purposes: to obtain a new will and to complete two mortgage transactions -- Aside from those, Perez's only relationship with the firm was as an employee and a creditor -- There was no evidence that she ever asked Galambos or another lawyer at the firm to advise her about the loans or about her financial circumstances generally -- In the circumstances, each retainer was separate, distinct, and limited to the specific services Perez requested -- As a result, she was not a client at any of the times when she made loans to the firm -- The evidence did not establish that Perez relinquished her decision-making power with respect to the loans to Galambos, or that there was any discretion over her interests that he was able to exercise unilaterally or otherwise -- Aside from the limited retainers, their relationship was one of friendship between employer and employee, which gave rise to a creditor-debtor relationship -- In this case, there was no evidence that Galambos was negligent in handling his firm's business, or that he owed Perez any special duty in that respect -- Finally, while Galambos exploited Perez's good nature in a passive way, she nevertheless extended the loans voluntarily and on her own initiative -- There was no evidence of any efforts on Galambos's part to impose his will over Perez, to convince her to act against her wishes, to appeal to her sympathy, or to cultivate hero-worship or subservience on her part -- In those circumstances, there was evidence of undue influence, or unconscionability.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7" w:name="Legislation Cited_18"/>
      <w:bookmarkEnd w:id="2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4"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Bankruptcy and Insolvency Act, R.S.C&gt; 1985, c. B-3, s. 69.4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8" w:name="Counsel_21"/>
      <w:bookmarkEnd w:id="2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5"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Robert D.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Michael G. Armstrong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9" w:name="Judgment_21"/>
      <w:bookmarkEnd w:id="229"/>
      <w:r>
        <w:pict>
          <v:line id="_x0000_s1136"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0" w:name="RICE J."/>
            <w:bookmarkEnd w:id="230"/>
            <w:r>
              <w:rPr>
                <w:rFonts w:ascii="arial" w:eastAsia="arial" w:hAnsi="arial" w:cs="arial"/>
                <w:b/>
                <w:color w:val="000000"/>
                <w:sz w:val="30"/>
                <w:lang w:val="en-US" w:eastAsia="en-US" w:bidi="ar-SA"/>
              </w:rPr>
              <w:t>RICE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Mrs. Perez, was the defendant law firm's bookkeeper from May 2001 to March 2004. Periodically during that time, she deposited personal funds of her own to the firm's general account to help the firm keep its line of credit within its bank's authorized limits. In March 2004, the firm closed its doors, and the defendant and owner of the firm, Mr. Galambos, filed an assignment in bankruptcy. By that time, Mrs. Perez's personal advances to the firm totalled nearly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There is no dispute that Mr. Galambos and his law corporation are jointly and severally indebted to Mrs. Perez for the funds she advanced. Unfortunately, all of the defendants' assets have gone to satisfy secured creditors through the bankruptcy and a receivership. Mrs. Perez's only hope of recovery is by proving her entitlement to a claim on Mr. Galambos's professional insurance policies. Thus she has sought and obtained authority to commence this action by order in Master's Chambers on October 19, 2004, pursuant to s. 69.4 of the </w:t>
      </w:r>
      <w:r>
        <w:rPr>
          <w:rFonts w:ascii="arial" w:eastAsia="arial" w:hAnsi="arial" w:cs="arial"/>
          <w:b/>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Her claim in this action is framed as one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and breaches of duty in tort, and obligations in contract and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Mrs. Perez is a 46-year-old bookkeeper who lives with her husband in Coquitlam, British Columbia. They have two children, aged 20 and 17, neither of whom are dependent on their parents. Mrs. Perez was born and educated in the Philippines, where she took three years of post-secondary training as an accountant. She immigrated to Canada at age 22 in about 1981, where she commenced and has continued to work for various employers as a bookkeeper. She worked for Credit Foncier for six years from 1981-1987 and for the law firms of Fraser Beatty from 1990-1995 and Norton Stewart from 1998 to 2001. For three years up to 1998 she was a homemaker. She came to Mr. Galambos in mid-2001 and stayed until his bankruptcy in 2004. She now works for a wholesale marketing company owned by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2001, Mr. Galambos, a 47-year-old lawyer, was practicing law in his own firm, Galambos &amp; Company, which he had founded in 1992. He had had some earlier experience as a family lawyer and general practitioner, but essentially his experience was confined to criminal prosecutions and other prosecutorial work available through the Federal Government. He had built the firm to 12 lawyers and about as many support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May 2001, Mrs. Perez applied to Mr. Galambos for a part-time job as a bookkeeper and was hired. By all accounts she proved herself to be highly capable, loyal, and valued. In October 2001, Mr. Galambos offered her a full-time job, which she accepted, at a salary of $40,000 per annum. The position did not include any medical, dental, or other benefits. However, Mrs. Perez came to expect that there would be benefits in the form of legal work for free or for disbursements only. She had in mind, for instance, wills and personal home conveyances. She alleges that Mr. Galambos offered these as a term of her employment when she was offered full-time work in October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With her change to full-time employment, Mrs. Perez effectively became the office manager. Over time her responsibilities came to include overseeing all accounting work at the firm, including both general and trust accounts; preparing regular trial balances; preparing monthly reports for the firm's bankers; preparing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projections of firm income, expenses, and profits; all day-to-day accounting and financial reporting for the firm's management company, 498289 B.C. Ltd.; supervising a full-time billing clerk; liaising with the firm's outside professional accountants for the preparation of annual financial statements and income tax returns; administering all banking, including banking deposits, day-to-day communications with the firm's bank, and keeping track of account balances; handling and monitoring accounts receivables and accounts payable; communicating with suppliers of equipment and services to the law firm, and negotiating their contracts; ensuring that lawyers and staff issued legal accounts on a timely basis; exercising signing authority on all firm bank accounts, other than trust accounts, including cheque signing on the general account of the firm and the management company; preparing, signing, and processing cheque requisitions; managing personnel; and handling Mr. Galambos's personal matters, including on-line personal banking, paying credit card accounts, and other things of that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Galambos and Mrs. Perez both testified that he gave her substantial scope and autonomy in handling the business matters of the firm. He devoted his time and energy predominantly to his legal work, the federal prosecutions, as well as to client development. Both he and Mrs. Perez realized early in their business relationship that he would rely on her to keep him informed of the financial status of the practice, and it is acknowledged that she worked very hard to satisfy this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Apparently at the time that Mrs. Perez began working fulltime with Mr. Galambos, the firm, if not flourishing, was doing reasonably well. There were periodic cash flow crunches when the firm had to ask its bank for brief extensions of its line of credit. One reason was the chronic slow progress of the Federal Department of Justice ("DOJ") in paying its bills. In January 2002, one of those situations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firm had chosen to relocate in late 2001 to larger premises with higher rent and overhead including a new computer system and relocation costs. The firm was counting on its DOJ receivables to offset those extra costs, but the DOJ receivables were slow in arriving. The firm's line of credit rose above its maximum, and there was a threat that insufficient funds would be available to cover the firm's next payroll. Mrs. Perez brought this promptly to the attention of Mr. Galambos. Their accounts differ on what was said during the discussion that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Mrs. Perez testified that she went to Mr. Galambos's office and explained the situation. She said he followed her back to her office, where he broke down in tearful despair and asked her for financial assistance to help the firm through what they both believed, or hoped at the time, would be a temporary embarrassment. They were expecting DOJ funds to arrive anytime.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Perez testified that she was surprised at the request, but out of loyalty, respect, and admiration for him, and based on his assurances that things would turn around, she agreed to provide the funds. She went to her own bank, Canadian Imperial Bank of Commerce, for a loan. The bank requested a letter confirming her income, which was prepared and which Mr. Galambos signed. The result was a $40,000 personal loan to Mrs. Perez from her bank, the proceeds of which she then took and deposited in the Galambos &amp; Company account at the Royal Bank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Galambos denied that he went to Mrs. Perez and broke down in tears then or at any other time. He testified that exceeding his bank credit limit was not unusual and that the problem had always been overcome by a telephone call to the bank. Either he or Mrs. Perez would make the call and request a temporary credit extension. He said that on this occasion, he simply told Mrs. Perez to "take care of it", assuming that she would follow the past practice of telephoning the bank and speaking to him again if anything more than a phone call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testified that, inexplicably, she unilaterally borrowed and deposited her own funds to cover the cash shortfall. He did not discover that she had done this until later in the month, and he testified that he told her to repay herself immediately and include interest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Galambos said that there were subsequent conversations in the same vein when he learned that she still had not been repaid, and he repeated his instruction for her to reimburse herself. Mrs. Perez admitted that much, but said that she did not follow his instructions because, in her view it would only cause another urgent cash shortage.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both parties, at the beginning of 2002 business seemed to be good. Files were coming in, and the lawyers and staff were all working hard. Mrs. Perez could see a turn around from the crunch of a month before. She partly repaid herself by a cheque for $7,000 on March 28, 2002, and another for $8,000 on August 8, 2002. Evidently there were other times when more or even all of the loan could have been safely repaid, but Mrs. Perez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good signs were short lived. The firm began to notice a tapering off of the DOJ work. The revenue decreased, and over the course of 2002 and 2003, the firm's financial circumstances slowly got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the decline continued, Mrs. Perez began to deposit more monies of her own into the general account of the firm. On February 12 and 21, 2003, she deposited cheques for $10,000 and $22,000. She testified that she would observe that the funds were needed and inform Mr. Galambos. According to her, he would simply ask her to "do something". She would then, without necessarily telling him first, deposit more funds of her own into the firm's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to these deposits, Mrs. Perez frequently paid for the firm's supplies with her own credit card and then reimbursed herself for those expenses. She even used her card to make certain personal purchases for Mr. Galambos, such as two suits when she accompanied him once to Harry Rosen's and a down payment when she accompanied him once to sign a lease for a Mercedes. Mr. Galambos was aware that this was her practice. He said she volunteered to use her personal credit card in this way so that she could pick up frequent flyer points as a perquisite.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All the while, throughout 2003 and early 2004, the decline in the firm's fortunes continued, and clearly so. The DOJ work, which had made up most of the firm's revenue, continued to drop. The firm laid off staff. The bank overdraft was constantly at its limit and beyond. The plaintiff kept advancing money, asserting several times in her testimony that she did so in reliance on Mr. Galambos's promises that the firm's fortunes would improve and that he would pay her back. According to Mrs. Perez, he told her that there were one or two files soon to be completed with high contingency fees and that he was on the verge of obtaining lucrative new legal work. He even took her to meet the new client. By March 2004, the firm owed Mrs. Perez approximately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Despite everyone's efforts, the hoped-for recovery of the firm's profitability did not happen. On March 5, 2004, the firm was forced to cease practicing, and on March 16, 2004, Mr. Galambos filed an assignment of bankruptcy. B.D.O. Dunwoody was appointed as the trustee. In his statement of affairs in connection with the bankruptcy, Mr. Galambos listed a number of unpaid creditors besides Mrs. Perez. They included other former employees of the company and a number of suppliers.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June 15, 2004, Price Waterhouse Coopers Inc. was appointed as the receiver of the property of the law firm pursuant to a general security agreement with the HSBC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Mrs. Perez, as an unsecured creditor, obtained nothing from the bankruptcy and receivership.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Existence of a Solicitor-Client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Mrs. Perez argues that because free legal service was a term of her employment, she was a client of the firm. Alternatively, she says she became a client upon first receiving the legal services. Mrs. Perez also claims that the oral contract for the loans between her and Mr. Galambos must be taken to have included an implied term that Mr. Galambos would provide any legal advice that was required in relation to those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Mrs. Perez argues that the solicitor-client relationship commenced in October 2001, when Mr. Galambos first offered her full-time work and legal services as an employment benefit. She testified at the trial that she mentioned to him at that time that she had decided to arrange for new wills for herself and her husband, and Mr. Galambos told her he would direct her to a lawyer in the firm who could draft the wills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cross examination, Mrs. Perez conceded that her discussion with Mr. Galambos about such free legal work was, or may have been, sometime after she was hired full time. She took no step to engage the firm to do legal work for her until many months later in June 2002, after her mother had died. Then she asked a lawyer in the firm, Darlene Dort, to prepare wills for her and her husband, and this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Galambos denied the conversation about free legal services altogether. Though he admitted that the firm performed free or disbursement-only work for its staff, he said this was done only on a case-by-case basis. His testimony was supported by another witness who was a former employee of the firm, Daniél Somogye. She testified that occasionally disbursement-only work was provided by the firm for employees' wills and conveyances, but not always. She said that it was not a term of her employment or the employment of anyone else she knew in the firm. To her knowledge, there was no set policy in the firm that free legal services would be provided to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That Mrs. Perez would expect the firm to provide its help on a free or discounted basis for certain discrete transactions does not surprise me. Typically law firms offer certain legal work, such as straightforward wills, powers of attorney, conveyances, and mortgages, at a cut rate to staff. Mrs. Perez may have heard this mentioned by Mr. Galambos or by someone else, or she may have presumed it based on her previous experience at law firms. However, the evidence of the conversation in October 2001 is contradictory, and it does not satisfy me that Mr. Galambos agreed, as a term of her engagement, to be her lawyer generally or to provide her with a will or any other specific legal service. I find that no solicitor-client relationship was established at the early stage of their relationship in October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Nor did such a relationship exist when Mrs. Perez deposited $40,000 to the firm in January 2002. As of January 2002, the firm had done no legal work for her. If Mr. Galambos asked Mrs. Perez for a loan, as she claims but he denies, it was a loan from employee to employer or otherwise between friends. His being a lawyer may have been a factor in her decision to lend the funds, but that does not mean that she dealt with him in any capacity as her lawyer, and there is no evidence of that. There was no solicitor-client relationship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June 2002, Ms. Dort handled the preparation and execution of new wills for Mr. and Mrs. Perez. It was a simple, straightforward transaction, and Mrs. Perez acknowledges that it had nothing to do with the previous or subsequent advances of funds that she made to Galambos &amp; Company. She acknowledged that she had no contact with Mr. Galambos about that transaction, and he had no involvement in the required legal work. The same is true of a mortgage transaction that the firm did for her in January 2003 and of a second mortgage that was completed in September 2003, except that Mr. Galambos signed a trust cheque related to the last transaction, an action for which he has no present recollection. Neither mortgage had anything to do with her loans to the law firm. The legal accounts for each of these legal services were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Of course, these transactions of themselves gave rise to a solicitor-client relationship between Mrs. Perez and the defendants. Mr. Holmes, on behalf of Mrs. Perez, went further. He submitted that these discrete transactions created or were part of an ongoing solicitor-client relationship between Mrs. Perez and Mr. Galambos that survived and continued through to March 2004, when the firm closed its doors. He argued that because of this relationship, Mr. Galambos owed Mrs. Perez all the professional duties due to a current client of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Mr. Armstrong, acting for Mr. Galambos, argued that the retainer for legal services was limited each time to the specific transaction at issue and ended with the close of each transaction. He argued, correctly, that not all of a solicitor's duties to a client survive once the retainer is completed. The duties a solicitor owes to an existing client are broader than the more limited duty of confidentiality owed to former clients. He contended that the broad duties of commitment to a client's cause and of placing the interests of the client ahead of one's own do not survive the end of the solicitor-client relationship: </w:t>
      </w:r>
      <w:r>
        <w:rPr>
          <w:rFonts w:ascii="arial" w:eastAsia="arial" w:hAnsi="arial" w:cs="arial"/>
          <w:b/>
          <w:i/>
          <w:color w:val="000000"/>
          <w:sz w:val="20"/>
          <w:lang w:val="en-US" w:eastAsia="en-US" w:bidi="ar-SA"/>
        </w:rPr>
        <w:t>Bolkiah (Prince Jefri) v. KPMG (A Firm)</w:t>
      </w:r>
      <w:r>
        <w:rPr>
          <w:rFonts w:ascii="arial" w:eastAsia="arial" w:hAnsi="arial" w:cs="arial"/>
          <w:color w:val="000000"/>
          <w:sz w:val="20"/>
          <w:lang w:val="en-US" w:eastAsia="en-US" w:bidi="ar-SA"/>
        </w:rPr>
        <w:t>, [1999] 1 All E.R. 517, [1999] 2 A.C. 222 at [paragraph] 39 (H.L. per Lord Millett).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Thus, the essential question for this litigation concerns the nature of the solicitor-client relationship that was established in June 2002: was it a continuing relationship such that Mrs. Perez remained a current client of the firm entitled to the full panoply of protective duties, or was it transaction-based, existing only during the term of three discrete retainers?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scope of a retainer must be viewed from the perspective of the parties at the time and not with hindsight: </w:t>
      </w:r>
      <w:r>
        <w:rPr>
          <w:rFonts w:ascii="arial" w:eastAsia="arial" w:hAnsi="arial" w:cs="arial"/>
          <w:b/>
          <w:i/>
          <w:color w:val="000000"/>
          <w:sz w:val="20"/>
          <w:lang w:val="en-US" w:eastAsia="en-US" w:bidi="ar-SA"/>
        </w:rPr>
        <w:t>Lampropoulos v. Pyrgos</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[1992] B.C.J. No. 695</w:t>
        </w:r>
      </w:hyperlink>
      <w:r>
        <w:rPr>
          <w:rFonts w:ascii="arial" w:eastAsia="arial" w:hAnsi="arial" w:cs="arial"/>
          <w:color w:val="000000"/>
          <w:sz w:val="20"/>
          <w:lang w:val="en-US" w:eastAsia="en-US" w:bidi="ar-SA"/>
        </w:rPr>
        <w:t xml:space="preserve">. However, the court must keep in mind the words of Oliver J. in </w:t>
      </w:r>
      <w:r>
        <w:rPr>
          <w:rFonts w:ascii="arial" w:eastAsia="arial" w:hAnsi="arial" w:cs="arial"/>
          <w:b/>
          <w:i/>
          <w:color w:val="000000"/>
          <w:sz w:val="20"/>
          <w:lang w:val="en-US" w:eastAsia="en-US" w:bidi="ar-SA"/>
        </w:rPr>
        <w:t>Midland Bank Trust Co. Ltd. v. Hett, Stubbs &amp; Kemp</w:t>
      </w:r>
      <w:r>
        <w:rPr>
          <w:rFonts w:ascii="arial" w:eastAsia="arial" w:hAnsi="arial" w:cs="arial"/>
          <w:color w:val="000000"/>
          <w:sz w:val="20"/>
          <w:lang w:val="en-US" w:eastAsia="en-US" w:bidi="ar-SA"/>
        </w:rPr>
        <w:t xml:space="preserve">, [1978] 3 All E.R. 571 at p. 583, cited with approval in </w:t>
      </w:r>
      <w:r>
        <w:rPr>
          <w:rFonts w:ascii="arial" w:eastAsia="arial" w:hAnsi="arial" w:cs="arial"/>
          <w:b/>
          <w:i/>
          <w:color w:val="000000"/>
          <w:sz w:val="20"/>
          <w:lang w:val="en-US" w:eastAsia="en-US" w:bidi="ar-SA"/>
        </w:rPr>
        <w:t>Central Trust Co. v. Rafuse et al.</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31 D.L.R. (4th) 481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such thing as a general retainer in that sense. The expression 'my solicitor' is as meaningless as the expression 'my tailor' or 'my bookmaker' as establishing any general duty apart from that arising out of a particular matter in which his services are retained. The extent of his duties depends on the terms and limits of that retainer and any duty of care to be implied must be related to what he is instructed to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Now no doubt the duties owed by a solicitor to his client are high, in the sense that he holds himself out as practising a highly skilled and exacting profession, but I think that the court must beware of imposing on solicitors, or on professional men in other spheres, duties which go beyond the scope of what they are requested and undertake to do. It may be that a particularly meticulous and conscientious practitioner would, in his client's general interests, take it on himself to pursue a line of enquiry beyond the strict limits comprehended by his instructions. But that is not the test. The test is what the reasonably competent practitioner would do having regard to the standards normally adopted in his profession, and cases such as </w:t>
      </w:r>
      <w:r>
        <w:rPr>
          <w:rFonts w:ascii="arial" w:eastAsia="arial" w:hAnsi="arial" w:cs="arial"/>
          <w:i/>
          <w:color w:val="000000"/>
          <w:sz w:val="20"/>
          <w:lang w:val="en-US" w:eastAsia="en-US" w:bidi="ar-SA"/>
        </w:rPr>
        <w:t>Duchess of Argyll v. Beuselinck, Griffiths v. Evans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Hall v. Meyrick</w:t>
      </w:r>
      <w:r>
        <w:rPr>
          <w:rFonts w:ascii="arial" w:eastAsia="arial" w:hAnsi="arial" w:cs="arial"/>
          <w:color w:val="000000"/>
          <w:sz w:val="20"/>
          <w:lang w:val="en-US" w:eastAsia="en-US" w:bidi="ar-SA"/>
        </w:rPr>
        <w:t xml:space="preserve"> demonstrate that the duty is directly related to the confines of the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Court of Appeal recently came to a similar conclusion in </w:t>
      </w:r>
      <w:r>
        <w:rPr>
          <w:rFonts w:ascii="arial" w:eastAsia="arial" w:hAnsi="arial" w:cs="arial"/>
          <w:b/>
          <w:i/>
          <w:color w:val="000000"/>
          <w:sz w:val="20"/>
          <w:lang w:val="en-US" w:eastAsia="en-US" w:bidi="ar-SA"/>
        </w:rPr>
        <w:t>3464920 Canada Inc. v. Strother</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(2005), 38 B.C.L.R. (4th) 159</w:t>
        </w:r>
      </w:hyperlink>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2005 BCCA 35</w:t>
        </w:r>
      </w:hyperlink>
      <w:r>
        <w:rPr>
          <w:rFonts w:ascii="arial" w:eastAsia="arial" w:hAnsi="arial" w:cs="arial"/>
          <w:color w:val="000000"/>
          <w:sz w:val="20"/>
          <w:lang w:val="en-US" w:eastAsia="en-US" w:bidi="ar-SA"/>
        </w:rPr>
        <w:t>, where at [paragraph] 21, the court acknowledged that "it would pose an intolerable burden' on solicitors if they were expected to offer advice on any matter that might affect their clients' interests, regardless of how remote the connection to the subject-matter of the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Mr. Armstrong relied on </w:t>
      </w:r>
      <w:r>
        <w:rPr>
          <w:rFonts w:ascii="arial" w:eastAsia="arial" w:hAnsi="arial" w:cs="arial"/>
          <w:b/>
          <w:i/>
          <w:color w:val="000000"/>
          <w:sz w:val="20"/>
          <w:lang w:val="en-US" w:eastAsia="en-US" w:bidi="ar-SA"/>
        </w:rPr>
        <w:t>Fanaras Enters v. Doane</w:t>
      </w:r>
      <w:r>
        <w:rPr>
          <w:rFonts w:ascii="arial" w:eastAsia="arial" w:hAnsi="arial" w:cs="arial"/>
          <w:color w:val="000000"/>
          <w:sz w:val="20"/>
          <w:lang w:val="en-US" w:eastAsia="en-US" w:bidi="ar-SA"/>
        </w:rPr>
        <w:t>, 423 Mass. 121, 666 N.E. (2d) 1003, a case of the Supreme Judicial Court of Massachusetts with facts quite similar to this case in that it involved allegations of breach of duty arising from a loan to a lawyer who subsequently declared bankruptcy. Despite the fact that, at all material times, the lender was a client on retainer with the defendant lawyer, the court found that it was "not enough that, with respect to other matters, the parties were in an attorney-client relationship." The duties arising from the attorney-client relationship did not extend to the loan transaction. While I am certainly not bound to follow a case from Massachusetts, I find that that reasoning applies in the present case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the whole, the evidence indicates that Mrs. Perez retained Galambos &amp; Company for three specific legal purposes: to obtain a new will and to complete two mortgage transactions. Aside from those, Mrs. Perez's only relationship with the firm was as an employee and a creditor. There was, at the time these services were performed, no commitment of the firm to provide Mrs. Perez with any legal service in the future. There is no evidence that Mrs. Perez consulted anyone in the firm for legal advice on any matter outside the confines of the three specific transactions. In particular, there is no evidence that she ever asked Mr. Galambos or another lawyer at the firm to advise her about the loans or about her financial circumstances generally. On the contrary, she made some advances on her own initiative without telling Mr. Galambos beforehand.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circumstances, I find that each retainer was separate, distinct, and limited to the specific services Mrs. Perez requested. As a result, Mrs. Perez was not a client at any of the times when she made loans to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That finding, however, does not end the matter. Mr. Holmes argued that because the firm owed money to Mrs. Perez at the time it provided those legal services, the firm was in a conflict of interest and owed a duty of disclosure to her and to advise her to seek independent legal advice: </w:t>
      </w:r>
      <w:r>
        <w:rPr>
          <w:rFonts w:ascii="arial" w:eastAsia="arial" w:hAnsi="arial" w:cs="arial"/>
          <w:b/>
          <w:i/>
          <w:color w:val="000000"/>
          <w:sz w:val="20"/>
          <w:lang w:val="en-US" w:eastAsia="en-US" w:bidi="ar-SA"/>
        </w:rPr>
        <w:t>Davey v. Wooley, Hames, Dale &amp; Dingwall et al.</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(1982), 35 O.R. (2d) 599</w:t>
        </w:r>
      </w:hyperlink>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133 D.L.R. (3d) 647</w:t>
        </w:r>
      </w:hyperlink>
      <w:r>
        <w:rPr>
          <w:rFonts w:ascii="arial" w:eastAsia="arial" w:hAnsi="arial" w:cs="arial"/>
          <w:color w:val="000000"/>
          <w:sz w:val="20"/>
          <w:lang w:val="en-US" w:eastAsia="en-US" w:bidi="ar-SA"/>
        </w:rPr>
        <w:t>. Mr. Holmes suggested that the conflict of interest with respect to Mrs. Perez was acute because the lawyers who performed the will and mortgage services needed to know the state of Mrs. Perez's finances in order to advise her properly. The evidence did not establish that this was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Court of Appeal in </w:t>
      </w:r>
      <w:r>
        <w:rPr>
          <w:rFonts w:ascii="arial" w:eastAsia="arial" w:hAnsi="arial" w:cs="arial"/>
          <w:b/>
          <w:i/>
          <w:color w:val="000000"/>
          <w:sz w:val="20"/>
          <w:lang w:val="en-US" w:eastAsia="en-US" w:bidi="ar-SA"/>
        </w:rPr>
        <w:t>Strother</w:t>
      </w:r>
      <w:r>
        <w:rPr>
          <w:rFonts w:ascii="arial" w:eastAsia="arial" w:hAnsi="arial" w:cs="arial"/>
          <w:color w:val="000000"/>
          <w:sz w:val="20"/>
          <w:lang w:val="en-US" w:eastAsia="en-US" w:bidi="ar-SA"/>
        </w:rPr>
        <w:t xml:space="preserve"> at [paragraph] 21 emphasized that a conflict of interest must always be disclosed and requires the lawyer to withdraw </w:t>
      </w:r>
      <w:r>
        <w:rPr>
          <w:rFonts w:ascii="arial" w:eastAsia="arial" w:hAnsi="arial" w:cs="arial"/>
          <w:i/>
          <w:color w:val="000000"/>
          <w:sz w:val="20"/>
          <w:lang w:val="en-US" w:eastAsia="en-US" w:bidi="ar-SA"/>
        </w:rPr>
        <w:t>unless</w:t>
      </w:r>
      <w:r>
        <w:rPr>
          <w:rFonts w:ascii="arial" w:eastAsia="arial" w:hAnsi="arial" w:cs="arial"/>
          <w:color w:val="000000"/>
          <w:sz w:val="20"/>
          <w:lang w:val="en-US" w:eastAsia="en-US" w:bidi="ar-SA"/>
        </w:rPr>
        <w:t xml:space="preserve"> the client gives an informed consent. Because the defendants failed in these duties, Mr. Holmes submitted that they should be liable for her whole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answer to that argument is that the firm was not acting as her lawyer regarding the loans. The conflict to be avoided was in respect of the legal services (the will etc.). Mrs. Perez has no complaint relating to any of the legal services or advice that the firm provided. Those transactions did not leave her disadvantaged in any way.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Fiduciary Duty Arising Outside the Solicitor-Client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some circumstances, a lawyer may stand as a fiduciary to someone who is not a client: </w:t>
      </w:r>
      <w:r>
        <w:rPr>
          <w:rFonts w:ascii="arial" w:eastAsia="arial" w:hAnsi="arial" w:cs="arial"/>
          <w:b/>
          <w:i/>
          <w:color w:val="000000"/>
          <w:sz w:val="20"/>
          <w:lang w:val="en-US" w:eastAsia="en-US" w:bidi="ar-SA"/>
        </w:rPr>
        <w:t>Clarence Construction Ltd. v. Lavalee</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(1980), 111 D.L.R. (3d) 582</w:t>
        </w:r>
      </w:hyperlink>
      <w:r>
        <w:rPr>
          <w:rFonts w:ascii="arial" w:eastAsia="arial" w:hAnsi="arial" w:cs="arial"/>
          <w:color w:val="000000"/>
          <w:sz w:val="20"/>
          <w:lang w:val="en-US" w:eastAsia="en-US" w:bidi="ar-SA"/>
        </w:rPr>
        <w:t xml:space="preserve"> (S.C.), aff'd </w:t>
      </w:r>
      <w:hyperlink r:id="rId565" w:history="1">
        <w:r>
          <w:rPr>
            <w:rFonts w:ascii="arial" w:eastAsia="arial" w:hAnsi="arial" w:cs="arial"/>
            <w:i/>
            <w:color w:val="0077CC"/>
            <w:sz w:val="20"/>
            <w:u w:val="single"/>
            <w:shd w:val="clear" w:color="auto" w:fill="FFFFFF"/>
            <w:lang w:val="en-US" w:eastAsia="en-US" w:bidi="ar-SA"/>
          </w:rPr>
          <w:t>132 D.L.R. (3d) 153</w:t>
        </w:r>
      </w:hyperlink>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[1982] 2 W.W.R. 760</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Cavallin v. King</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(1984), 51 B.C.L.R. 149</w:t>
        </w:r>
      </w:hyperlink>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[1984] B.C.J. No. 2820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97 B.C.L.R. (2d) 1</w:t>
        </w:r>
      </w:hyperlink>
      <w:r>
        <w:rPr>
          <w:rFonts w:ascii="arial" w:eastAsia="arial" w:hAnsi="arial" w:cs="arial"/>
          <w:color w:val="000000"/>
          <w:sz w:val="20"/>
          <w:lang w:val="en-US" w:eastAsia="en-US" w:bidi="ar-SA"/>
        </w:rPr>
        <w:t>, the Supreme Court of Canada affirmed that these non-traditional fiduciary relationships can be recognized by the following characteristics: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power or discretion can be exercised unilaterally so as to affect the beneficiary's legal or practical interests;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has a peculiar vulnerability to the exercise of that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p. 136, </w:t>
      </w:r>
      <w:hyperlink r:id="rId568" w:history="1">
        <w:r>
          <w:rPr>
            <w:rFonts w:ascii="arial" w:eastAsia="arial" w:hAnsi="arial" w:cs="arial"/>
            <w:i/>
            <w:color w:val="0077CC"/>
            <w:sz w:val="20"/>
            <w:u w:val="single"/>
            <w:shd w:val="clear" w:color="auto" w:fill="FFFFFF"/>
            <w:lang w:val="en-US" w:eastAsia="en-US" w:bidi="ar-SA"/>
          </w:rPr>
          <w:t>42 D.L.R. (4th) 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Wilson J. in dissent; </w:t>
      </w:r>
      <w:r>
        <w:rPr>
          <w:rFonts w:ascii="arial" w:eastAsia="arial" w:hAnsi="arial" w:cs="arial"/>
          <w:b/>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at p. 599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 and p. 646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 Forest J., </w:t>
      </w:r>
      <w:hyperlink r:id="rId569" w:history="1">
        <w:r>
          <w:rPr>
            <w:rFonts w:ascii="arial" w:eastAsia="arial" w:hAnsi="arial" w:cs="arial"/>
            <w:i/>
            <w:color w:val="0077CC"/>
            <w:sz w:val="20"/>
            <w:u w:val="single"/>
            <w:shd w:val="clear" w:color="auto" w:fill="FFFFFF"/>
            <w:lang w:val="en-US" w:eastAsia="en-US" w:bidi="ar-SA"/>
          </w:rPr>
          <w:t>61 D.L.R. (4th) 14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Lindner v. Williams</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[2004] B.C.J. No. 871</w:t>
        </w:r>
      </w:hyperlink>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2004 BCCA 243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These cases indicate that the primary characteristic of a fiduciary relationship is the surrender to the fiduciary of the power to make decisions. In return for such confidence, the fiduciary must agree to act only in the beneficiary's best interests. As the court explained in </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"outside the established categories, what is required is evidence of a mutual understanding that one party has relinquished its own self-interest and agreed to act solely on behalf of the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the present case, Mr. Galambos was the boss, of course, and an educated and assertive gentleman who was, at least in the earlier stages of his relationship with Mrs. Perez, seemingly rather successful. There seems to have been mutual admiration between them, and clearly Mrs. Perez was impressed with him and admired, respected, and trusted him. In </w:t>
      </w:r>
      <w:r>
        <w:rPr>
          <w:rFonts w:ascii="arial" w:eastAsia="arial" w:hAnsi="arial" w:cs="arial"/>
          <w:b/>
          <w:i/>
          <w:color w:val="000000"/>
          <w:sz w:val="20"/>
          <w:lang w:val="en-US" w:eastAsia="en-US" w:bidi="ar-SA"/>
        </w:rPr>
        <w:t>Lefebvre v. Gardiner</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(1988), 27 B.C.L.R. (2d) 294</w:t>
        </w:r>
      </w:hyperlink>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[1988] B.C.J. No. 1109</w:t>
        </w:r>
      </w:hyperlink>
      <w:r>
        <w:rPr>
          <w:rFonts w:ascii="arial" w:eastAsia="arial" w:hAnsi="arial" w:cs="arial"/>
          <w:color w:val="000000"/>
          <w:sz w:val="20"/>
          <w:lang w:val="en-US" w:eastAsia="en-US" w:bidi="ar-SA"/>
        </w:rPr>
        <w:t>, Huddart J. found that vulnerability stemming from admiration and respect of a lawyer was not sufficient to create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was submitted that Mrs. Perez was unsophisticated, but that was hardly so. She was well-educated, well-spoken, and well-experienced in dealing with successful, busy lawyers. She was very skilled and energetic at her work and was as knowledgeable, and probably more knowledgeable, than Mr. Galambos himself with respect to most aspects of his firm's financial affairs. She was reasonably well-off financially and was probably quite marketable for her skills within and without the legal community. She was not vulnerable due to their relative position, or her respect for Mr. Galambos.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evidence does not establish that Mrs. Perez relinquished her decision-making power with respect to the loans to Mr. Galambos or that there was any discretion over her interests that he was able to exercise unilaterally or otherwise. Aside from the limited retainers, their relationship was one of friendship between employer and employee, which gave rise to a creditor-debtor relationship.</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Mrs. Perez claimed that even in the absence of a contractual duty of care or a fiduciary duty, Mr. Galambos owed her a common law duty of care under straightforward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 because the proximity of their relationship was such that it was within reasonable contemplation that Mr. Galambos's carelessness could cause Mrs. Perez injury. She argued that in such a close relationship, and because Mr. Galambos was a lawyer, he had a duty to make it "abundantly clear" that he did not act in her interests or intend to assume a duty of care towards her: </w:t>
      </w:r>
      <w:r>
        <w:rPr>
          <w:rFonts w:ascii="arial" w:eastAsia="arial" w:hAnsi="arial" w:cs="arial"/>
          <w:b/>
          <w:i/>
          <w:color w:val="000000"/>
          <w:sz w:val="20"/>
          <w:lang w:val="en-US" w:eastAsia="en-US" w:bidi="ar-SA"/>
        </w:rPr>
        <w:t>Westward Floors Ltd. v. Stark</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[1995] B.C.J. No. 834</w:t>
        </w:r>
      </w:hyperlink>
      <w:r>
        <w:rPr>
          <w:rFonts w:ascii="arial" w:eastAsia="arial" w:hAnsi="arial" w:cs="arial"/>
          <w:color w:val="000000"/>
          <w:sz w:val="20"/>
          <w:lang w:val="en-US" w:eastAsia="en-US" w:bidi="ar-SA"/>
        </w:rPr>
        <w:t xml:space="preserve"> at [paragraph]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support of her position, she cited many cases where solicitors have been found to have a duty of care to non-clients, including, in some circumstances, the opposing party in a legal matter. Mr. Holmes submitted that these cases demonstrate that a duty of care exists, that a failure to advise the party to obtain independent legal advice constitutes a breach of that duty, and that any loss arising from that failure is fully compensable as a result. </w:t>
      </w:r>
      <w:r>
        <w:rPr>
          <w:rFonts w:ascii="arial" w:eastAsia="arial" w:hAnsi="arial" w:cs="arial"/>
          <w:b/>
          <w:i/>
          <w:color w:val="000000"/>
          <w:sz w:val="20"/>
          <w:lang w:val="en-US" w:eastAsia="en-US" w:bidi="ar-SA"/>
        </w:rPr>
        <w:t>Granville Savings and Mortgage Corp. v. Slevin</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[1993] 4 S.C.R. 279</w:t>
        </w:r>
      </w:hyperlink>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108 D.L.R. (4th) 383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Clarence Construction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Marko v. Perry</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(1980), 18 B.C.L.R. 263</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[1980] 3 W.W.R. 565</w:t>
        </w:r>
      </w:hyperlink>
      <w:r>
        <w:rPr>
          <w:rFonts w:ascii="arial" w:eastAsia="arial" w:hAnsi="arial" w:cs="arial"/>
          <w:color w:val="000000"/>
          <w:sz w:val="20"/>
          <w:lang w:val="en-US" w:eastAsia="en-US" w:bidi="ar-SA"/>
        </w:rPr>
        <w:t xml:space="preserve"> (Co. Ct.); </w:t>
      </w:r>
      <w:r>
        <w:rPr>
          <w:rFonts w:ascii="arial" w:eastAsia="arial" w:hAnsi="arial" w:cs="arial"/>
          <w:b/>
          <w:i/>
          <w:color w:val="000000"/>
          <w:sz w:val="20"/>
          <w:lang w:val="en-US" w:eastAsia="en-US" w:bidi="ar-SA"/>
        </w:rPr>
        <w:t>Westward Floors Ltd. v. Stark</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Skender v. Barker</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(1989), 41 B.C.L.R. (2d) 227</w:t>
        </w:r>
      </w:hyperlink>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64 D.L.R. (4th) 17</w:t>
        </w:r>
      </w:hyperlink>
      <w:r>
        <w:rPr>
          <w:rFonts w:ascii="arial" w:eastAsia="arial" w:hAnsi="arial" w:cs="arial"/>
          <w:color w:val="000000"/>
          <w:sz w:val="20"/>
          <w:lang w:val="en-US" w:eastAsia="en-US" w:bidi="ar-SA"/>
        </w:rPr>
        <w:t xml:space="preserve"> (C.A.)</w:t>
      </w:r>
      <w:r>
        <w:rPr>
          <w:rFonts w:ascii="arial" w:eastAsia="arial" w:hAnsi="arial" w:cs="arial"/>
          <w:b/>
          <w:i/>
          <w:color w:val="000000"/>
          <w:sz w:val="20"/>
          <w:lang w:val="en-US" w:eastAsia="en-US" w:bidi="ar-SA"/>
        </w:rPr>
        <w:t>; Linsley et al. v. Kirstiuk et al</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(1986), 28 D.L.R. (4th) 495</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foregoing cases involve circumstances where the other party reasonably relied on the lawyer's professional advice and skill even though the lawyer was not acting for the person. This may arise where a former client misunderstands that the relationship has ended or where the lawyer takes some step seemingly to protect a third party's interests. The key question is whether the person relied reasonably on the advice or actions of the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Huddart J. explained in </w:t>
      </w:r>
      <w:r>
        <w:rPr>
          <w:rFonts w:ascii="arial" w:eastAsia="arial" w:hAnsi="arial" w:cs="arial"/>
          <w:b/>
          <w:i/>
          <w:color w:val="000000"/>
          <w:sz w:val="20"/>
          <w:lang w:val="en-US" w:eastAsia="en-US" w:bidi="ar-SA"/>
        </w:rPr>
        <w:t>Lefebvre v. Gardiner</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mere proximity to a loss does not create a legal duty, even for a lawyer or other professional: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Professional qualification or skill without more does not bring with it to a person any greater legal duty than that every person bears in every dealing with another: the duty to be honest. Thus, a lawyer is not under any duty to warn or to advise every one with whom he comes into contact by reason alone of his status as a lawyer. Before a court may impose such a positive duty of care on a lawyer it must find a sufficient relationship between the lawyer and the person with whom he is dealing to require the Court's intervention. Historically, the common law has recognized the solicitor/client relationship and other fiduciary relationships as imposing a positive duty. It also recognizes a special duty in a relationship arising from reliance as set out in </w:t>
      </w:r>
      <w:r>
        <w:rPr>
          <w:rFonts w:ascii="arial" w:eastAsia="arial" w:hAnsi="arial" w:cs="arial"/>
          <w:i/>
          <w:color w:val="000000"/>
          <w:sz w:val="20"/>
          <w:lang w:val="en-US" w:eastAsia="en-US" w:bidi="ar-SA"/>
        </w:rPr>
        <w:t>Hedley Byrne &amp; Co. v. Heller &amp; Partners</w:t>
      </w:r>
      <w:r>
        <w:rPr>
          <w:rFonts w:ascii="arial" w:eastAsia="arial" w:hAnsi="arial" w:cs="arial"/>
          <w:color w:val="000000"/>
          <w:sz w:val="20"/>
          <w:lang w:val="en-US" w:eastAsia="en-US" w:bidi="ar-SA"/>
        </w:rPr>
        <w:t xml:space="preserve"> [1964] A.C. 465, [1963] 2 All E.R. 575.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this case, there is no evidence, or even any suggestion, that Mr. Galambos was negligent in handling his firm's business, or that he owed Mrs. Perez any special duty in that respect. Nor is there any evidence that he made a promise or representation to Mrs. Perez that the firm was in no danger. The only advice alleged was the repeated assurance by Mr. Galambos that things would turn around. In the first place, that statement, if it was made, was not a representation of fact; it was an expression of hope and a forlorn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Alternatively, if she relied on such a general statement, it was unreasonable of her. A reasonable person in her position would not have relied on it, given especially her personal knowledge of the state of Mr. Galambos's financial affairs. She probably had more knowledge than 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any event, I do not accept that she did, indeed, rely simply on these alleged statements of Mr. Galambos. At the time of most of the advances, Mrs. Perez knew the truth about the firm. The firm's financial circumstances were not improving, the influx of new legal work was speculative, and the potential for large amounts of contingency fees was exaggerated. She knew that Mr. Galambos had been forced to reduce his draw, re-mortgage his personal condominium, and cash his RRSP to help support the firm. It seems to me that both Mr. Galambos and Mrs. Perez shared a hope for better times to come and blinded themselves to the true situation.</w:t>
      </w:r>
      <w:r>
        <w:rPr>
          <w:rFonts w:ascii="arial" w:eastAsia="arial" w:hAnsi="arial" w:cs="arial"/>
          <w:sz w:val="20"/>
          <w:lang w:val="en-US" w:eastAsia="en-US" w:bidi="ar-SA"/>
        </w:rPr>
        <w:cr/>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Allegation of coercion and undue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Mrs. Perez argued that the power dynamics of their relationship were such that she "was simply unable to refuse" the requests for loans. For the reasons set out above, however, I am unable to find that Mrs. Perez was vulnerable to such an extent. There was never any suggestion that her employment evaluations or prospects would be affected in any way by these loans or by a refusal to advance funds to the firm. Mrs. Perez herself testified that Mr. Galambos would simply tell her to "do something" when she advised him of problems with the cash flow. I am unpersuaded on a balance of probabilities that she construed those words or could reasonably have construed them as pressure on her to loan her personal funds. This is especially unlikely since there were occasions when she admits she advanced funds without any solicitation.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If Mr. Galambos broke down in tears and requested a loan from his employee, that could be considered a coercive circumstance. However, I do not accept that version of events. To react that way with a fairly new employee without first seeing if the bank would extend the firm's credit temporarily seems implausible to me. There was no particular reason as of early January 2002 for Mr. Galambos to be depressed or in tears. He was a year older than Mrs. Perez, single, involved in his work, and showed no evidence of instability. The firm was not in bad shape at the time. The overdraft problem was not new-the firm's $220,000 credit limit had been overdrawn in the past by over $80,000-but that problem had always been manageable. While the firm's work for the DOJ may have begun to decline, Mr. Galambos was positive about refocusing his practice on other areas of law, and there was no indication at that time that this transition would not be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An odd aspect of this situation is the wording of the letter to her bank that Mr. Galambos gave Mrs. Perez as an assurance of her income, allegedly in support of the $40,000 financing in January 2002. It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confirm that Estela Perez is employed by Galambos &amp; Company. She commenced work with my firm on May 29, 2001. Mrs. Perez advises me that, to assess her insurability, it is necessary for you to know her approximate gross annual income. I confirm that Mrs. Perez' gross annual income is $45,000.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you have any questions, please do not hesitate to contact the undersigned.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Holmes, counsel for the plaintiff, raised several points that, in his submission, reflected very poorly on Mr. Galambos's credibility. He argued that, if Mrs. Perez was not asked for the loan, it is odd that she would not follow the past practice of calling the bank before taking on the risk of giving the firm a personal loan. He noted Mr. Galambos's readiness to falsify Mrs. Perez's salary in the letter to the bank, increasing it by $5,000. He argued that the word "insurability" in the letter to the bank was not a word that Mrs. Perez understood at the time. He pointed to Mr. Galambos's admission that he asked Mrs. Perez to keep her loan confidential from the other lawyers in the firm and from third parties. Finally, he pointed to the fact that despite Mr. Galambos's testimony that he had tendered to Mrs. Perez a mortgage for what was owed to her, which she refused to sign, he did not produce any such document. I have considered all of this and other evidence relating to Mr. Galambos's credibility. His explanations were not all perfectly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on those same and other issues, I find that the evidence of Mrs. Perez was not perfectly reliable either. Neither of the parties was a model of recall and candour. Mrs. Perez testified that Mr. Galambos prepared the letter to her bank. Mr. Galambos said that he did not compose the letter. He said he probably signed it without reading it carefully, and he has no explanation for the use of the word "insurability". I doubt that Mrs. Perez, with all of her past personal and professional experience, did not know what it meant. I am left with some uncertainty as to who prepared this letter and whether it was for this transaction with Mr. Galambos or some other transaction possibly related to her husband's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also puzzled that when the parties allegedly discussed the matter, there appears to have been no mention of how much to borrow or how the loan would be repaid and at what interest rate. Mrs. Perez does not allege any such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Also, Mrs. Perez testified that she advised Mr. Galambos that she would not tell her husband about the loans. At trial, she said she still hadn't told him. Mrs. Perez admitted that Mr. Galambos told her to reimburse herself later in the month, but she didn't do so despite his instruction and despite opportunities to do so. She never provided him with an accounting of what the firm owed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end, on a balance of probabilities, I am unable to find that Mr. Galambos asked Mrs. Perez for the $40,000, or that he knew about it until some several days later in the month of January 2002. I find that, without being asked, Mrs. Perez voluntarily made the several further advances, many of which were made without informing Mr. Galambos in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fair to say that, in a passive way, Mr. Galambos exploited Mrs Perez's good nature. However, although it is truly strange, she appears to have extended the loans voluntarily and much on her own initiative.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was no evidence of other emotional episodes or of any efforts on Mr. Galambos's part to impose his will over Mrs. Perez, to convince her to act against her wishes, to appeal to her sympathy, or to cultivate hero-worship or subservience on her part. In the circumstances, I can find no evidence of undue influence, or unconscionability.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unfortunate that Mrs. Perez's support for Mr. Galambos created a large debt that proved to be irrecoverable. However, nothing in this case establishes a breach of any duty owed by Mr. Galambos or his firm beyond his default as a debtor.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action for damages in tort,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fiduciary duty, and in contract for breach of professional obligations,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will have their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RICE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7"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Petersen v. Proline Management Ltd., [2007] B.C.J. No. 1210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10 - 11,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04-3820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2007 BCSC 790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74 B.C.L.R. (4th) 183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2007 CarswellBC 1280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158 A.C.W.S. (3d) 666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Irene Rose Petersen, Plaintiff, and Proline Management Ltd. and The Owners Strata Plan VIS 845,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8"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1" w:name="Keywords_21"/>
      <w:bookmarkEnd w:id="23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Fiduciary duty — Action by plaintiff for injuries suffered when she fell over 26-inch wall at edge of patio outside her condominium — Plaintiff sued owners and property manager for breach of fiduciary duty — Action dismissed — No fiduciary duty owed by defendants to plaintiff to see that safety of her balcony railing was investigated and dealt with — If there had been a fiduciary duty owed to plaintiff, and if it had been breached, plaintiff would have been 50 per cent liable for injuries suffered due to being drunk at time of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2" w:name="Case Summary_20"/>
            <w:bookmarkEnd w:id="2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injuries suffered in fall -- Plaintiff fell over 26-inch wall at edge of patio outside her condominium -- Plaintiff sustained serious injuries as she fell into stairwell behind patio wall -- Prior to fall, plaintiff had become aware of danger and had contacted management company to complain about danger posed by combination of low retaining wall and open stairwell -- Neither owners nor management company took any action to remedy situation -- Plaintiff sued owners and property manager for breach of fiduciary duty -- At time of accident, plaintiff, a binge drinker, was significantly intoxicated -- HELD: Action dismissed -- No fiduciary duty owed by defendants to plaintiff to see that safety of her balcony railing was investigated and dealt with -- Unclear that plaintiff was prevented by bylaws from doing necessary work herself -- Even if she were, plaintiff could have sought compliance from the defendants, to effect the work, by action or threat of action -- Based on review of respective obligations set out in bylaws, not clear there was a significant imbalance in power of each of the parties -- If there had been a fiduciary duty owed to plaintiff, and if it had been breached, breach was a contributing cause of injuries suffered by plaintiff in her fall into the stairwell -- Plaintiff's fault contributed 50 per cent to her damage or loss.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3" w:name="Counsel_22"/>
      <w:bookmarkEnd w:id="2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9"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Margetts,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 Carfra.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4" w:name="Judgment_22"/>
      <w:bookmarkEnd w:id="234"/>
      <w:r>
        <w:pict>
          <v:line id="_x0000_s1140" style="position:absolute;z-index:2517841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5" w:name="JOHNSTON J."/>
            <w:bookmarkEnd w:id="235"/>
            <w:r>
              <w:rPr>
                <w:rFonts w:ascii="arial" w:eastAsia="arial" w:hAnsi="arial" w:cs="arial"/>
                <w:b/>
                <w:color w:val="000000"/>
                <w:sz w:val="30"/>
                <w:lang w:val="en-US" w:eastAsia="en-US" w:bidi="ar-SA"/>
              </w:rPr>
              <w:t>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early afternoon on August 4, 1998, the plaintiff fell over a 26-inch wall at the edge of the patio outside her condominium. The wall rose just 26 inches from the patio on one side, but fell some 13 feet into a concrete stairwell, on the other side. The plaintiff suffered serious injuries in the fall. This trial concerns liability only, with damages to be assessed later if the defendants are found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September 10, 2004 the plaintiff sued a number of defendants for damages caused in her fall. She was unrepresented when the writ of summons and statement of claim were drafted and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On June 2, 2005 the plaintiff's claims for damages in respect of injury to her person, including economic loss arising from the injury, whether based on contract or tort, were dismissed by order of Melvin J. against all defendants because they were barred by s. 3(2)(a)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By the same order the plaintiff was granted leave to amend her statement of claim to plead, as against The Owners Strata Plan VIS 845 (hereinafter "Owners") and Proline Management Ltd. (hereinafter "Proline"), that their breach of fiduciary duty caused her the damage and loss of which she complained. Proline was and is a professional property management firm contracted to provide management services to the Owners. The amendment was allowed without prejudice to the ability of those defendants to plead and argue that the claims based on breach of fiduciary duty were also barred by operation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Very shortly thereafter the plaintiff's action was either discontinued or dismissed by consent against the defendants, the Corporation of the District of Saanich and a construction company. I gather that claims against two other corporate defendants will not proceed, although no documents formally discontinuing or dismissing those claims appear in the trial record. In any event, this trial proceeded on the basis that the only claims remaining are those against the Owners and its property manager, Proline, founded on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to be decided are:</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owe the plaintiff a fiduciary duty?</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they did, are claims for breach of that duty barred by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fiduciary duty were owed, was it breached by the defendants?</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fiduciary duty were owed and breached, did the breach cause or contribute to injuries and losses suffered by the plaintiff?</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fiduciary duty were owed and breached and injuries were caused, are any losses suffered by the plaintiff subject to contribution by reason of her failure to take care for her own safety?</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contribution is appropriate, what is the proportionate responsibility of the plaintiff and the defendants for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relevant facts can be briefly stated. In late spring 1997 the plaintiff and her then husband, who were looking to buy a condominium, toured strata Unit 203 in a building known as Cedar Shores, part of a strata complex owned by the defendant Owners. Unit 203 is a ground floor unit. On that occasion the plaintiff looked out onto the patio attached to Unit 203 but did not go out onto the patio to inspect it closely.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the plaintiff completed the purchase and moved into Unit 203, she went out onto the patio and noted that, immediately beyond a low (26 inch high) retaining wall, there was an open concrete stairwell and not the grassy area she expected. The bottom of the stairwell was some 13 feet below the top of the retaining wall which bordered her patio. The plaintiff was sufficiently concerned with the risks she perceived from this situation that she would not permit any guest visiting her strata unit to go out onto the patio, and she locked the patio door when she had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says that very soon thereafter she began to telephone the defendant Proline to complain about the dangers she perceived from the combination of the low retaining wall and open stairwell. The plaintiff says she telephoned daily for two weeks and thereafter every second day or thereabouts. She says she never got beyond leaving a message with a receptionist and that no one from Proline ever responded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November 6, 1997, the plaintiff wrote to Proline and drew its attention to the apparent risk created by the low wall and open stairwell. She also enclosed photographs illustrating those risks. Proline responded in writing on November 12, 1997, saying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height [of the retaining wall] is only 26" it seems possible that this may not meet current building code requirements. We will be contacting the Saanich Building Inspection Department to ascertain if the area meets building code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Proline's letter ended with the promise that Proline would be in touch with the plaintiff once it had discussed the matter with Saanich and with the defendant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matter was taken by Proline to the strata council at its next meeting on November 17, 1997 and the minutes show that Proline was instructed: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deal with the issue and to agree with whatever terms are necessary to remedy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same time the plaintiff was also complaining to the strata council about an unacceptable level of noise coming from the unit immediately above hers. The plaintiff hired a solicitor to assist her with that complaint, and the solicitor wrote to the strata council on her behalf. This complaint was the subject of discussion at strata council meetings and Proline communicated with the lawyer on behalf of the strata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December 3, 1997 the plaintiff wrote to Proline complaining again about the noise from the suite above and enclosing a log of occasions where she said the sound was unacceptable. On December 15, 1997 Proline responded to the plaintiff directly in a letter saying that fines had been levied against the offending unit owner. Proline's letter goes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subject of your patio, I have not yet had the building inspector there -- I will let you know once he has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matter relating to the safety of the plaintiff's patio was raised, discussed and deferred at meetings of the strata council on January 6, 1998, February 24, 1998, and April 16, 1998. Minutes from each meeting noted that the issue was carried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that time nothing was done by either defendant to further investigate or correct any defect in the plaintiff's patio railing.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April 27, 1998 the plaintiff wrote to Proline and complained about inaction with respect to her patio railing. On May 19th Mr. Spurling, on behalf of Proline, replied in writing to the plaintiff, and informed her that he had called the building inspector and hoped that the matter could be resolved shortly. He apologised for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Spurling had telephoned the Saanich Municipal Building Inspection department after the plaintiff's April 27, 1998 letter, and was told that a 42 inch railing was required by the Building Code. Mr. Spurling took that information to the strata council at its meeting of May 27, 1998, and the minutes from the meeting recorded that Proline would arrange to have a 42 inch railing installed. The plaintiff was informed of that decision by letter from Proline dated May 28,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Proline attempted to have a contractor, who was already on site working on balcony railings, deal with this problem, but that contractor declined to become involved. Proline then delegated the matter to the on-site caretaker. Proline instructed the caretaker to find a handyman or someone else willing and able to correct the safety defect with respect to the plaintiff's balcony.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That work had not been done by August 4, 1998, when the plaintiff fell off her patio into the stairwell suffering the injuries briefly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work was done after the plaintiff fell and an invoice in the amount of $552.76, dated September 10, 1998, was received by Proline on September 17, 1998 and duly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Facts upon which the parties agreed for the purpose of trial include: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for some 25 years prior to her accident, the plaintiff had been a binge drinker of alcohol;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fact was not known to either of the defendants before the plaintiff fell;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recalls nothing in the events of August 4, 1998 other than that she was alone and binge drinking;</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does not know what she drank that day or in what quantity;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analysis of a sample of the plaintiff's blood, drawn at hospital shortly after she was admitted, showed an equivalent of 292 mg. of alcohol in 100 ml. of blood at 2:45 p.m., on August 4th, which is when the plaintiff was found unconscious in the stairwell.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Caroline Kirkwood, qualified as an expert in the effects of alcohol on driving skills and behaviour, as well as the calculation of blood alcohol level, gave an uncontested opinion that at 292 mg. of alcohol in 100 ml. of blood, virtually all of the general population would exhibit symptoms of impairment that would be apparent to a casual observer. Ms. Kirkwood also described effects of that proportion of alcohol on vision, including reduced distance judgement, reduced speed judgement and reduced depth perception. Double vision is also a possibility at that level of alcohol. Ms. Kirkwood said that reduced inhibitions can be expected as could a reduced ability to perceive danger from the surrounding environment. In general, and as conceded by plaintiff's counsel, a blood alcohol content of 292 mg. of alcohol in 100 ml. of blood would make an ordinary person significantly impaired by alcohol and, regardless of an individual's tolerance to alcohol, would impair vision, reaction time, fine motor control, coordination and judgement.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Did the defendants owe the plaintiff a fiduciary duty?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Carfra, acting for both defendants, agreed that for all purposes relating to this action the defendants could be treated as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Whether fiduciary obligations arise between parties is determined by the relationship between them rather than the status or occupation of the one against whom fiduciary obligations are alleged: see </w:t>
      </w:r>
      <w:r>
        <w:rPr>
          <w:rFonts w:ascii="arial" w:eastAsia="arial" w:hAnsi="arial" w:cs="arial"/>
          <w:b/>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circumstances such as are present here, where the alleged fiduciary duties do not spring from a relationship of the kind normally giving rise to such obligations, the nature of the relationship is often evaluated against these three general characteristics set out by Wilson J.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at 136:</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Here, the plaintiff argues that she could not modify the retaining wall separating her patio from the stairwell because it was common property and thus under the exclusive jurisdiction and control of the defendant Owners. The evidence was not clear, and counsel were unsure, whether the retaining wall and the railing were common property as opposed to part of the plaintiff's strata lot. I note that when the plaintiff complained of the risk, the defendants both appeared to have accepted that the obligation to investigate the safety of the retaining wall, and to effect whatever modifications or repairs were necessary to comply with the Building Code, lay with the defendant Owners. As well, Bylaw 1(3)(b) of the defendant Owners, which the plaintiff was bound to observe, placed the obligation for repair and maintenance of balcony railings on the defendant Owners. I find that, as between the plaintiff and the defendants, the defendants were responsible for the maintenance and safety of the retaining wall and the railing.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That does not make the responsibility exclusive. It is not clear from the bylaws that the plaintiff was directly prohibited from herself installing a railing on the retaining wall in order to bring it up to a height that would satisfy the Building Code. Bylaw 1(8) would appear to require written permission of the strata council before undertaking structural alterations to the exterior or structure of the plaintiff's strata lot, and provides that permission would not be unreasonably withheld. Other bylaws imposed on the Owners obligations such as: to control, manage and administer common property for the benefit of all owners; to keep in a state of good and serviceable repair, assets of the corporation; and to maintain and repair the exterior of the buildings (excluding patios). There was also a written policy permitting owners of strata units to enclose balconies on written request to the property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unclear from this whether the defendants or either of them had exclusive discretion or power to effect modifications to the plaintiff's patio or, conversely, that the plaintiff was entirely powerless to make her own arrangements to have the work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any event, both plaintiff and defendants proceeded as if the obligation to modify the plaintiff's patio fell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With respect to the criteria taken from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I note that Wilson J., by way of elaboration on the third point, said, at 137: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characteristic of relationships in which a fiduciary duty has been imposed is the element of vulnerability. This vulnerability arises from the inability of the beneficiary (despite his or her best efforts) to prevent the injurious exercise of the power or discretion combined with the grave inadequacy or absence of other legal or practical remedies to redress the wrongful exercise of the discretion or power.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As I have said it is not clear to me the plaintiff was prevented by the bylaws from doing the necessary work herself. Even if she were, the plaintiff could have sought compliance from the defendants, to effect the work, by action or threat of action. I note in this context that, concurrently with the plaintiff's complaint to the defendants over the state of her patio retaining wall which the plaintiff conducted on her own, the plaintiff retained counsel to make representations on her behalf over noise coming from the strata unit immediately above her, indicating that the plaintiff was willing and able to enlist competent professional assistance to assert her rights as an owner. I do not conclude that the plaintiff here was in such a vulnerable position as is suggested by the passage from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quoted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 argues that there were in this case elements of trust, loyalty and confidence existing in the relationship between the plaintiff and the defendant Owners sufficient to bring the relationship into the category of fiduciary relationships and distinguish it from a relationship solely giving rise to duties of care in tort or contract. The plaintiff argues that trust, loyalty and confidence arise out of a power-dependency relationship such as discussed by La Forest J. in </w:t>
      </w:r>
      <w:r>
        <w:rPr>
          <w:rFonts w:ascii="arial" w:eastAsia="arial" w:hAnsi="arial" w:cs="arial"/>
          <w:b/>
          <w:i/>
          <w:color w:val="000000"/>
          <w:sz w:val="20"/>
          <w:lang w:val="en-US" w:eastAsia="en-US" w:bidi="ar-SA"/>
        </w:rPr>
        <w:t>Hodgkinson v. Simms</w:t>
      </w:r>
      <w:r>
        <w:rPr>
          <w:rFonts w:ascii="arial" w:eastAsia="arial" w:hAnsi="arial" w:cs="arial"/>
          <w:color w:val="000000"/>
          <w:sz w:val="20"/>
          <w:lang w:val="en-US" w:eastAsia="en-US" w:bidi="ar-SA"/>
        </w:rPr>
        <w:t>. Based on my review of the respective obligations set out in the bylaws, it is not clear to me that, at least insofar as the plaintiff's retaining wall is concerned, there was a significant imbalance in the power of each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Another feature of fiduciary relationship has been that the party on whom another has relied for guidance or advice has obtained some benefit or advantage from the use or abuse of the reliance or position of advantage in his or her own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That is not a concept into which the facts of this case easily fit. While it might be alleged that the defendants gained some advantage by deferring the small expenditure needed to modify the plaintiff's balcony, such advantage, if indeed it were an advantage, accrued to all of the owners of which the plaintiff was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Hodgkinson v. Simms</w:t>
      </w:r>
      <w:r>
        <w:rPr>
          <w:rFonts w:ascii="arial" w:eastAsia="arial" w:hAnsi="arial" w:cs="arial"/>
          <w:color w:val="000000"/>
          <w:sz w:val="20"/>
          <w:lang w:val="en-US" w:eastAsia="en-US" w:bidi="ar-SA"/>
        </w:rPr>
        <w:t xml:space="preserve">, for example, the defendant accountant had derived some arguable advantage from representing or advising developers of projects in which the plaintiff invested. In </w:t>
      </w:r>
      <w:r>
        <w:rPr>
          <w:rFonts w:ascii="arial" w:eastAsia="arial" w:hAnsi="arial" w:cs="arial"/>
          <w:b/>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 xml:space="preserve">, it could be argued that an abuser took advantage of a fiduciary position for his own sexual gratification. A similar allegation could be made in </w:t>
      </w:r>
      <w:r>
        <w:rPr>
          <w:rFonts w:ascii="arial" w:eastAsia="arial" w:hAnsi="arial" w:cs="arial"/>
          <w:b/>
          <w:i/>
          <w:color w:val="000000"/>
          <w:sz w:val="20"/>
          <w:lang w:val="en-US" w:eastAsia="en-US" w:bidi="ar-SA"/>
        </w:rPr>
        <w:t>E.D.G. v. Hammer</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 theme running through many, if not all of the fiduciary cases, beginning with </w:t>
      </w:r>
      <w:r>
        <w:rPr>
          <w:rFonts w:ascii="arial" w:eastAsia="arial" w:hAnsi="arial" w:cs="arial"/>
          <w:b/>
          <w:i/>
          <w:color w:val="000000"/>
          <w:sz w:val="20"/>
          <w:lang w:val="en-US" w:eastAsia="en-US" w:bidi="ar-SA"/>
        </w:rPr>
        <w:t>Nocton v. Lord Ashburton</w:t>
      </w:r>
      <w:r>
        <w:rPr>
          <w:rFonts w:ascii="arial" w:eastAsia="arial" w:hAnsi="arial" w:cs="arial"/>
          <w:color w:val="000000"/>
          <w:sz w:val="20"/>
          <w:lang w:val="en-US" w:eastAsia="en-US" w:bidi="ar-SA"/>
        </w:rPr>
        <w:t>, [1914] A.C. 932 (H.L.), is that the defendant stood to gain something at the expense of someone to whom an obligation was owed or, at least in equity, ought to be owed. That feature I find is missing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on the facts of this case, and with respect to the safety of the plaintiff's balcony, that the relationship between the plaintiff and the defendants was not fiduciary, and that the defendants did not owe the plaintiff a fiduciary obligation to see that the safety of her balcony railing was investigated and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2.</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If a fiduciary duty were owed, is it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subject to a two year limitation?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commenced her action a little over six years and one month after she suffered her injury. The defendants concede that, if a six year limitation applies to the claim for breach of fiduciary obligation, the plaintiff was in time, presumably because the extent of her injuries postponed the commencement of the running of limitations for at least 37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Section 3(2)(a)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251"/>
        <w:gridCol w:w="521"/>
        <w:gridCol w:w="240"/>
        <w:gridCol w:w="677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After the expiration of 2 years after the date on which the right to do so arose a person may not bring any of the following actions: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(4)(k), for damages in respect of injury to person or property, including economic loss arising from the injury, whether based on contract, tort or statutory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Questions arising are whether the plaintiff's claims for breach of fiduciary duty are for "... damages in respect of injury to person ..." and, if they are, whether they are caught by s. 3(2)(a), which raises a secondary question, whether claims for breach of fiduciary duty are "... based on contract, tort or statutory duty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amended statement of claim in para. 10 pleads several sections of the </w:t>
      </w:r>
      <w:r>
        <w:rPr>
          <w:rFonts w:ascii="arial" w:eastAsia="arial" w:hAnsi="arial" w:cs="arial"/>
          <w:b/>
          <w:i/>
          <w:color w:val="000000"/>
          <w:sz w:val="20"/>
          <w:lang w:val="en-US" w:eastAsia="en-US" w:bidi="ar-SA"/>
        </w:rPr>
        <w:t>Condominium Act</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R.S.B.C. 1996, c. 64</w:t>
        </w:r>
      </w:hyperlink>
      <w:r>
        <w:rPr>
          <w:rFonts w:ascii="arial" w:eastAsia="arial" w:hAnsi="arial" w:cs="arial"/>
          <w:color w:val="000000"/>
          <w:sz w:val="20"/>
          <w:lang w:val="en-US" w:eastAsia="en-US" w:bidi="ar-SA"/>
        </w:rPr>
        <w:t>, as well as the bylaws of the defendant Owners. It is alleged that the Owners assumed responsibility for repair, completion and maintenance of balconies and railings by the bylaws and by reason of that as well as the course of conduct between the plaintiff and the defendant Proline, these defendants owed to the plaintiff a fiduciary duty "... to undertake the completion and maintenance of the balcony and railing immediately adjacent to the strata unit owned and occupied by the Plaintiff (the "Balcony")."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Paragraph 10 goes on to allege that these defendants "... in breach of their aforementioned fiduciary duty owed to the Plaintiff, failed to properly complete and maintain the Balcony" and that failure "... caused damage and loss to the Plaintiff as hereinbefore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para. 81 of the statement of claim the plaintiff alleges that she has suffered various losses including loss of enjoyment, pain and suffering, loss of future income, loss of property and psychological trauma. In para. 82 the plaintiff claims damages for,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breach of duty of care owed to her, breach of trust, breach of contract and many others. I should note that the statement of claim, with the exception of para. 10, was drafted by the plaintiff herself as she was unrepresented at the time the action was commenced. Paragraph 10 was drafted by Mr. Margetts who had acted for the plaintiff in the application before Melvin J. on June 2, 2005, at which time the amendment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Although breach of fiduciary duty is a claim in equity, damages may be the appropriate remedy where breach is found: see </w:t>
      </w:r>
      <w:r>
        <w:rPr>
          <w:rFonts w:ascii="arial" w:eastAsia="arial" w:hAnsi="arial" w:cs="arial"/>
          <w:b/>
          <w:i/>
          <w:color w:val="000000"/>
          <w:sz w:val="20"/>
          <w:lang w:val="en-US" w:eastAsia="en-US" w:bidi="ar-SA"/>
        </w:rPr>
        <w:t>Nocton</w:t>
      </w:r>
      <w:r>
        <w:rPr>
          <w:rFonts w:ascii="arial" w:eastAsia="arial" w:hAnsi="arial" w:cs="arial"/>
          <w:color w:val="000000"/>
          <w:sz w:val="20"/>
          <w:lang w:val="en-US" w:eastAsia="en-US" w:bidi="ar-SA"/>
        </w:rPr>
        <w:t xml:space="preserve"> at para. 17. See also </w:t>
      </w:r>
      <w:r>
        <w:rPr>
          <w:rFonts w:ascii="arial" w:eastAsia="arial" w:hAnsi="arial" w:cs="arial"/>
          <w:b/>
          <w:i/>
          <w:color w:val="000000"/>
          <w:sz w:val="20"/>
          <w:lang w:val="en-US" w:eastAsia="en-US" w:bidi="ar-SA"/>
        </w:rPr>
        <w:t>Hodgkinson v. Simms</w:t>
      </w:r>
      <w:r>
        <w:rPr>
          <w:rFonts w:ascii="arial" w:eastAsia="arial" w:hAnsi="arial" w:cs="arial"/>
          <w:color w:val="000000"/>
          <w:sz w:val="20"/>
          <w:lang w:val="en-US" w:eastAsia="en-US" w:bidi="ar-SA"/>
        </w:rPr>
        <w:t xml:space="preserve"> where La Forest says at 440: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well established that the proper approach to damages for breach of a fiduciary duty is restitutionary. On this approach, the appellant is entitled to be put in as good a position as he would have been in had the breach not occurred.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xml:space="preserve"> goes on to illustrate the confluence or overlap between equity and the common law in considering damages as a remedy at 443: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Canson Enterprises v. Boughton &amp; Co.</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[1991] 3 S.C.R. 534</w:t>
        </w:r>
      </w:hyperlink>
      <w:r>
        <w:rPr>
          <w:rFonts w:ascii="arial" w:eastAsia="arial" w:hAnsi="arial" w:cs="arial"/>
          <w:color w:val="000000"/>
          <w:sz w:val="20"/>
          <w:lang w:val="en-US" w:eastAsia="en-US" w:bidi="ar-SA"/>
        </w:rPr>
        <w:t xml:space="preserve">) held that a court exercising equitable jurisdiction is not precluded from considering the principles of remoteness, causation, and intervening act where necessary to reach a just and fair result. </w:t>
      </w:r>
      <w:r>
        <w:rPr>
          <w:rFonts w:ascii="arial" w:eastAsia="arial" w:hAnsi="arial" w:cs="arial"/>
          <w:i/>
          <w:color w:val="000000"/>
          <w:sz w:val="20"/>
          <w:lang w:val="en-US" w:eastAsia="en-US" w:bidi="ar-SA"/>
        </w:rPr>
        <w:t>Canson</w:t>
      </w:r>
      <w:r>
        <w:rPr>
          <w:rFonts w:ascii="arial" w:eastAsia="arial" w:hAnsi="arial" w:cs="arial"/>
          <w:color w:val="000000"/>
          <w:sz w:val="20"/>
          <w:lang w:val="en-US" w:eastAsia="en-US" w:bidi="ar-SA"/>
        </w:rPr>
        <w:t xml:space="preserve"> does not, however, signal a retreat from the principle of full restitution; rather it recognizes the fact that a breach of a fiduciary duty can take a variety of forms, and as such a variety of remedial considerations may be appropriate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444: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Put another way, equity is not so rigid as to be susceptible to being used as a vehicle for punishing defendants with harsh damage awards out of all proportion to their actual behaviour. On the contrary, where the common law has developed a measured and just principle in response to a particular kind of wrong, equity is flexible enough to borrow from the common law. ... Thus, properly understood </w:t>
      </w:r>
      <w:r>
        <w:rPr>
          <w:rFonts w:ascii="arial" w:eastAsia="arial" w:hAnsi="arial" w:cs="arial"/>
          <w:i/>
          <w:color w:val="000000"/>
          <w:sz w:val="20"/>
          <w:lang w:val="en-US" w:eastAsia="en-US" w:bidi="ar-SA"/>
        </w:rPr>
        <w:t>Canson</w:t>
      </w:r>
      <w:r>
        <w:rPr>
          <w:rFonts w:ascii="arial" w:eastAsia="arial" w:hAnsi="arial" w:cs="arial"/>
          <w:color w:val="000000"/>
          <w:sz w:val="20"/>
          <w:lang w:val="en-US" w:eastAsia="en-US" w:bidi="ar-SA"/>
        </w:rPr>
        <w:t xml:space="preserve"> stands for the proposition that courts should strive to treat similar wrongs similarly, regardless of the particular cause or causes of action that may have been pleaded. ... In other words, the courts should look to the harm suffered from the breach of the given duty, and apply the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the basis of her pleadings and the passages quoted above, I conclude that the plaintiff's claims are, in this case, for damages for injury to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next question arising is whether these claims are based on contract, tort or statutory duty, and thus subject to the two year limitation in s. 3.2(a)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Although the </w:t>
      </w:r>
      <w:r>
        <w:rPr>
          <w:rFonts w:ascii="arial" w:eastAsia="arial" w:hAnsi="arial" w:cs="arial"/>
          <w:b/>
          <w:i/>
          <w:color w:val="000000"/>
          <w:sz w:val="20"/>
          <w:lang w:val="en-US" w:eastAsia="en-US" w:bidi="ar-SA"/>
        </w:rPr>
        <w:t>Condominium Act</w:t>
      </w:r>
      <w:r>
        <w:rPr>
          <w:rFonts w:ascii="arial" w:eastAsia="arial" w:hAnsi="arial" w:cs="arial"/>
          <w:color w:val="000000"/>
          <w:sz w:val="20"/>
          <w:lang w:val="en-US" w:eastAsia="en-US" w:bidi="ar-SA"/>
        </w:rPr>
        <w:t xml:space="preserve"> and bylaws are invoked in the pleadings, I do not consider this claim to be based on a breach of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Although the claims for damages for injuries were also brought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those claims were dismissed by Melvin J. on application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The possibility that the claims might co-exist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and breach of fiduciary duty, has been recognized since at least the decision in </w:t>
      </w:r>
      <w:r>
        <w:rPr>
          <w:rFonts w:ascii="arial" w:eastAsia="arial" w:hAnsi="arial" w:cs="arial"/>
          <w:b/>
          <w:i/>
          <w:color w:val="000000"/>
          <w:sz w:val="20"/>
          <w:lang w:val="en-US" w:eastAsia="en-US" w:bidi="ar-SA"/>
        </w:rPr>
        <w:t>Nocton</w:t>
      </w:r>
      <w:r>
        <w:rPr>
          <w:rFonts w:ascii="arial" w:eastAsia="arial" w:hAnsi="arial" w:cs="arial"/>
          <w:color w:val="000000"/>
          <w:sz w:val="20"/>
          <w:lang w:val="en-US" w:eastAsia="en-US" w:bidi="ar-SA"/>
        </w:rPr>
        <w:t>. That does not mean that a claim for damages for injuries for breach of fiduciary duty is based on tort simply because the same actions - or lack of action - are alleged to have brought about the injuries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I interpret para. 3(2)(a)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it is only claims for damages for injury based on tort, contract or breach of statutory duty that are subject to the two year limitation period. This claim is for damages for personal injury founded in breach of fiduciary obligation, and is not caught by s. 3(2)(a). In my view, the Legislature intended, by including the phrase, "whether based on contract, tort or statutory duty", to confine the operation of the two year limitation to claims of personal injury based on those and those alone. This claim, for damages for breach of fiduciary duty, although founded in the same personal injuries as were barred by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falls under s. 3(5):</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Had I found that the defendants owed the plaintiff a fiduciary duty, the plaintiff's claims for breach of that duty would not be barred by operation of the </w:t>
      </w:r>
      <w:r>
        <w:rPr>
          <w:rFonts w:ascii="arial" w:eastAsia="arial" w:hAnsi="arial" w:cs="arial"/>
          <w:b/>
          <w:i/>
          <w:color w:val="000000"/>
          <w:sz w:val="20"/>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If a fiduciary duty were owed, did the defendants breach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Having concluded that no fiduciary obligation arose on the facts of this case, I need not decide whether there was a breach. I go no further than to comment that the duties of loyalty, trust and confidence, which together make up the fiduciary obligation, have no ready application to the allegations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Was breach of a fiduciary duty a contributing cause of the plaintiff's injuries?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For the purposes of this question, I find that the plaintiff fell over the retaining wall from her patio into the stairwell. The retaining wall over which the plaintiff fell was 26 inches high measured from the patio level. The Building Code at the time required a 42 inch wall or railing. I further find that, had a 42 inch wall or railing been in place, the plaintiff would not have fallen into the stairwell. I make that finding based on my conclusion that the Building Code mandated a 42 inch railing in order to eliminate, or at least substantially reduce, the risk that a person coming too close to the edge might topple over a barrier erected for their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have already concluded that it was within the jurisdiction and control of the defendants to effect whatever modifications were necessary to the railing to raise it to 42 inches. The failure of the defendants to do so, after it had been brought to their attention by the plaintiff, might well have been a breach by them of a common law duty which they owed to the plaintiff, based in tort or in contract, to take reasonable steps to make the patio railing reasonably safe for the plaintiff. Such questions have been removed from consideration in this trial by the order of Melvin J., and I need not decide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conclude that if there had been a fiduciary duty owed to the plaintiff, and if it had been breached, the breach was a contributing cause of the injuries suffered by the plaintiff in her fall into the stairwell. The plaintiff fell in part because the railing was not high enough to impede her fall. The plaintiff's injuries were as serious as they were because she fell into an open concrete stairwell some 13 feet below, rather than onto ground some 26 inches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Can liability for any damages caused by breach of fiduciary duty in this case be apportioned?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written submissions the defendant phrases this issue 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illustrating one of the difficulties in dealing with a claim for damages for injury in the context of fiduciary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says in 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36"/>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by the fault of 2 or more persons damage or loss is caused to one or more of them, the liability to make good the damage or loss is in proportion to the degree to which each person was at fault.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This does not restrict itself to causes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if there is a finding that the fault (by way of breach of fiduciary obligation) of the defendants caused damage to the plaintiff, it is appropriate under s. 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to consider whether the fault of the plaintiff also caused or contributed to the damages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conclude that the plaintiff's claims here are for damage or loss caused by the fault of the defendants, and it would be open to the court to consider whether the fault of the plaintiff also caused or contributed to her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6.</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Apportionment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my view, the plaintiff's fault did contribute to her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was significantly impaired at the time she fell according to the opinion of Ms. Kirkwood. Additionally, the plaintiff had, for 25 years, been a binge drinker of alcohol, a fact known to the plaintiff but not to the defendants. The plaintiff had demonstrated her awareness of the risk posed by the low retaining wall in her correspondence complaining to the defendants of the situation and in her assertion that she had prevented visitors from going onto the patio at all out of concern for their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Knowing, as the plaintiff did, that she was susceptible to binge drinking and that she lived in a unit with an unsafe patio, for her to embark on the consumption of alcohol showed a want of care for her own safety that I find was a fault on her part under s. 1(1)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had a long time to take what turned out to be relatively inexpensive and simple steps to make the patio safe and failed to do so. The defendants did not know that the plaintiff was a binge drinker. The plaintiff did know she was a binge drinker and that the patio was unsafe. The effects of alcohol outlined by Ms. Kirkwood would not have been as dangerous had the patio been made safe in a reasonable time. I conclude that binge drinker or not, the plaintiff would not have fallen had the patio been properly constructed or remediated in a reasonably prompt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Had I found there to be a fiduciary obligation, and that it was breached by the defendants who remain, I would, in all of the circumstances of this case, have apportioned fault for the plaintiff's injuries equally divided between the plaintiff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1"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Recchia v. Co-Operators Life Insurance Co., [2002] B.C.J. No. 1000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Stewart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29, 30 and May 1 - 3,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C983223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1000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712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42 C.C.L.I. (3d) 221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32 C.C.P.B. 309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E.T.R. (2d) 113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742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Maria Recchia, plaintiff, and Co-operators Life Insurance Company, Co-operators compagnie d'assurance-vie, Teamsters Local 213, Ed MacIntosh, Ray Zigmont, Gerry Fraser, Gene Wirch, Bonnie MacLeod, Mike Levinson and Doug Payette,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2"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6" w:name="Keywords_22"/>
      <w:bookmarkEnd w:id="236"/>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Relationship required to raise duty of care — Trusts — The trustee — Duties.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7" w:name="Case Summary_21"/>
            <w:bookmarkEnd w:id="2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Recchia against the Trustees of a group policy of life insurance with Co-operators Life Insurance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economic loss. Recchia was employed by Canadian Linen Supply until May 1993. From May 1993 until May 1994, she received short-term wage benefits. In June 1994, she applied for Long Term disability benefits. Her claim was first rejected by Co-Operators on June 3, 1994 and later reviewed and rejected several more times. The claim was rejected based upon medical evidence provided by Recchia's doctor, who found that while Recchia would be unable to return to her work at Canadian Linen, which involved heavy physical labour, she could return to sedentary work. Recchia brought an action against Co-Operators. The action was dismissed because the time for an action being brought against Co-Operators for the recovery of benefits under the Group Policy expired on August 22, 1996. Recchia alleged that she suffered economic loss as a result of the Trustees' failure to bring an action against Co-Operators on her behalf within the applicable limitation periods.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8" w:name="Holdings of Court_16"/>
            <w:bookmarkEnd w:id="23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did not indicate a proximate relationship between Recchia and the Trustees. It was not reasonable for Recchia to rely upon the Trustees for legal advice respecting the limitation period for bringing an action against Co-Operators. The contact between Recchia and the Benefits Plans Office had in fact been infrequent, and for long periods non-existent. There was no basis for Recchia to believe that the people she dealt with at the Benefits Office held themselves out as knowledgeable in legal matters. The evidence did not support a claim for breach of trust or breach of fiduciary duty.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9" w:name="Legislation Cited_19"/>
      <w:bookmarkEnd w:id="2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3"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0" w:name="Counsel_23"/>
      <w:bookmarkEnd w:id="2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4"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 Pierce, for the plaintiff. B. Laughton,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1" w:name="Judgment_23"/>
      <w:bookmarkEnd w:id="241"/>
      <w:r>
        <w:pict>
          <v:line id="_x0000_s1145" style="position:absolute;z-index:2518364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2" w:name="STEWART J."/>
            <w:bookmarkEnd w:id="242"/>
            <w:r>
              <w:rPr>
                <w:rFonts w:ascii="arial" w:eastAsia="arial" w:hAnsi="arial" w:cs="arial"/>
                <w:b/>
                <w:color w:val="000000"/>
                <w:sz w:val="30"/>
                <w:lang w:val="en-US" w:eastAsia="en-US" w:bidi="ar-SA"/>
              </w:rPr>
              <w:t>STEWART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unemployed and is a retired member of Teamsters Local 213. The plaintiff was last employed by Canadian Linen Supply Co. Ltd., here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MacIntosh, Zigmont, Fraser, Wirch, MacLeod, Levinson, Payette - who will be referred to by me as "the Trustees" - are party to a "Trust Agreement And Declaration of Trust Consolidation" with Teamster Local 213 ("the Union").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Exhibit 1, Tab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its material part, the Trust Agreement provides for the establishing by the Trustees of a health and welfare plan. The beneficiaries are employees such as the plaintiff was before she became unemployed.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Pursuant to the task entrusted to them by the Trust Agreement, the Trustees purchased a Group Policy of Insurance with Co-Operators Life Insurance Company ("Co-Operators").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Exhibit 1, Tab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has not worked at her job at Canadian Linen Supply Company Limited ("Canadian Linen") from May 1993 to this day, save and except for an aborted return-to-work which began and ended, badly, on one day in September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From May 1993 until May 1994, the plaintiff, pursuant to a claim made by her, received short-term wage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the end of the plaintiff's eligibility for short-term wage benefits was on the horizon in early 1994, the Plan Administrator, through a functionary, sent the plaintiff a letter dated March 29, 1994. It reads as follows (Exhibit 1, Tab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claim under Weekly Income benefits will reach the maximum 52 weeks on May 25th, 1994. You may be eligible for Long Term Disability Benefits. Please find enclosed applications to be completed in full and returned to this office. Upon receipt they will be forwarded to the Insurance Company for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you have any questions regarding this matter, please do not hesitate to contact this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made an "Application For Long Term Disability Benefits" ("LTDB") on April 29, 1994. Her application was made by her to the insurance company, the Co-Operators. Her application for LTDB appears before me at Exhibit 1, Tab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application for LTDB enclosed an "Attending Physician's Initial Benefits Statement". The author of that "Statement" was the plaintiff's long-standing Family Doctor, Dr. Tong.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Exhibit 1, Tab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noted, the plaintiff's application was for LTDB. The onus was on the plaintiff to establish the necessary under the Group Policy (Exhibit 1, Tab 4). Apart from all else, the plaintiff had to establish that as of the date her "Qualifying Period" ended (May 22, 1994) she was "Totally Disabled" within the meaning of the Group Policy. The Policy defined "Total Disability"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Disability" or "Totally Disabled" shall mean disability, as a result of Sickness or Injury, to the extent that the Member:</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under the regular care and following the prescribed treatment of a legally licensed physician or surgeon; and</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not engaged in any occupation for wage or profit; and</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prevented from engaging in any occupation or engaging in any work of any sort for wage or profit for which the Member is able or may reasonably become able, by means of education, training or experience.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(Exhibit 1, Tab 4, page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If one puts the Group Policy's definition of "Total Disability" (Exhibit 1, Tab 4) up against the content of Dr. Tong's "Statement" (Exhibit 1, Tab 6), the opening for the insurance company, Co-Operators, to do exactly what it did on June 3, 1994, i.e., reject the plaintiff's claim for LTDB, is manifest. (The letter of rejection appears at Exhibit 1, Tab 7). Apart from all else, Dr. Tong's "Statement" offered the opinion that as of April 20, 1994 (the date of the Statement) the plaintiff's physical impairment was properly viewed as "Moderate limitation of functional capacity; capable of clerical/administrative (sedentary) activity (35 - 55%)", that the plaintiff's "Mental/Nervous Impairment" was properly described in this way: "Patient is able to function in most stress situations and engage in most interpersonal relations (slight limitations)" and that although the prognosis was that she would not be able to return to her work at Canadian Linen (which work involved heavy physical labour) vocational counselling and/or retraining was recommended by Dr. Tong and, as of April 20, 1994, the plaintiff was, in Dr. Tong's opinion, "suitable for trial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(Exhibit 1, Tab 6 pages 3,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the moment, I pass over all that occurred after June 3, 1994 and briefly note only what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was asserted at this trial by the plaintiff through her counsel, the time limited for an action being brought by the plaintiff against the insurance company, Co-Operators, for the recovery of benefits under the Group Policy expired on August 22,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Writ directed at recovering LTDB provided for by the Group Policy was issued out of the registry of this Court on June 23, 1998 naming Mrs. Recchia as plaintiff and the Co-Operators as defendant. Teamsters Local 213 was also named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plaintiff's action against the Co-Operators was dismissed by a justice of this Court on August the 17th, 1999. Judgment was entered against the plaintiff pursuant to an application made by Co-Operators under Rule 18A. The issue decided by the judge was that before the date the Writ was issued (June 23, 1998) the time limited for the launching of an action against Co-Operators had run. That the judge's Reasons may be taken as saying that the time limited had run as early as May 22, 1995 is, in my respectful view, determinative of nothing, even giving "issue estoppel" the scope given to it in cases such as Saskatoon Credit Union v. Central Park Enterprises </w:t>
      </w:r>
      <w:hyperlink r:id="rId595" w:history="1">
        <w:r>
          <w:rPr>
            <w:rFonts w:ascii="arial" w:eastAsia="arial" w:hAnsi="arial" w:cs="arial"/>
            <w:i/>
            <w:color w:val="0077CC"/>
            <w:sz w:val="20"/>
            <w:u w:val="single"/>
            <w:shd w:val="clear" w:color="auto" w:fill="FFFFFF"/>
            <w:lang w:val="en-US" w:eastAsia="en-US" w:bidi="ar-SA"/>
          </w:rPr>
          <w:t>22 B.C.L.R. (2d) 89</w:t>
        </w:r>
      </w:hyperlink>
      <w:r>
        <w:rPr>
          <w:rFonts w:ascii="arial" w:eastAsia="arial" w:hAnsi="arial" w:cs="arial"/>
          <w:color w:val="000000"/>
          <w:sz w:val="20"/>
          <w:lang w:val="en-US" w:eastAsia="en-US" w:bidi="ar-SA"/>
        </w:rPr>
        <w:t xml:space="preserve"> (B.C.S.C.) 1988. In other words, even if the plaintiff cannot be heard to dispute as against the defendants before me, (the Trustees), an issue decided against her in litigation with Co-Operators on August 17, 1999, I say that the issue decided by the Court on that date was only what is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before me, the Trustees, were added as defendants on July 7,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An appeal from the August 17, 1999 decision of a judge of this Court in the case of the plaintiff versus Co-Operators Life Insurance Company was dismissed by the Court of Appeal of this province on April 18, 2000. I pause here to note that the action against the Teamsters Local 213, the last remaining defendant other than the defendants before me (the Trustees), was discontinued on September 22,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claim against the defendants before me, the five individual defendants, the Trustees, is properly viewed as a claim for economic loss simpliciter said to have resulted from the plaintiff's not having taken action against the insurance company, the Co-Operators, on or before the time limited, i.e., August 22,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Amended Statement of Claim is before me at Trial Record Tab 6. It reads, in part, thus: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the Union or in the alternative the Trustees entered into the contract with the Co-operators as trustee for the Plaintiff, and by virtue of the trust relationship owed a fiduciary duty to the Plaintiff. The contract with Co-operators was a contract for the benefit of the Plaintiff.</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Union or in the alternative the Trustees have breached their fiduciary duties to the Plaintiff by failing to bring an action on her behalf within the applicable limitation periods, or in the alternative in failing to warn the Plaintiff of the applicable limitation periods with respect to the contract with Co-operators.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the breach of trust and breach of fiduciary duty by the Union or in the alternative the Trustees the Plaintiff has suffered loss, damages and expense.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failure, refusal or neglect of the Defendants to pay the Plaintiff under the terms of the policy, the Defendants have breached the contract with the Plaintiff.</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of the Defendants the Plaintiff has suffered loss, damage and expense.</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the Defendants have acted in bad faith, or with a lack of good faith by denying the Plaintiff long-term disability benefits. The particulars of the bad faith of the Defendants include: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Plaintiff in writing, or at all, of the one-year limitation period under the Co-operators'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the Trustees, demanded Particulars. Answers were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Paragraph 2 of the Answer To The Demand For Particulars reads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Trustees committed a breach of trust and a breach of fiduciary duty by failing to start an action against the Co-operators Life Insurance Company on behalf of the Plaintiff, or alternatively by failing to warn the Plaintiff that she had only a limited amount of time to start an action against the Co-operators Life Insurance Company, and by further purporting to assist the Plaintiff in her claim with the Co-Operators while failing to warn her of the applicable 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Paragraph 4 of the Answer To The Demand For Particulars reads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paragraph 13, the actions on the part of the named Trustees that are negligent include the matters set out in paragraph 2, and occurred between 1994 and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Thus, the plaintiff's attempt by this action to shift her loss to the individual defendants, the Trustees, is based on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what is asserted to be a "breach of trust and a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turn, in the light of what has been set out above, to a discussion of the witnesses, some of the evidence and certain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focused on the possibility of qualifying for LTDB as early as July 1993. That is my conclusion from the evidence of her long-standing family physician, Dr. Tong, and from his records. To the extent the plaintiff's evidence contradicts the medical evidence on this point, I prefer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noted above, the plaintiff's April 19, 1994 application for LTDB was rejected by Co-Operators on June the 3rd,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saw her family physician, Dr. Tong, on June 9, 1994. His note of what occurred on June 9, 1994 appears at Exhibit 5, Tab 1, page 15. I can only conclude that the plaintiff turned on Dr. Tong, blamed him for her having been turned down for LTDB and through deliberate obtuseness deprived herself of the opportunity to understand the facts of life as explained to her by Dr. Tong on June 9, 1994, i.e., as he saw it, she was disabled from returning to her job at Canadian Linen but her condition did not "preclude sedentary work at desk". (Exhibit 5, Tab 1, page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saw Dr. Tong again on June 17, 1994. Dr. Tong again tried to explain to her that "sedentary work" was not ruled out. By the end of the discussion on June 17, 1994, and probably at Dr. Tong's suggestion, it was agreed that it would be best if a new Family Doctor took a fresh look at the plaintiff's entire file and offered his opinion to her about all that mattered to her, i.e., her health and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Tong did not see the plaintiff again until she returned to his office on May 13,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July the 7th, 1994, the plaintiff first met with, talked with, and was examined by, Dr. Moccia, a family doctor. Dr. Moccia testified before me. His notes appear before me at Exhibit 5, Tab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conclude on the basis of the evidence of Dr. Moccia and the course of events, that Dr. Moccia instantly became the plaintiff's champion in her battle against the insurance company for her long-term disability benefits. Dr. Moccia's willingness to accept not just the plaintiff's statements of fact but her conclusory opinions prior to having her entire file in hand was made plain during cross-examination of Dr. Moccia. Dr. Moccia's immediate and thereafter consistent sharing of the plaintiff's refusal to view the Co-Operators rejection of her claim for LTDB as anything other than irrational is simply a fact. Dr. Moccia, rather than the Benefit Plans Office or the Plan Administrator (and, thus, the Trustees) being the one the plaintiff relied on is manifest in the fact that beginning with Dr. Moccia's office's preparing the plaintiff's first "appeal" dated July 29, 1994 (Exhibit 1, Tab 8; rejected December 20th, 1994 Exhibit 1, Tab 9), and onward, Dr. Moccia's role was central to what the plaintiff was about. (Exhibit 1, Tab 8, 13, 16, 18, 21). (When she testified before me, the plaintiff mentioned during cross-examination that it was Dr. Moccia who suggested what proved to be the second appeal, of many, of Co-Operators' denial of her claim for LTDB). In fact, on June 19, 1996, (Exhibit 1, Tab 21), it is Dr. Moccia who sends Co-Operators a surprisingly helpful "certificate" dated May 22, 1996 obtained from Dr. Tong after the plaintiff had returned to see Dr. Tong on a regular basis commencing May 13, 1996 (Exhibit 5, Tab 1), all the while seeing Dr. Moccia on a regular basis. (Exhibit 5, Tab 2). I conclude from what appears at Exhibit 1, Tab 18, (Plan Administrator's notes) and the sequence of events, that Dr. Moccia's role as the one upon whom the plaintiff relied to pursue her claim against the insurance company included his speaking to Mr. Priddle ("Priddle"), the Plan Administrator and then speaking to Dr. Tong. The result? The "certificate" signed by Dr. Tong May 22, 1996. (Exhibit 1, Tab 21). The request that Co-Operators "re-evaluate" the plaintiff's claim for LTDB sent in by Dr. Moccia on June 19, 1996 (Exhibit 1, Tab 21) was rejected on August 8, 1996, Exhibit 1, Tab 22. [I pause here to make plain what in my respectful view ought to be obvious. Dr. Moccia did nothing wrong in doing what he did for the plaintiff. He was, and is, a doctor who properly became concerned for his patient and took such steps to assist her as he saw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against that background, and in that context, that one must examine what the plaintiff says occurred between her and--through the Benefit Plans Office and the Plan Administrator (Priddle)--the defendant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what I conclude was probably June 1994, the plaintiff spoke to a lawyer, Mr. Petronio. The plaintiff told me during her examination in chief what she took from her discussion with Mr. Petronio. Mr. Petronio did not testify before me. It was common ground between counsel that at the plaintiff's examination for discovery on July 26, 2000, the plaintiff objected to answering questions about what passed between her and Mr. Petronio on the basis of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the trier of fact, I am not prepared to draw an inference adverse to the plaintiff from the situation just noted. On the other hand, as the trier of fact, I say that at the end of the day I am not prepared to accept that I do know what passed between Mr. Petronio and the plaintiff. I find that she spoke to a lawyer of her choice, Mr. Petronio, and that's all I find as a fact. Shortly thereafter, the plaintiff told somebody in the office of her union local (it is in the same building as the Benefits Plans Office) of her LTDB problem. That individual, or an individual to whom she was passed along, suggested that she get a new doctor. This I note was before, as discussed above, she had gone to see Dr. Moccia.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Yet another "appeal" by the plaintiff of Co-Operators' rejection of her LTDB claim was denied on February 7, 1995 (Exhibit 1, Tab 10). On February 15, 1995, the plaintiff met with Priddle, the Plan Administrator. (I find that she did this because she had been steered in the direction of what proved to be the Plans Benefit Office, and the Plan Administrator, Priddle, by her union rep at Canadian Linen). I pause here to note what counsel properly took to be a given, i.e., what Priddle or anyone in the Benefit Plans Office did or said - or didn't do - they did, said or didn't do, for my purposes, on behalf of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evidence as to what passed between the plaintiff and Priddle on February 15, 1995 and thereafter in another meeting on April 25, 1995 and during perhaps two telephone discussions in May 1996, includes the plaintiff's testimony before me, Priddle's notes as placed before me by the plaintiff (Exhibit 1, Tab 11, 14, 20) and questions and answers on the examination for discovery of one of the defendant Trustees (Zigmont) as read in by the plaintiff as part of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on February 15, 1995 Priddle was blunt. He told the plaintiff in pithy terms, in effect, that she, along with many others he dealt with, fell into the basket of people convinced that they could never work again at any job but who had no real hope of convincing the insurance company of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letter dated February 28, 1995, Priddle told the plaintiff that he had received a medical certificate signed by Dr. Moccia which he (Priddle) believed the plaintiff had mailed to him. He told her that he had sent it to the insurance company "for their review relative to your long-term disability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(Exhibit 1, Tab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April 25, 1995, the plaintiff met with Mr. Priddle again. I conclude that he spoke as one who assumed that "new medical information" would be useful, that what he had on his file thus far did not, in his opinion, disclose what he called "a medical disability that was total and permanent and caused her to be unable to work at any occupation", and that a "re-opening" of the file by having "new" medical information "reviewed" was a possibility. (See, amongst other things, Exhibit 1, Tab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next contact between the plaintiff and Priddle occurred in May, 1996. She spoke to him by telephone. The evidence is, to say the least, muddled as to how often they spoke and what was said. Priddle was not called to testify before me. But, amongst other things, the plaintiff put Priddle's notes before me in Exhibit 1, Tab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the end of the day, it is my conclusion that Priddle and the plaintiff spoke by telephone on May 7, 1996 and May 10, 1996. I conclude that it was simply more of the same--she complained about the insurance company's turning down her application for LTDB and he agreed to read the latest letter of rejection and telephone her. He did that and in the result told her that he could suggest nothing useful. She told him that she was taking the latest rejection letter to Dr. Moccia.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asserted that in a telephone conversation with Priddle she said words to the effect that she was going to retain a lawyer in connection with her battle with Co-Operators over her claim for LTDB. She says Mr. Priddle responded to that statement by telling her not to do that or, at the least, discouraging her from doing that by changing his tune and saying he would look at additional information. On balance, it appears that the plaintiff must be asserting that this discussion of a lawyer with Priddle took place during one of the telephone conversations in May 1996 referred to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evidence on the topic of Priddle and the lawyer is uncontradicted in the sense that Priddle did not testify before me. On the other hand, Priddle's notes were placed before me by the plaintiff and appear at Exhibit 1, Tab 20. Those notes do not tend to support or confirm the plaintiff's evidence on this point. The plaintiff read in the question and answers given by Zigmont (the Trustee) at his examination for discovery in connection with the events of May 7th and May 10th. There is nothing there that tends to support or confirm the plaintiff's evidence on this point. At first blush, the plaintiff's statement that Priddle discouraged her from bringing in a lawyer makes no sense for her claim was against the insurance company. Frankly, from what I saw of the plaintiff and what I conclude was her obsession with her battle for long-term disability benefits, an individual in Priddle's position would probably have leapt for joy at the thought that the plaintiff was about to become somebody else's problem. And last, but certainly not least, there is the fact that at her examination for discovery, in answer to a question which, if it were so, the story of the lawyer and Priddle's discouraging her ought to have been front and centre, the plaintiff said absolutely nothing of interest. (Examination for discovery of the plaintiff July 26, 2000, questions 126 - 127). When confronted with her silence on this point at the examination for discovery, the plaintiff, in effect, told me that she did tell her story about the lawyer and Priddle at the examination for discovery. Her position is that either the translator failed to translate that bit of evidence or the court reporter failed to take it down. Having considered the whole of what bears on this narrow question of fact, I find that the plaintiff did not tell Priddle that she was considering engaging a lawyer in connection with her claim for LTDB only to have Priddle discourage her from doing so. I find as a fact that that never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Sending in of "appeals" to Co-Operators in connection with the rejecting of the plaintiff's claim for LTDB is a drumbeat throughout 1995 and 1996. (See Exhibit 1, Tabs 13 and 19 by way of examples). From the cross-examination of the plaintiff, I conclude that at some point before August 1996--and obviously after July 7, 1994 when the plaintiff first met Dr. Moccia--Dr. Moccia spoke to her about "seeing a lawyer with respect to [her] claim against Co-Operators". (Question and answer 70 from the plaintiff's examination for discovery on July 16, 2000 was effectively adopted by her as true as she testified before me.) But the next event of real interest considering what the case before me is about, occurs in August,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will be remembered that the time limited for the taking of an action against Co-Operators expired on August 22, 1996. In August, 1996--and I conclude probably on or before August 22, 1996--the plaintiff spoke to one of the defendant Trustees, MacIntosh. I find that nothing of significance passed between the plaintiff and MacIntosh. In other words, she complained, he listened and he said he would speak to Priddle. And he did. And on August 26, 1996--after the magic date of August 22, 1996 had passed--Priddle sent the plaintiff a letter which appears at Exhibit 1, Tab 23. That letter posited Priddle's getting more information from the insurance company and, perhaps, "further consideration or an appeal to the Board of Trustees". As to the first ("further consideration"), the content of that letter flew in the face of Co-Operators having made plain that the plaintiff's claim was as rejected as rejected can be; as to the second ("an appeal to the Board of Trustees"), the letter spoke of the non-existent. But, as above, the letter came into existence four days after time had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Of what occurred after August, 1996, I note only, and briefly, the following. The plaintiff was told by Priddle on September 17, 1996 that "The Board of Trustees do not decide benefit entitlement." A lawyer retained by the plaintiff obtained documentation, including a copy of the Group Policy from Priddle and, in a letter, Priddle stated to the lawyer what I assume Priddle believed to be true--but was not fact according to Zigmont upon his examination for discovery--i.e., the "Co-Operators will review a claim or appeal for as long as there is new pertinent medical information related to the claim". The plaintiff's lawyer returned her file to her in December 1996. The plaintiff spoke to another lawyer in early 1997 and then retained Mr. Pierce. The Writ (and here see paragraph 14 of these Reasons) was issued June 23, 1998.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(Exhibit 1, Tab 25,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turn to the plaintiff's claim as conceptualized by the Amended Statement of Claim and the Answer To The Demand For Particulars as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plaintiff's claim, properly considered, is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economic loss simpliciter.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law that has application to such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begins with Winnipeg Condominium Corporation No. 36 v. Bird Construction Co. </w:t>
      </w:r>
      <w:hyperlink r:id="rId64" w:history="1">
        <w:r>
          <w:rPr>
            <w:rFonts w:ascii="arial" w:eastAsia="arial" w:hAnsi="arial" w:cs="arial"/>
            <w:i/>
            <w:color w:val="0077CC"/>
            <w:sz w:val="20"/>
            <w:u w:val="single"/>
            <w:shd w:val="clear" w:color="auto" w:fill="FFFFFF"/>
            <w:lang w:val="en-US" w:eastAsia="en-US" w:bidi="ar-SA"/>
          </w:rPr>
          <w:t>(1995) 121 D.L.R. (4th) 193</w:t>
        </w:r>
      </w:hyperlink>
      <w:r>
        <w:rPr>
          <w:rFonts w:ascii="arial" w:eastAsia="arial" w:hAnsi="arial" w:cs="arial"/>
          <w:color w:val="000000"/>
          <w:sz w:val="20"/>
          <w:lang w:val="en-US" w:eastAsia="en-US" w:bidi="ar-SA"/>
        </w:rPr>
        <w:t>. There, at paragraph 12, in launching into the analysis of a case which threw up a category of economic loss different from that thrown up by the case at bar, the Supreme Court of Canada paused and discussed the general question of recoverability in tort for economic loss. For my purposes, it is sufficient to quote here only the first half of paragraph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This case gives this court the opportunity once again to address the question of recoverability in tort for economic loss. In Norsk, supra, at p. 1049, I made reference to an article by Professor Feldthusen in which he outlined five different categories of cases where the question of recoverability in tort for economic loss has arisen ("Economic Loss in the Supreme Court of Canada: Yesterday and Tomorrow" (1990-91), 17 Can. Bus. L.J. 356, at pp. 357-58), namely:</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Independent Liability of Statutory Public Authorities;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Performance of a Service;</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Supply of Shoddy Goods or Structures;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Relational Economic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stressed in Norsk that the question of recoverability for economic loss must be approached with reference to the unique and distinct policy issues raised in each of these categories. That is because ultimately the issues concerning recovery for economic loss are concerned with determining the proper ambit of the law of tort, an exercise that must take account of the various situations where that question may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Because the plaintiff's claim is for pure economic loss and because of the legal template (above) that must be imposed by me upon the evidence thrown up in this particular case, the plaintiff's claim, to the extent it sounds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either unknown to the law or a claim that to succeed--or, rather, not fail in limine--must pass the threshold test established in the line of cases that has its head and source in Hedley Byrne &amp; Co. v. Heller and Partners Ltd. [1964] A.C. 465.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Schilling v. CGA Association (B.C.) </w:t>
      </w:r>
      <w:hyperlink r:id="rId596" w:history="1">
        <w:r>
          <w:rPr>
            <w:rFonts w:ascii="arial" w:eastAsia="arial" w:hAnsi="arial" w:cs="arial"/>
            <w:i/>
            <w:color w:val="0077CC"/>
            <w:sz w:val="20"/>
            <w:u w:val="single"/>
            <w:shd w:val="clear" w:color="auto" w:fill="FFFFFF"/>
            <w:lang w:val="en-US" w:eastAsia="en-US" w:bidi="ar-SA"/>
          </w:rPr>
          <w:t>(1996) 29 C.C.L.T. (2d) 44</w:t>
        </w:r>
      </w:hyperlink>
      <w:r>
        <w:rPr>
          <w:rFonts w:ascii="arial" w:eastAsia="arial" w:hAnsi="arial" w:cs="arial"/>
          <w:color w:val="000000"/>
          <w:sz w:val="20"/>
          <w:lang w:val="en-US" w:eastAsia="en-US" w:bidi="ar-SA"/>
        </w:rPr>
        <w:t>, Mr. Justice Finch--as I read the brief yet turbid Reasons of Mr. Justice Williams--was not disagreed with on his statement of the law. I proceed therefore on the basis that what fell from Mr. Justice Finch (as he then was) at paragraphs 30 to 35 of the Reasons for Judgment in Schilling v. CGA Association (B.C.), supra, is a statement of law that is binding upon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Schilling v. CGA Association (B.C.), supra, at paragraph 30 to 35, Mr. Justice Finch first noted that in the case of pure economic loss--a case such as the case at bar--the fact that the loss was a direct, foreseeable result of the defendant's taking action or failing to take action does not establish that the defendant had a duty to take reasonable care to prevent loss occurring to the plaintiff. Certainly the plaintiff must establish a direct, foreseeable loss. However, the plaintiff will have failed to cross the threshold of recovery absent the plaintiff establishing--in the case of the subset of pure economic loss with which I am concerned in the case at bar--the elements of the reliance liability principle which came to maturity in Hedley Byrne &amp; Co. v. Heller and Partners Ltd., supra, in 1964.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Without mentioning Winnipeg Condominium Corporation No. 36 v. Bird Construction Co., supra, or, more particularly, the opening half of paragraph 12 of that judgment of the Supreme Court of Canada, the Court of Appeal of this province at paragraphs 31 - 33 obviously focused on what the Supreme Court of Canada calls "the unique and distinct policy issues raised in each of [the] categories" of recoverability for economic loss and "determining the proper ambit of the law of tort". (Winnipeg Condominium Corporation No. 36 v. Bird Construction Co., supra, at paragraph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Court of Appeal (in Schilling v. CGA Association (B.C.) said this at paragraphs 32 and 33:</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any of the four principles, a necessary element is a "proximate" relationship between the plaintiff and the defendant.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Hedley Byrne [Hedley Byrne &amp; Co. v. Heller &amp; Partners Ltd. (1963), [1964] A.C. 465 (H.L.)] principle is the only basis on which recovery for pure economic loss simpliciter is clearly accepted as possible. Under the Hedley Byrne line of cases, proximity arises from the plaintiff's reliance upon the defendant, in circumstances where the defendant knew or ought to have known that a person in the plaintiff's position might rely on the defendant to protect his or her economic interests, where the plaintiff did in fact rely upon the defendant, and where in the circumstances it could be said objectively that it was reasonable for the plaintiff so to 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the case at bar, the plaintiff's case fails on this branch of the analysis--the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branch--because, apart from all else, I find that it was not reasonable for her to rely upon the Trustees--through the Plan Administrator, Priddle--to give her what amounted purely and simply to legal advice, i.e., the need to focus on the question of a time limit for bringing an "action at law or in equity" (Exhibit 1, Tab 4, page 24) against the Co-Operators. The contact between the plaintiff and the Benefit Plans Office had been infrequent and for long periods non-existent. The plaintiff had obviously been content--overjoyed, I gathered from the way in which she gave her evidence--to find her champion in her quest to obtain her LTDB from Co-Operators in Dr. Moccia. There is not a particle of evidence that there was any basis for the plaintiff to think that the people she dealt with at the Benefits Office held themselves out as knowledgeable in legal matters or as having taken her place, on her behalf, as the lay person who must, in a society based on law, be treated as an adult who must fend for herself in legal matters or seek out a lawyer. The only relevant contact between the Trustees and the plaintiff was through those who worked in the Benefit Plans Office, more particularly, the Plan Administrator, Priddle. Absent the evidence throwing up a platform for a discussion of whether the plaintiff reasonably relied upon those people to give her legal advice or seek a legal opinion on her behalf, the plaintiff's case must fall to the ground. And here, there is no such platform for discussion. In the result, the plaintiff's case on this branch of the analysis--the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branch--falls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turn to the plaintiff's case as conceptualized by the Amended Statement of Claim and the Answer To The Demand For Particulars as a claim for "breach of trust and a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On this branch of her claim, the plaintiff's case is no better than the extent, if any, to which the case at bar is caught by Froese v. Montreal Trust Company of Canada </w:t>
      </w:r>
      <w:hyperlink r:id="rId597" w:history="1">
        <w:r>
          <w:rPr>
            <w:rFonts w:ascii="arial" w:eastAsia="arial" w:hAnsi="arial" w:cs="arial"/>
            <w:i/>
            <w:color w:val="0077CC"/>
            <w:sz w:val="20"/>
            <w:u w:val="single"/>
            <w:shd w:val="clear" w:color="auto" w:fill="FFFFFF"/>
            <w:lang w:val="en-US" w:eastAsia="en-US" w:bidi="ar-SA"/>
          </w:rPr>
          <w:t>[1996] B.C.J. No. 1091</w:t>
        </w:r>
      </w:hyperlink>
      <w:r>
        <w:rPr>
          <w:rFonts w:ascii="arial" w:eastAsia="arial" w:hAnsi="arial" w:cs="arial"/>
          <w:color w:val="000000"/>
          <w:sz w:val="20"/>
          <w:lang w:val="en-US" w:eastAsia="en-US" w:bidi="ar-SA"/>
        </w:rPr>
        <w:t>, (B.C.C.A.), the case relied upon by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As recently as March, 2000, the Court of Appeal has reminded all of us that Quinn v. Leatham [1901] A.C. 495 at 506 is not a dead letter. (Grabber and Janes v. Stewart, </w:t>
      </w:r>
      <w:hyperlink r:id="rId598" w:history="1">
        <w:r>
          <w:rPr>
            <w:rFonts w:ascii="arial" w:eastAsia="arial" w:hAnsi="arial" w:cs="arial"/>
            <w:i/>
            <w:color w:val="0077CC"/>
            <w:sz w:val="20"/>
            <w:u w:val="single"/>
            <w:shd w:val="clear" w:color="auto" w:fill="FFFFFF"/>
            <w:lang w:val="en-US" w:eastAsia="en-US" w:bidi="ar-SA"/>
          </w:rPr>
          <w:t>[2000] B.C.J. No. 604</w:t>
        </w:r>
      </w:hyperlink>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2000 BCCA 206</w:t>
        </w:r>
      </w:hyperlink>
      <w:r>
        <w:rPr>
          <w:rFonts w:ascii="arial" w:eastAsia="arial" w:hAnsi="arial" w:cs="arial"/>
          <w:color w:val="000000"/>
          <w:sz w:val="20"/>
          <w:lang w:val="en-US" w:eastAsia="en-US" w:bidi="ar-SA"/>
        </w:rPr>
        <w:t>). At page 506 of Quinn v. Leatham, this appears: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there are two observations of a general character which I wish to make, and one is to repeat what I have very often said before, that every judgment must be read as applicable to the particular facts proved, or assumed to be proved, since the generality of the expressions which may be found there are not intended to be expositions of the whole law, but governed and qualified by the particular facts of the case in which such expressions are to be found. The other is that a case is only an authority for what it actually decides. I entirely deny that it can be quoted for a proposition that may seem to follow logically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Froese v. Montreal Trust Company of Canada, supra, discusses the duty to warn of Trustees and contains passages which looked at in isolation are breathtaking in their ramifications. But when one does what the law demands--when one looks at the facts of the case and the limited situation that confronted the court--the case becomes nothing more than an application of established principle to a particular body of evidence. Apart from all else that might be said about why Froese v. Montreal Trust Company of Canada, supra, has no application to the case at bar, is the fact that the problem that the beneficiaries in that case were unaware of put the plan itself "at risk" (paragraph 60) and could not be recognized for what it was, and remedial action taken, absent the Trustees of that very plan, in effect, running up a flag. Nothing like that or analogous to that situation obtains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my respectful view, the case at bar falls wholly without Froese v. Montreal Trust Company of Canada, supra. It follows that the plaintiff's case on this branch of the analysis--a claim for "breach of trust and a breach of fiduciary duty"--falls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has failed to established her case on either of the two bases left to her after the delivery of her Answer To The Demand For Particulars. In the result,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the face of it, the order as to costs should simply be costs follow the event, Scale 3. Counsel may speak to the question of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note here that I considered, but rejected, proceeding with analysis "in the alternative". The decision whether do so is in the discretion of the trial judge and the answer is, inherently, case specific. In deciding not to proceed with the analysis "in the alternative" I considered, amongst other things, what fell from Mr. Justice Bouck in Caplan Bldr. Ltd. v. Royal Bank </w:t>
      </w:r>
      <w:hyperlink r:id="rId599" w:history="1">
        <w:r>
          <w:rPr>
            <w:rFonts w:ascii="arial" w:eastAsia="arial" w:hAnsi="arial" w:cs="arial"/>
            <w:i/>
            <w:color w:val="0077CC"/>
            <w:sz w:val="20"/>
            <w:u w:val="single"/>
            <w:shd w:val="clear" w:color="auto" w:fill="FFFFFF"/>
            <w:lang w:val="en-US" w:eastAsia="en-US" w:bidi="ar-SA"/>
          </w:rPr>
          <w:t>25 BCLR (2d) 335</w:t>
        </w:r>
      </w:hyperlink>
      <w:r>
        <w:rPr>
          <w:rFonts w:ascii="arial" w:eastAsia="arial" w:hAnsi="arial" w:cs="arial"/>
          <w:color w:val="000000"/>
          <w:sz w:val="20"/>
          <w:lang w:val="en-US" w:eastAsia="en-US" w:bidi="ar-SA"/>
        </w:rPr>
        <w:t>, appeal dismissed by the Court of Appeal June 8,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STEWART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6"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Rychter v. Isle of Mann Construction Ltd., [2011] B.C.J. No. 2105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25, 2011.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7, 2011.</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S126420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[2011] B.C.J. No. 2105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BCSC 1502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 C.L.R. (4th) 155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CarswellBC 2912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208 A.C.W.S. (3d) 297</w:t>
      </w:r>
    </w:p>
    <w:p>
      <w:pPr>
        <w:spacing w:before="120" w:line="260" w:lineRule="atLeast"/>
        <w:rPr>
          <w:lang w:val="en-US" w:eastAsia="en-US" w:bidi="ar-SA"/>
        </w:rPr>
      </w:pPr>
      <w:r>
        <w:rPr>
          <w:rFonts w:ascii="arial" w:eastAsia="arial" w:hAnsi="arial" w:cs="arial"/>
          <w:color w:val="000000"/>
          <w:sz w:val="20"/>
          <w:lang w:val="en-US" w:eastAsia="en-US" w:bidi="ar-SA"/>
        </w:rPr>
        <w:t>Between Beata Ewa Rychter and Piotr Rychter, Plaintiffs, and Isle of Mann Construction Ltd. and Whispering Ridge Development Corp., Defendants, and Skyline Plumbing, Heating &amp; Gas Fitting Ltd.,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7" style="position:absolute;z-index:2516838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43" w:name="Keywords_23"/>
      <w:bookmarkEnd w:id="243"/>
      <w:r>
        <w:rPr>
          <w:rFonts w:ascii="arial" w:eastAsia="arial" w:hAnsi="arial" w:cs="arial"/>
          <w:b/>
          <w:color w:val="000000"/>
          <w:sz w:val="20"/>
          <w:lang w:val="en-US" w:eastAsia="en-US" w:bidi="ar-SA"/>
        </w:rPr>
        <w:t>Civil litigation — Civil procedure — Judgments and orders — Summary judgments — To dismiss action — Application by Isle of Mann Construction (IMC) for summary dismissal of action dismissed — IMC was general contractor on residential construction project and retained third party to install plumbing — Shortly after plaintiffs purchased residence, pipe burst causing water damage to other areas and plaintiffs commenced claim alleging that IMC was negligent in failing to ensure pipes were property installed — IMC sought summary dismissal of claim on basis it could not owe duty of care to plaintiff — As defective pipe was not part of residence and its bursting caused damage to other property, there was duty of care owed.</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Application by Isle of Mann Construction (IMC) for summary dismissal of action dismissed — IMC was general contractor on residential construction project and retained third party to install plumbing — Shortly after plaintiffs purchased residence, pipe burst causing water damage to other areas and plaintiffs commenced claim alleging that IMC was negligent in failing to ensure pipes were property installed — IMC sought summary dismissal of claim on basis it could not owe duty of care to plaintiff — As defective pipe was not part of residence and its bursting caused damage to other property, there was duty of care owed.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44" w:name="Case Summary_22"/>
            <w:bookmarkEnd w:id="24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Isle of Mann Construction for the summary dismissal of the action against it. The plaintiffs purchased a single-family residence from the defendant Whispering Ridge in 2008. Isle of Mann was the general contractor retained to construct the residence and it in turn retained the third party Skyline as a subcontractor to install the plumbing. In 2009, a pipe in the residence burst causing damage to other parts of the residence. The plaintiffs commenced a claim for damages alleging that the water damage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duty of Isle of Mann and/or its employees, agents or subtrades by failing to ensure the pipes were properly installed. Isle of Mann sought to have the claim against it dismissed on the basis that it had no contractual relationship with the plaintiffs with respect to the residence and owed the plaintiffs no duty of care. </w:t>
            </w:r>
            <w:r>
              <w:rPr>
                <w:lang w:val="en-US" w:eastAsia="en-US" w:bidi="ar-SA"/>
              </w:rPr>
              <w:cr/>
            </w:r>
          </w:p>
          <w:p>
            <w:pPr>
              <w:spacing w:before="120" w:line="260" w:lineRule="atLeast"/>
              <w:ind w:left="240"/>
              <w:jc w:val="both"/>
              <w:rPr>
                <w:lang w:val="en-US" w:eastAsia="en-US" w:bidi="ar-SA"/>
              </w:rPr>
            </w:pPr>
            <w:bookmarkStart w:id="245" w:name="Holdings of Court_17"/>
            <w:bookmarkEnd w:id="245"/>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As the defective pipe was not part of the residence itself and its bursting caused damage to other property, there was a duty of care owed for the damage to other property. Whether it was Isle of Mann that owed the duty of care to the plaintiffs for the plumbing could only be determined after considering all of the evidence and considering the nature of any duty of care that Isle of Mann owed to the plaintiffs and the standard f care it owed with respect to that duty. </w:t>
            </w:r>
            <w:r>
              <w:rPr>
                <w:lang w:val="en-US" w:eastAsia="en-US" w:bidi="ar-SA"/>
              </w:rPr>
              <w:cr/>
            </w:r>
          </w:p>
          <w:p>
            <w:pPr>
              <w:rPr>
                <w:lang w:val="en-US" w:eastAsia="en-US" w:bidi="ar-SA"/>
              </w:rPr>
            </w:pPr>
          </w:p>
        </w:tc>
      </w:tr>
    </w:tbl>
    <w:p>
      <w:pPr>
        <w:jc w:val="both"/>
        <w:rPr>
          <w:lang w:val="en-US" w:eastAsia="en-US" w:bidi="ar-SA"/>
        </w:rPr>
      </w:pPr>
      <w:bookmarkStart w:id="246" w:name="Legislation Cited_20"/>
      <w:bookmarkEnd w:id="24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48" style="position:absolute;z-index:2517350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Rules of Court,</w:t>
      </w:r>
      <w:r>
        <w:rPr>
          <w:lang w:val="en-US" w:eastAsia="en-US" w:bidi="ar-SA"/>
        </w:rPr>
        <w:cr/>
      </w:r>
    </w:p>
    <w:p>
      <w:pPr>
        <w:keepNext/>
        <w:spacing w:before="240" w:line="340" w:lineRule="atLeast"/>
        <w:rPr>
          <w:lang w:val="en-US" w:eastAsia="en-US" w:bidi="ar-SA"/>
        </w:rPr>
      </w:pPr>
      <w:bookmarkStart w:id="247" w:name="Counsel_24"/>
      <w:bookmarkEnd w:id="24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9" style="position:absolute;z-index:2517862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Beata Ewa Rychter and Piotr Rychter: J.C. MacDonald.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Isle of Mann Construction Ltd.: J.C. McKechnie.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Third Party Skyline Plumbing, Heating &amp; Gas Fitting Ltd.: A.P. Lam.</w:t>
      </w:r>
      <w:r>
        <w:rPr>
          <w:lang w:val="en-US" w:eastAsia="en-US" w:bidi="ar-SA"/>
        </w:rPr>
        <w:cr/>
      </w:r>
    </w:p>
    <w:p>
      <w:pPr>
        <w:spacing w:after="240"/>
        <w:rPr>
          <w:lang w:val="en-US" w:eastAsia="en-US" w:bidi="ar-SA"/>
        </w:rPr>
      </w:pPr>
      <w:bookmarkStart w:id="248" w:name="Judgment_24"/>
      <w:bookmarkEnd w:id="248"/>
      <w:r>
        <w:pict>
          <v:line id="_x0000_s1150" style="position:absolute;z-index:25183744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49" w:name="J.D. TRUSCOTT J."/>
            <w:bookmarkEnd w:id="249"/>
            <w:r>
              <w:rPr>
                <w:rFonts w:ascii="arial" w:eastAsia="arial" w:hAnsi="arial" w:cs="arial"/>
                <w:b/>
                <w:color w:val="000000"/>
                <w:sz w:val="30"/>
                <w:lang w:val="en-US" w:eastAsia="en-US" w:bidi="ar-SA"/>
              </w:rPr>
              <w:t>J.D. TRUSCOTT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Isle of Mann Construction Ltd. ("Isle of Mann") applies for summary dismissal of this action against it on the basis that by established law it owed no duty of care to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oppose the application and seek its dismissal on the basis that on a proper interpretation of established law the defendant Isle of Mann did in fact owe them a duty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have taken default judgment against the co-defendant Whispering Ridge Development Corp. ("Whispering Ridge") on June 16, 2011, with damages to be assessed. I understand those damages remain to be assessed.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third party Skyline Plumbing, Heating &amp; Gas Fitting Ltd. ("Skyline") supports the defendant Isle of Mann's application for dismissal of the claim against it as that will also dispose of Isle of Mann's claim over against it in the third party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were purchasers of a single-family residence in the City of Surrey, from the defendant Whispering Ridge, following completion of its construction in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Isle of Mann was the general contractor retained by Whispering Ridge to construct the residence and it retained the third party Skyline as a subcontractor.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third party Skyline supplied and installed the plumbing works in the residence.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It is alleged by the plaintiffs in the Statement of Claim filed under the former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that on or about February 10, 2009 a pipe in the residence came apart causing water damage to other parts of the residence.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It is alleged that the water damage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duty of Isle of Mann and/or its employees, servants, agents or subtrades, the particulars of which are stated to include the failure to properly install the pipe so it would not come apart under normal usage, failure to install it in a proper and workmanlike manner and failure to use proper materials in the installation.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claim they suffered loss, damage and expense in the amount of $43,327.58 with particulars to be provided upon request.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particulars provided by the plaintiffs in an affidavit deposed to by a legal assistant employed in the plaintiffs' solicitor's offices consist of copies of numerous invoices for the restoration work done.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hearing plaintiffs' counsel states that the claim is not for repair to any defect in the plumbing works itself, but for the resultant damage to the interior of the residence caused by water escaping from a separation in the pipe.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Isle of Mann's response to the civil claim it is alleged that it had no contractual relationship with the plaintiffs with respect to the residence, and owed the plaintiffs no duty of care and it denies any liability in respect of the alleged water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also alleged by Isle of Mann that it contracted with Whispering Ridge to construct the dwelling without any contemplation of the plaintiffs as owners.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its Third Party Notice to Skyline, Isle of Mann alleges it retained Skyline to supply and install the plumbing to the residence and if the pipe defect that is alleged occurred and caused loss or damage then this was as a result of Skyline's breach of contract with Isle of Mann in failing to carry out the plumbing works in a good and workmanlike manner free of defects.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Counsel for Isle of Mann submits that the decision of the Supreme Court of Canada in </w:t>
      </w:r>
      <w:r>
        <w:rPr>
          <w:rFonts w:ascii="arial" w:eastAsia="arial" w:hAnsi="arial" w:cs="arial"/>
          <w:i/>
          <w:color w:val="000000"/>
          <w:sz w:val="20"/>
          <w:lang w:val="en-US" w:eastAsia="en-US" w:bidi="ar-SA"/>
        </w:rPr>
        <w:t>Winnipeg Condominium Corporation No. 36 v. Bird Construction Co.</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confirms that builders owe duties of care to ultimate and subsequent purchasers only with respect to dangerous defects in buildings and for the purpose of this application counsel for the plaintiffs has conceded that the separation of the pipe did not constitute a dangerous defect.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It is submitted that the Court of Appeal in </w:t>
      </w:r>
      <w:r>
        <w:rPr>
          <w:rFonts w:ascii="arial" w:eastAsia="arial" w:hAnsi="arial" w:cs="arial"/>
          <w:i/>
          <w:color w:val="000000"/>
          <w:sz w:val="20"/>
          <w:lang w:val="en-US" w:eastAsia="en-US" w:bidi="ar-SA"/>
        </w:rPr>
        <w:t>M. Hasegawa &amp; Co. Ltd. v. Pepsi Bottling Group (Canada), Co.</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2002 BCCA 324</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Hasegawa</w:t>
      </w:r>
      <w:r>
        <w:rPr>
          <w:rFonts w:ascii="arial" w:eastAsia="arial" w:hAnsi="arial" w:cs="arial"/>
          <w:color w:val="000000"/>
          <w:sz w:val="20"/>
          <w:lang w:val="en-US" w:eastAsia="en-US" w:bidi="ar-SA"/>
        </w:rPr>
        <w:t>] provides further confirmation that a contractor does not owe a duty of care in tort with respect to a non-dangerous defect.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It is submitted that this is again confirmed in this Court by the decision in </w:t>
      </w:r>
      <w:r>
        <w:rPr>
          <w:rFonts w:ascii="arial" w:eastAsia="arial" w:hAnsi="arial" w:cs="arial"/>
          <w:i/>
          <w:color w:val="000000"/>
          <w:sz w:val="20"/>
          <w:lang w:val="en-US" w:eastAsia="en-US" w:bidi="ar-SA"/>
        </w:rPr>
        <w:t>Clare v. I.J. Manufacturing Ltd.</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2003 BCSC 682</w:t>
        </w:r>
      </w:hyperlink>
      <w:r>
        <w:rPr>
          <w:rFonts w:ascii="arial" w:eastAsia="arial" w:hAnsi="arial" w:cs="arial"/>
          <w:color w:val="000000"/>
          <w:sz w:val="20"/>
          <w:lang w:val="en-US" w:eastAsia="en-US" w:bidi="ar-SA"/>
        </w:rPr>
        <w:t>, that the defect must be dangerous to be actionable in tort.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Counsel for the plaintiffs agrees that if the claim is for repair to or replacement of the defective item itself then it must be determined to be a dangerous defect before a claim can be made in tort for the costs of repair or replacement of the item.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it is submitted that where the claim is not for repair to or replacement of the defective item itself but to other property in the residence caused by water from the defective pipe, whether the defective pipe is to be considered dangerous or not, a claim can legally be made for the damage to the other property caused by the escaping water from the defective pipe.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Plaintiffs' counsel distinguishes the cases relied upon by Isle of Mann as all being claims of repair or replacement of the defective item itself and not claims for other damage caused by the defective item.</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 and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my review of the decisions cited by counsel for Isle of Mann, and consideration of other legal authorities, I conclude that counsel for the plaintiffs is correct when she distinguishes the case law that considers whether the defect is dangerous or not for the purpose of tort liability, as all confined to claims for repairs or replacement to the defective item itself from claims for damages to other property as a consequence of the defect, dangerous or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was a claim for the cost of repairing defects in the structure arising out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construction. The developer of the property had entered into a general contract with the general contractor Bird Construction to construct the building. Bird entered into a subcontract with a masonry subcontractor to perform the masonry portion of the work specified under the general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Subsequently Winnipeg Condominium became the registered owner of the land and building.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Eight years following the completion of construction of the building, Winnipeg Condominium became concerned about the state of the exterior cladding on the building consisting of four-inch-thick slabs of stone which had been installed by the masonry subcontractor. Consultants were retained to inspect the cladding but after some minor remedial work they considered that the stonework was structurally sound.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Seven years after that inspection a storey-high section of the cladding, approximately 20 feet in length, fell from the ninth storey to the ground below. Following further inspections Winnipeg Condominium had the entire cladding removed and replaced at a cost in excess of $1.5 million.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Action was commenced for recovery of this cost and Bird Construction filed a motion for dismissal on the basis that the action disclosed no reasonable cause of action. At trial the motion was dismissed but was granted in the Court of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further appeal to the Supreme Court of Canada La Forest J., delivering judgment for the Court, determined that the negligently supplied building was not merely shoddy; it was dangerous, and upheld the cause of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course of his judgment he said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12 ... The negligently supplied structure in this case was not merely shoddy; it was dangerous. In my view, this is important because the degree of danger to persons and other property created by the negligent construction of a building is a cornerstone of the policy analysis that must take place in determining whether the cost of repair of the building is recoverable in tort. As I will attempt to show, a distinction can be drawn on a policy level between "dangerous" defects in buildings and merely "shoddy" construction in buildings and that, at least with respect to dangerous defects, compelling policy reasons exist for the imposition upon contractors of tortious liability for the cost of repair of these defects.</w:t>
      </w:r>
    </w:p>
    <w:p>
      <w:pPr>
        <w:spacing w:before="120" w:line="260" w:lineRule="atLeast"/>
        <w:ind w:left="720"/>
        <w:rPr>
          <w:lang w:val="en-US" w:eastAsia="en-US" w:bidi="ar-SA"/>
        </w:rPr>
      </w:pPr>
      <w:r>
        <w:rPr>
          <w:rFonts w:ascii="arial" w:eastAsia="arial" w:hAnsi="arial" w:cs="arial"/>
          <w:color w:val="000000"/>
          <w:sz w:val="20"/>
          <w:lang w:val="en-US" w:eastAsia="en-US" w:bidi="ar-SA"/>
        </w:rPr>
        <w:t>13 Traditionally, the courts have characterized the costs incurred by a plaintiff in repairing a defective chattel or building as "economic loss" on the grounds that costs of those repairs do not arise from injury to persons or damage to property apart from the defective chattel or building itself. ... The Condominium Corporation is not claiming that anyone was injured by the collapsing exterior cladding or that the collapsing cladding damaged any of its other property. Rather, its claim is simply for the cost of repairing the allegedly defective masonry and putting the exterior of the building back into safe working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response to a subsidiary claim of Winnipeg Condominium that the losses could be characterized as damage to property as opposed to economic loss, relying upon the complex structure theory presented by Lord Bridge in </w:t>
      </w:r>
      <w:r>
        <w:rPr>
          <w:rFonts w:ascii="arial" w:eastAsia="arial" w:hAnsi="arial" w:cs="arial"/>
          <w:i/>
          <w:color w:val="000000"/>
          <w:sz w:val="20"/>
          <w:lang w:val="en-US" w:eastAsia="en-US" w:bidi="ar-SA"/>
        </w:rPr>
        <w:t>D &amp; F Estates Ltd. v. Church Commissioners for England</w:t>
      </w:r>
      <w:r>
        <w:rPr>
          <w:rFonts w:ascii="arial" w:eastAsia="arial" w:hAnsi="arial" w:cs="arial"/>
          <w:color w:val="000000"/>
          <w:sz w:val="20"/>
          <w:lang w:val="en-US" w:eastAsia="en-US" w:bidi="ar-SA"/>
        </w:rPr>
        <w:t xml:space="preserve">, [1988] 2 All E.R. 992, Mr. Justice La Forest pointed out that Lord Bridge had rejected his own complex structure theory in </w:t>
      </w:r>
      <w:r>
        <w:rPr>
          <w:rFonts w:ascii="arial" w:eastAsia="arial" w:hAnsi="arial" w:cs="arial"/>
          <w:i/>
          <w:color w:val="000000"/>
          <w:sz w:val="20"/>
          <w:lang w:val="en-US" w:eastAsia="en-US" w:bidi="ar-SA"/>
        </w:rPr>
        <w:t>Murphy v. Brentwood District Council</w:t>
      </w:r>
      <w:r>
        <w:rPr>
          <w:rFonts w:ascii="arial" w:eastAsia="arial" w:hAnsi="arial" w:cs="arial"/>
          <w:color w:val="000000"/>
          <w:sz w:val="20"/>
          <w:lang w:val="en-US" w:eastAsia="en-US" w:bidi="ar-SA"/>
        </w:rPr>
        <w:t>, [1990] 2 All E.R. 908, and he expressed full agreement with Lord Bridge's criticisms of the complex structure theory in rejecting it himself.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dealing with the complex structure theory Mr. Justice La Forest referred to what Lord Bridge had said in </w:t>
      </w:r>
      <w:r>
        <w:rPr>
          <w:rFonts w:ascii="arial" w:eastAsia="arial" w:hAnsi="arial" w:cs="arial"/>
          <w:i/>
          <w:color w:val="000000"/>
          <w:sz w:val="20"/>
          <w:lang w:val="en-US" w:eastAsia="en-US" w:bidi="ar-SA"/>
        </w:rPr>
        <w:t>Murphy v. Brentwood</w:t>
      </w:r>
      <w:r>
        <w:rPr>
          <w:rFonts w:ascii="arial" w:eastAsia="arial" w:hAnsi="arial" w:cs="arial"/>
          <w:color w:val="000000"/>
          <w:sz w:val="20"/>
          <w:lang w:val="en-US" w:eastAsia="en-US" w:bidi="ar-SA"/>
        </w:rPr>
        <w:t xml:space="preserve"> at p. 928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reality is that the structural elements in any building form a single indivisible unit of which the different parts are essentially interdependent. To the extent that there is any defect in one part of the structure it must to a greater or lesser degree necessarily affect all other parts of the structure. Therefore any defect in the structure is a defect in the quality of the whole and it is quite artificial, in order to impose a legal liability which the law would not otherwise impose, to treat a defect in an integral structure, so far as it weakens the structure, as a dangerous defect liable to cause damage to 'other property'.</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A critical distinction must be drawn here between some part of a complex structure which is said to be a 'danger' only because it does not perform its proper function in sustaining the other parts and some distinct item incorporated in the structure which positively malfunctions so as to inflict positive damage on the structure in which it is incorporated. Thus, if a defective central heating boiler explodes and damages a house or a defective electrical installation malfunctions and sets the house on fire, I see no reason to doubt that the owner of the house, if he can prove that the damage was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boiler manufacturer in the one case or the electrical contractor in the other, can recover damages in tort on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(H.L.)] principles.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Later on in the judgment Mr. Justice La Forest said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21 ... In my view, where a contractor (or any other person) is negligent in planning or constructing a building, and where that building is found to contain defects resulting from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pose a real and substantial danger to the occupants of the building, the reasonable cost of repairing the defects and putting the building back into a non-dangerous state are recoverable in tort by the occupants. The underlying rationale for this conclusion is that a person who participates in the construction of a large and permanent structure which, if negligently constructed, has the capacity to cause serious damage to other persons and property in the community, should be held to a reasonable standard of care. ...</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41 Given the clear presence of a real and substantial danger in this case, I do not find it necessary to consider whether contractors should also in principle be held to owe a duty to subsequent purchasers for the cost of repairing non-dangerous defects in buildings. It was not raised by the parties. ...</w:t>
      </w:r>
    </w:p>
    <w:p>
      <w:pPr>
        <w:spacing w:before="120" w:line="260" w:lineRule="atLeast"/>
        <w:ind w:left="720"/>
        <w:rPr>
          <w:lang w:val="en-US" w:eastAsia="en-US" w:bidi="ar-SA"/>
        </w:rPr>
      </w:pPr>
      <w:r>
        <w:rPr>
          <w:rFonts w:ascii="arial" w:eastAsia="arial" w:hAnsi="arial" w:cs="arial"/>
          <w:color w:val="000000"/>
          <w:sz w:val="20"/>
          <w:lang w:val="en-US" w:eastAsia="en-US" w:bidi="ar-SA"/>
        </w:rPr>
        <w:t>42 Without entering into this question, I note that the present case is distinguishable on a policy level from cases where the workmanship is merely shoddy or substandard but not dangerously defective. In the latter class of cases, tort law serves to encourage the repair of dangerous defects and thereby to protect the bodily integrity of inhabitants of buildings. By contrast, the former class of cases bring into play the questions of quality of workmanship and fitness for purpose. These questions do not arise here. Accordingly, it is sufficient for present purposes to say that, if Bird is found negligent at trial, the Condominium Corporation would be entitled on this reasoning to recover the reasonable cost of putting the building into a non-dangerous state, but not the cost of any repairs that would serve merely to improve the quality, and not the safety, of the building.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Hasegawa</w:t>
      </w:r>
      <w:r>
        <w:rPr>
          <w:rFonts w:ascii="arial" w:eastAsia="arial" w:hAnsi="arial" w:cs="arial"/>
          <w:color w:val="000000"/>
          <w:sz w:val="20"/>
          <w:lang w:val="en-US" w:eastAsia="en-US" w:bidi="ar-SA"/>
        </w:rPr>
        <w:t xml:space="preserve"> was a case where the plaintiff was a Japanese company that had purchased bottled water from a company in Canada, Aqua 1 Beverage Co. Inc. The bottled water was found to have contained a small percentage of mould flocs. The water had been bottled for Aqua by Pepsi and when the bottled water was pulled from market in Japan the plaintiff suffered losses exceeding $1.5 million.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trial judge had dismissed the claim holding that Pepsi owed no duty of care to the plaintiff for pure economic loss because the defective product had caused neither personal injury nor damage to property of others, and because the plaintiff failed to prove that the product posed a real and substantial danger to the health of potential consumers.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trial decision was upheld in the Court of Appeal, Chief Justice Finch writing the reasons concurred in by Esson J.A. and Prowse J.A.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Chief Justice Finch concluded that the trial judge had not erred in rejecting the argument that it was a case of damage to property, and he quoted Mr. Justice La Forest in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as I have set out at para. 29 of this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concluded that the trial judge did not err in finding no duty of care on the basis of no evidence that the contaminated water posed a real and substantial danger to the health of potential consumers.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 he said at para. 57 of the reasons: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A legal rule which imposed liability for the manufacture or supply of defective, but non-dangerous, goods would create an implied warranty of product quality for the sale of commercial products, in the absence of contract. Such a rule would be an enormous change in the law, and would indeed create "liability in an indeterminate amount for an indeterminate time to an indeterminate class": per Cardozo C.J. in </w:t>
      </w:r>
      <w:r>
        <w:rPr>
          <w:rFonts w:ascii="arial" w:eastAsia="arial" w:hAnsi="arial" w:cs="arial"/>
          <w:i/>
          <w:color w:val="000000"/>
          <w:sz w:val="20"/>
          <w:lang w:val="en-US" w:eastAsia="en-US" w:bidi="ar-SA"/>
        </w:rPr>
        <w:t>Ultramares Corp. v. Touche</w:t>
      </w:r>
      <w:r>
        <w:rPr>
          <w:rFonts w:ascii="arial" w:eastAsia="arial" w:hAnsi="arial" w:cs="arial"/>
          <w:color w:val="000000"/>
          <w:sz w:val="20"/>
          <w:lang w:val="en-US" w:eastAsia="en-US" w:bidi="ar-SA"/>
        </w:rPr>
        <w:t>, 174 N.E. 441 (N.Y.C.A. 1931) at p. 444.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Clare</w:t>
      </w:r>
      <w:r>
        <w:rPr>
          <w:rFonts w:ascii="arial" w:eastAsia="arial" w:hAnsi="arial" w:cs="arial"/>
          <w:color w:val="000000"/>
          <w:sz w:val="20"/>
          <w:lang w:val="en-US" w:eastAsia="en-US" w:bidi="ar-SA"/>
        </w:rPr>
        <w:t xml:space="preserve"> was a case of a claim for defective windows installed in homes in Kamloops and the necessity to remove and replace them.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was cited as well as </w:t>
      </w:r>
      <w:r>
        <w:rPr>
          <w:rFonts w:ascii="arial" w:eastAsia="arial" w:hAnsi="arial" w:cs="arial"/>
          <w:i/>
          <w:color w:val="000000"/>
          <w:sz w:val="20"/>
          <w:lang w:val="en-US" w:eastAsia="en-US" w:bidi="ar-SA"/>
        </w:rPr>
        <w:t>Hasegawa</w:t>
      </w:r>
      <w:r>
        <w:rPr>
          <w:rFonts w:ascii="arial" w:eastAsia="arial" w:hAnsi="arial" w:cs="arial"/>
          <w:color w:val="000000"/>
          <w:sz w:val="20"/>
          <w:lang w:val="en-US" w:eastAsia="en-US" w:bidi="ar-SA"/>
        </w:rPr>
        <w:t xml:space="preserve"> and the conclusion reached was that as the law stands in British Columbia in order to recover in tort the plaintiff must show the windows were not only defective but dangerous.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three cases cited by defence counsel were all claims for repair or replacement of the defective item itself, similar to a claim for breach of implied warranty of fitness.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the cladding was part of the structure itself. Once the compact structure theory was rejected where a defect in one part of the structure is considered to have damaged another part of the structure, and the structure was to be considered to be one indivisible entity, a duty of care for the cost of replacement of the cladding could only be found to exist if the defect was considered to be a danger to people or other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While Mr. Justice La Forest left open the question of whether contractors could also be held to a duty of care to subsequent purchasers for the cost of repairing non-dangerous defects in buildings, Chief Justice Finch in </w:t>
      </w:r>
      <w:r>
        <w:rPr>
          <w:rFonts w:ascii="arial" w:eastAsia="arial" w:hAnsi="arial" w:cs="arial"/>
          <w:i/>
          <w:color w:val="000000"/>
          <w:sz w:val="20"/>
          <w:lang w:val="en-US" w:eastAsia="en-US" w:bidi="ar-SA"/>
        </w:rPr>
        <w:t>Hasegawa</w:t>
      </w:r>
      <w:r>
        <w:rPr>
          <w:rFonts w:ascii="arial" w:eastAsia="arial" w:hAnsi="arial" w:cs="arial"/>
          <w:color w:val="000000"/>
          <w:sz w:val="20"/>
          <w:lang w:val="en-US" w:eastAsia="en-US" w:bidi="ar-SA"/>
        </w:rPr>
        <w:t xml:space="preserve"> says that this would amount to an enormous change in the law, at least for defective non-dangerous goods, if there is to be a distinction between goods and structures.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As to other damage caused by the defect Mr. Justice La Forest gave examples of defective central heating boiler exploding and damaging a house or a defective electrical installation malfunctioning and setting fire to the house, and he confirmed that the owner can recover damages in tort on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principles in those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Hasegawa</w:t>
      </w:r>
      <w:r>
        <w:rPr>
          <w:rFonts w:ascii="arial" w:eastAsia="arial" w:hAnsi="arial" w:cs="arial"/>
          <w:color w:val="000000"/>
          <w:sz w:val="20"/>
          <w:lang w:val="en-US" w:eastAsia="en-US" w:bidi="ar-SA"/>
        </w:rPr>
        <w:t xml:space="preserve"> the defective product was the bottled water itself and when the plaintiff failed to prove that the product posed a real and substantial danger to the health of potential consumers, and the product had not caused actual personal injury nor property damage to others, there could be no duty of care under the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requirements.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Clare</w:t>
      </w:r>
      <w:r>
        <w:rPr>
          <w:rFonts w:ascii="arial" w:eastAsia="arial" w:hAnsi="arial" w:cs="arial"/>
          <w:color w:val="000000"/>
          <w:sz w:val="20"/>
          <w:lang w:val="en-US" w:eastAsia="en-US" w:bidi="ar-SA"/>
        </w:rPr>
        <w:t xml:space="preserve"> the claim was allowed to proceed at trial only because the court considered that based on the evidence led to that point in time the defective windows might be considered to have posed a real and substantial danger to the occupants. Defence counsel's motion for dismissal at the end of the plaintiff's case was denied.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case of repair or replacement of parts of the structure or product itself, and no other personal injury or property damage caused, a cause of action in tort for damage to the structure or product itself will arise only where the defect is determined to present a danger to persons or other property, but not otherwise.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As I understand Mr. Justice La Forest's judgment in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if the defective item is not part of the structure itself and it causes damage to the structure, there is a duty of care owed for this damage to other property. Similarly, this principle must also apply to defective items such as the plumbing that are not part of the structure itself that cause damage to improvements in the structure.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confirmed here by plaintiffs' counsel the only claim for damage in this case is to other property in the house and not to the pipe itself and therefore a duty of care can be owed to the plaintiffs for the cost of repair or replacement of that other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saying this I am not deciding that Isle of Mann owed a duty of care to the plaintiffs for the plumbing. That is a conclusion that can only be reached after considering all the evidence and considering the nature of any duty of care that Isle of Mann owed to the plaintiffs and the standard of care it owed with respect to that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application of Isle of Mann for dismissal of the claim against it on the basis that it cannot owe a duty of care to the plaintiffs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will have their costs of this application in any event of the cause.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third party did not take part in the application other than to appear on the hearing and make no submissions. It will bear its own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J.D. TRUSCOTT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Sandhu v. Raveendran, [2017] B.C.J. No. 591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7-9,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M26813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591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2017 BCSC 499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Kamaljit Kaur Sandhu, Plaintiff, And Rajesh Kuniyil Raveendran, Anitha Rajesh and Jagdev Sandhu,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2"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0" w:name="Keywords_24"/>
      <w:bookmarkEnd w:id="250"/>
      <w:r>
        <w:rPr>
          <w:rFonts w:ascii="arial" w:eastAsia="arial" w:hAnsi="arial" w:cs="arial"/>
          <w:b/>
          <w:color w:val="000000"/>
          <w:sz w:val="20"/>
          <w:lang w:val="en-US" w:eastAsia="en-US" w:bidi="ar-SA"/>
        </w:rPr>
        <w:t>Damages — Proceedings — Practice and procedure — Evidence — Burden of proof — Action by the plaintiff Sandhu for personal injuries arising from a motor vehicle accident dismissed — In 2012, the defendant's vehicle struck the plaintiff's vehicle in a parking lot — The defendant was responsible for the very minor, slow-moving accident, as he failed to take proper care while backing up — The plaintiff had suffered no personal injuries, and that her claims of soft tissue and whiplash injuries were not credible — The only liability of the defendant was for the property damage to the plaintiff's vehicle, valued at $1,500 — Motor Vehicle Act, s. 193.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 Rules of the road — Backing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Parking — Lots and garages — Liability — Civil actions — Operator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Sandhu for personal injuries arising from a motor vehicle accident dismissed — In 2012, the defendant's vehicle struck the plaintiff's vehicle in a parking lot — The defendant was responsible for the very minor, slow-moving accident, as he failed to take proper care while backing up — The plaintiff had suffered no personal injuries, and that her claims of soft tissue and whiplash injuries were not credible — The only liability of the defendant was for the property damage to the plaintiff's vehicle, valued at $1,500 — Motor Vehicle Act, s. 193.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1" w:name="Case Summary_23"/>
            <w:bookmarkEnd w:id="2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Sandhu for personal injuries arising from a motor vehicle accident. In March 2012, the plaintiff was a passenger in a van driven by her husband, also a defendant. The defendant Raveendran was pulling out from outside a mall business and struck the plaintiff's vehicle on the right passenger side with the left side of his van. Raveendran's vehicle was moving very slowly, and the plaintiff's vehicle was stationary. The collision was very minor. The plaintiff claimed that she suffered soft tissue and whiplash injuries from the impact. The plaintiff also claimed against her husband. The ICBC was a third party, opposing the plaintiff's claim and defending the plaintiff's husband. The defendants argued that the plaintiff had not suffered any damages and denied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the accident. There was property damage to the front of the plaintiff's vehicle, which was written off because it was valued at only $1,500, less than the cost of repairs. The plaintiff claimed that she felt a jolt, but did not strike anything else in the vehicle. She claimed soft tissue whiplash injuries to her head, neck, shoulder, and low back, as well as depression. The plaintiff went to her family doctor one week after the accident; his opinion, which he admitted was based on the plaintiff's self-reporting of her symptoms, was that the plaintiff had suffered whiplash-type injuries. The plaintiff sought non-pecuniary and general damages. The plaintiff attended at physiotherapy and claimed $1,060 in special damages. The defendants denied any liability, and claimed that the plaintiff had suffered no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2" w:name="Holdings of Court_18"/>
            <w:bookmarkEnd w:id="25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Raveendran was responsible for the accident, as he had failed to take proper care while backing up, contrary to s. 193 of the Motor Vehicle Act. However, the plaintiff's claim was dismissed where her claim that she had suffered injury was not credible. The plaintiff was not a credible witness, and had not establish any of the injuries she claimed. The opinion of the family doctor, who was a sincere business, was not given great weight.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3" w:name="Legislation Cited_21"/>
      <w:bookmarkEnd w:id="2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3"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16" w:history="1">
        <w:r>
          <w:rPr>
            <w:rFonts w:ascii="arial" w:eastAsia="arial" w:hAnsi="arial" w:cs="arial"/>
            <w:i/>
            <w:color w:val="0077CC"/>
            <w:sz w:val="20"/>
            <w:u w:val="single"/>
            <w:shd w:val="clear" w:color="auto" w:fill="FFFFFF"/>
            <w:lang w:val="en-US" w:eastAsia="en-US" w:bidi="ar-SA"/>
          </w:rPr>
          <w:t>R.S.B.C. 1996, c. 318, s. 193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4" w:name="Counsel_25"/>
      <w:bookmarkEnd w:id="2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4"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R.S. Dhami.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Raveendran and Rajesh: P.K. Hamilton.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Jagdev Sandhu: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Third Party, Insurance Corporation of B.C.: J.P. Cahan.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5" w:name="Judgment_25"/>
      <w:bookmarkEnd w:id="255"/>
      <w:r>
        <w:pict>
          <v:line id="_x0000_s1155"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6" w:name="N. BROWN J."/>
            <w:bookmarkEnd w:id="256"/>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Kamaljit Kaur Sandhu ("Ms. Sandhu"), alleges she was injured on March 8, 2012, when a Chevrolet Lumina vehicle ("the Chevrolet") in which she was a passenger entered a shopping mall parking lot located at 31205 Maclure Road, in Abbotsford, B.C. She says that the Chevrolet was struck (the "Accident") by a 2011 Honda Odyssey van ("the Honda") being driven by the defendant, Mr. Rajesh Kuniyil Raveendran ("Mr. Raveendran"). The plaintiff's husband, the defendant, Mr. Jagdev Sandhu ("Mr. Sandhu"), was driving the Chevrolet.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not in issue that when Mr. Raveendran was slowly reversing his Honda van from where he had pulled in to pick up his daughter from a tai kwon do class, the right rear side of his Honda briefly struck the left side of the Chevrolet - a little less than halfway down the driver-side door. Mr. Sandhu did not notice the Chevrolet had pulled up beside him until he heard a scraping type of sound. Apart from that, there was no noticeable response to the contact from his perspective. The plaintiff testified she felt a jolt but denied contact with any part of the inside of the Chevrolet and could not recall any body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Both drivers denied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 and also denied the Accident caused the plaintiff any injury, loss, damage or expense The Insurance Corporation of British Columbia ("ICBC") filed a third party notice for the purpose of defending the defendant, Mr. Raveendran.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witnesses were the plaintiff; her husband, Mr. Sandhu; and her daughter, Rippan, age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contact between two vehicles was relatively superficial. A photograph of the vehicle damage to the driver-side door of Chevrolet shows a rather shallow dent with a circumference of more or less a foot on the driver-side door. The paint scraping type of damage to the right rear side of the Honda is relatively superficial, starting from the right end of the back bumper about a foot from the bottom edge of the right rear quarter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Mall surveillance video recorded the movement of the Chevrolet from the west end of the mall, where it had been parked so the plaintiff, her husband, and her mother had an appointment with their family physician, to the east end of the mall, where Mr. Raveendran had pulled into with his Honda. The mechanics of the contact and positioning of vehicles was excavated by counsel in considerable detail, with the surveillance videos played multiple times. One of the longer segments was taken from some distance away from the actual contact between vehicles. Another segment was recorded looking down to where the Honda had pulled in. It was useful because it confirmed the relatively short distance the Honda had moved when it rolled back from its original stationary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basic mechanics of the Accident can be distilled to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video and an aerial photograph of the mall showed parking stalls lining a mall lane way that allows people to access parking stalls and/or access retail outlets lining the north side of the mall. The video shows the Chevrolet moving down the lane to where Mr. Raveendran had parked, near the entrance of the tai kwon do studio. The plaintiff's daughter also happened to be attending a class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video shows the Chevrolet pulling into a space beside the Honda. The space was a not a parking stall, but parents of tai kwon do students sometimes park there momentarily to drop off and pick up their children. Mr. Sandhu had pulled in there because the plaintiff's mother wanted to see her granddaughter perform tai kwon do and after surgery to her knee, she could not walk very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find the space to the right of the Honda was less than its width, making the space tight for two vehicles in a space not intended for use as a parking 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Mr. Raveendran pulled in he gestured to his daughter, who he saw through the studio window, to come out to the Honda. After she got in, he conducted a 360-degree surveillance of his surroundings. To his left in the distance, near the east end of the mall laneway, he noticed the Chevrolet which he thought had come to a stop, west of a road that exited to the right onto Maclure Road. This testimony brought on considerable cross-examination assisted by several replays of the surveillance video. Little turns on whether Mr. Sandhu stop momentarily there or not and so no finding is necessary. Either way, he continued down the laneway without stopping until he pulled into the remaining space beside the Honda.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Chevrolet had pulled in after Mr. Raveendran had conducted his 360-degree surveillance. Apart from noticing the Chevrolet at the eastern end of the mall, he saw no obstructions, no pedestrians, et cetra. He did not know the Chevrolet was beside him. When he released the brake, the van rolled slowly back about two to three turns of the tires' circumference. He heard a scraping sound, came to a stop, and noticed the top of the Chevrolet roof to his right. Both vehicles then reversed.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turn now to what happened on contact, and the injuries and damages claimed: The plaintiff alleges that she felt a jolt, but denied hitting anything inside the car or being moved in any direction. She claimed to have suffered soft tissue injuries, head, neck, shoulder, and low back, combined with depression. The plaintiff indicated these symptoms came on right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Special damages claimed total $1,060.14 for physiotherapy treatments undertaken between August 16, 2012 and December 20, 2012, at Apex Physiotherapy and Surreyside Physiotherapy. Also Included in the total is a gym membership for $110.22; and mileage expenses for attendance at Apex Physiotherapy and Surreyside Physiotherapy totaling $124.92. No physiotherapy records were put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for quantum, there is no wage loss claim. The only heads of damages, therefore, are non-pecuniary damages and special damages. The plaintiff's calculation of the special damages amounts is not contested, but the medical necessity and reasonableness of the treatments are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deny both liability and quantum, as they deny any injury at all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parties had some conversation after they got out of their vehicles, complicated by the fact that Mr. Raveendran spoke only a little Punjabi, mostly English and Hindi. Mr. Sandhu a little English and no Hindi. They did not exchange information at that point. Mr. Raveendran had never had an accident and felt unsure about what to do, so he called a friend who came to the scene. When he looked up from their conversation, he noticed the Chevrolet and its occupants were no longer there. The plaintiff and Mr. Sandhu testified they had driven to the nearby ICBC Centre to report the Accident. It was closed. They had a cell phone but did not use it to report the Accident by that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Underlying the main issues before the court, I should note there was a secondary one that periodically came up. It related to who was occupying the Chevrolet at the time of impact. Mr. Raveendran recalled noticing the plaintiff's daughter in the back seat of the Chevrolet when he first took notice, but not the plaintiff's mother; not until the Chevrolet had returned to the scene after leaving unannounced. Who was and was not in the vehicle at the time of impact may have a part to play in other claims involving the plaintiff's mother. But any findings on that issue here are secondary, marginally relevant, and I make no findings on that question, leaving it to whatever other proceedings may have it more directly in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credibility of the plaintiff's injury claim was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and her husband could not definitely recall the cost of repair, but ICBC wrote off the vehicle as it was worth less than the estimated $1,200 to $1,500 to repair the damage. The plaintiff recalled receiving roughly $2,000 from ICBC, presumably representing the salvage value of the Chevrolet. The vehicle was still drivable after the Accident and, from Exhibit 2, looked to be in decent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Only one medical legal report was entered into evidence. Dr. Harpreet Kaler was the plaintiff's family physician. He did not see her after the Accident until March 15, 2012, seven days after it occurred. He saw her for the purposes of preparing his medical report on November 10, 2016. I will address the contents of his report and opinion further on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was 37 years of age. She came to Canada in 1994. She had a grade 9 education obtained in India. She has been married 13 years and has children aged 12, 10 and 4. Her only employment has been with Lally Farms Inc., a dairy farm where she works seasonally between June and February of each year. In the off-season she would collect Employment Insurance ("EI"). She was not working at the time of the Accident. Due to the Accident, she switched from regular EI benefits to illness benefits. She did not plan to work during her pregnancy. Her husband and parents assisted her with childcare.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Turning now to the Accident, the plaintiff testified she was sitting in the passenger seat behind the driver. Her mother was sitting in the right front passenger seat. She testified that they had been in the mall to see Dr. Kaler. He is a family physician for all members of the family. They usually attend appointments together. She thought the appointment with Dr. Kaler was scheduled between 4:30 and 5:00 p.m. Their family home is located only five to seven minutes away from the clinic. She was seeing the doctor in relation to her pregnancy. Another plan the family had at the time was to enable the plaintiff's mother to see her granddaughter, the plaintiff's daughter, performing in her tae kwon do class. The plan was to drive the Chevrolet from the medical clinic down to the location of the tae kwon do studio because her mother could not walk very well, and because the plaintiff herself had difficulty walking due to pregnancy related swelling in her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their Chevrolet pulled in and stopped beside the defendant's, Mr. Raveendran's, Honda, she did not see how the impact occurred. She testified she heard her husband yelling "stop, stop," then felt a jolt. She testified she did not pay much attention to the other vehicle but saw it was a Honda. She acknowledged the damage was located at the driver's door shown in Exhibit 2. She granted it was "not a big accident". She testified that she felt a jolt.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next recalled that they drove to the ICBC facility to report the Accident, but it was closed. They then returned to the mall, about three to four minutes distant, estimating a return within about 15 to 20 minutes from the time of the Accident. On their return, they put parked in front of the tai kwon do studio where the Accident occurred. The plaintiff recalled having some conversation with the driver. The plaintiff testified that she; the defendant, her husband; and her mother were in the car at that time. The plaintiff denied her daughter was in the car. She testified that her father, son, and daughter were engaged in the tae kwon do class inside the facility. She testified they were there inside when the Accident occurred and denied her daughter came out until her class was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INJURIES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Kaler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the plaintiff saw Dr. Kaler roughly one week after the Accident, her physical examination presented as normal. Her only subjective complaint was low back pain at that time. Later, she reportedly suffered headaches, bilateral shoulder pain, upper back pain, mid-back pain, right wrist pain, as late as November 2016. When examined on November 10, 2016, she reported headaches, bilateral shoulder pain, lower back pain and right wrist pain upon exertion. On that examination, four and one-half years after the Accident, Dr. Kaler found neurological examination of the upper and lower extremities normal. He noted only tender resisted range of motion at the bilateral shoulders, at the lumbar spine and at the right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p. 3 of his report, he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all the information available to me, I am of opinion that in the accident of March 8, 2012, [the plaintiff] suffered a soft tissue injury to both shoulders, soft tissue injuries upper back, soft tissue injury to mid back, soft tissue injury to lower back, soft tissue injury to right wrist, short episode of post reactive depression and cervicogenic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noted her post reactive depression had resolved. He did not think she would develop permanent sequelae. He further stated that he would advise her to do self-directed exercise and to normalize her functional activities, despite pain, although he stated as well, "it is difficult to state when a complete recovery will be achieved." This comment is difficult to credit because, according to the plaintiff's own testimony, by then she had recovered from all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found no evidence suggestive of a bony injury, fracture, disc herniation, or neurological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Kaler presented as a sincere witness. He granted that he accepted whatever symptoms a patient reports to them as true. When he first examined the plaintiff did not question her regarding mechanics of the evidence. He did not realize the Accident had been such a minor one. In connection with that he agreed the injury potential of a low-speed impact would be much less than what was anticipated for impacts involving greater force. When shown the video surveillance showing the nature of the contact between the vehicles, he granted it would be unlikely that would cause injury. He added, however, that every patient is unique and each case different. He offered examples of patients developing symptoms from sneezing or stepping off the curb. These are not helpful examples because those patients are not seeking compensation for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agreed that he would anticipate physical symptoms related to an impact to be reported within one week of the alleged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Further on cross-examination, he agreed that during the time that he treated the plaintiff he did not identify objective findings and relied on the plaintiff's reporting of subjective symptoms. He granted he had no idea if the plaintiff's self-report was accurate, but having reviewed the video surveillance and his own records, as well as certain medical literature put to him, he agreed it was possible the plaintiff was not injured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clinic that Dr. Kaler works in has 24,000 patients; of this total, 14,000 to 15,000 are part of his own practice. He sees between 50 and 65 patients daily. He treats patients with soft tissue injuries on a daily basis. He explained his practice was not a forensic practice and that he accepted his patient's subjective complaints at face value, as just mentioned. He was aware of the concepts of malingering and secondary gain concerns but based on his prior experience with the plaintiff, he denied having such concerns with respect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Dr. Kaler left a good general impression as a witness, I nonetheless was left with considerable difficulty with some aspects of his testimony. Given the fact that he did not find any notable objective evidence of injury and had no evidence to speak of with respect to the mechanics of the Accident, having asked no questions about them in this case, he is not really in a position to assess whether secondary gains influenced the plaintiff's subjective complaints. Having seen the surveillance video, he granted the possibility the plaintiff would not have been injured from it. The fact that family physicians are generally expected to be advocates for their patients and to provide them with the treatment referrals they need to treat their subjective complaints does not, when being asked to provide a medical legal opinion, deflect all responsibility to assist the court by providing some basic evidence related to the mechanics of the alleged fomenting trauma, particularly when it involves a motor vehicle accident and the patient may be entitled to receive compensation. In short, Dr. Kaler relied almost completely on the plaintiff's self-report, accepting it at face value in accord with his role as a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An opinion based almost entirely on a self-report that standing within the context of all the other evidence, including causation evidence, in congress strongly skeptically challenge the injury potential of the collision dynamics and does not assist the plaintiff's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Briefly, I note the following findings and considerations in assessing the readability of the plaintiff's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testified she did not take medications because she was pregnant and did not commence physiotherapy treatment until June 25, 2012, after the child's birth. Dr. Kaler noted the Accident did not affect the plaintiff's pregnancy. She testified she attended Apex Physiotherapy for four or five months and then started going to the gym in about March 2012. She testified the treatment helped her symptoms, but did not resolve all of them. The court was presented with receipts but not physiotherapy clinical records or evidence from the physiotherapists.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June 2013, she returned to work. Asked about her recovery, she testified that she started to get better gradually; recalling, however, that she was not fully resolved for three years. She modified this evidence slightly with respect to neck and shoulder symptoms from which she testified she recovered in about one and one-half to two years, the rest taking three years. She denied any problems now, four years after the Accident. But Dr. Kaler's November 10, 2016 examination and the symptoms he recorded indicate the plaintiff was still complaining of a full array of symptoms when he saw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Questioned about homemaking following the Accident, she testified that she had to do the work, but that her husband and father helped a lot, and her mother held the child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Asked about the effect on her social life, she testified that she did not like going out to the stores, et cetera, but was fine in that area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cross-examination, the plaintiff acknowledged her involvement in a motor vehicle accident on December 8, 2011, roughly one year before this one. That accident occurred in an intersection. The plaintiff explained that she was intending to turn left into a school to pick up the children. The other vehicle was also turning left, it appeared to her, but instead, had gone straight ahead and a collision occurred. She denied any injuries to her neck or shoulder at that time, but admitted her back hurt. She denied any headaches at that time. She denied any depression at that time. She testified that her only injury was to her low back. She testified the back pain lasted only one to two months and then was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could not recall if her mother said she had been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suffered no pregnancy complications as result of the Accident. She suffered feet swelling due to being overweight, but did not know if that related to gestational diabetes. The plaintiff had a long history of chronic obesity.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did not seek medical treatment right after the Accident although the doctor's office was only a short distance away in the mall. She testified that she did not know English well enough to report the Accident by phone, despite the fact she had been in Canada since 1994, had attended school in Canada and knew accident reporting procedures as she had been involved in the prior motor vehicle accident in December 2011. She denied that they had left the scene to pick up her mother and bring her to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testified that when she saw Dr. Kaler, she told him about her neck shoulders and depression. She said she was depressed because she had an accident, had injuries, and was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agreed her family doctor was always telling her she should lose weight and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An August 18, 2010 clinical record and its reference to morbid obesity was put to the plaintiff, She denied she was being treated for depression at that time. On November 3, 2011, Dr. Kaler noted that the plaintiff was distressed and was pregnant at that time. The plaintiff on cross-examination denied recalling being counselled and stressed about being pregnant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acknowledged that pregnancy can cause lower back pain before and after the birth of the child. On December 8, 2011, following the previous accident, Dr. Kaler noted anxiety and lower and mid back pain, as well as soft tissue injuries. He also noted on December 14, 2011, seeing the plaintiff for shoulder pain and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When asked to confirm that she had retained counsel less than three weeks after the Accident, she testified she did not know but it was in the near future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Asked about her husband's actions with respect to the Accident, she could think of nothing that he ought to have done differently than he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denied that she reported symptoms falsely for compensation purposes, knowing she was not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called her daughter, Rippan, to testify regarding her location at the time of the Accident. Age 12, she was a very pleasant child, intelligent. She has been receiving straight A's in school and has received a Citizenship Award. She said that she recalled what she did about the motor vehicle accident of March 8, 2012 because that was the first time her grandmother had watched her do any tai kwon do. She recalled her brother and her grandfather came to the class and the practice lasted to between 4:30 and 5:00 p.m. She denied she got in her parents' car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will now discuss the evidence and state my findings:</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Chevrolet was stationary at impact.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Mr. Raveendran, started the Honda. He took his foot off the brake. The tires slowly completed their circumference, two to three turns of its tires, before the right side of the Honda contacted the left driver-side door of the Chevrolet.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vehicles were at a slight angle on impact.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of impact was not bumper to bumper. There is no indication the solid substructures of the vehicles were involved. The visible damage was not deeply intrusive into the bodies of the vehicles; a fairly shallow dent of the surface of the driver's door of the Chevrolet and some surface scraping of the right rear panel and leading edge of the bumper on the Honda is all that is noteworthy.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relied on the fact that the cost of repairing the Honda was $1,200 and the Chevrolet, written off, $1,500. Considering the cost of vehicle repairs generally, these figures do not denote significant impacts, rather, more likely, in my opinion, the costs of materials and labour for prepping, taping, sanding, painting, et cetera. There is no indication of parts replacement or significant structural damage requiring repair.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either vehicle was moved from its path or static position, or moved about by the impact.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complained only of a jolt, the nature of which she had difficulty explaining, but she denied her body came into contact with the interior of the car or that she was moved about.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video surveillance segments, viewed in congress with the photographs of the vehicle damages, which the court viewed in the range of 10 times, convey a strong impression of a very minor impact, most unlikely to cause injuries, let alone ones requiring a recovery period of three to four years.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recovered from the injuries related to her previous accident.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reported immediate onset of symptoms, but instead of reporting to Dr. Kaler's office about 100 feet away, or to the hospital, drove to the ICBC Claim Centre to report the Accident.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submits the fact she attended physiotherapy sessions after the birth of her child argues against invented symptoms. But as I mentioned earlier, there is no evidence showing for what reasons she attended the clinics, the nature of the treatments, the symptoms reported or observations made. Dr. Kaler had clinically noted concerns of morbid obesity; and, as the plaintiff granted, giving birth to a child can cause physical problems. I cannot find a link between the need for physiotherapy and the alleged trauma.</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for depression, Dr. Kaler's evidence shows the plaintiff earlier had been concerned about becoming pregnant again. The basis for linking this minor accident to alleged depression, say, stemming from a chronic pain syndrome, is not present. There is no diagnosis of chronic pain, for example, to generate a logical medical link between physical trauma and depression usually seen the cases.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plausible, and there is no persuasive medical legal evidence to show, that it would take the plaintiff three years to recover from trauma allegedly caused by the very modest forces involved in this parking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Of course, parking lot collisions may cause significant vehicle damage and some bodily injury especially when one or both parties are driving too fast. This is not one of those cases. One car was standing still, the other rolling slowly backwards.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presented as a pleasant person. Her counsel submitted she was a good witness because, in effect, she stood her ground and insisted she had been injured; but that ground was also populated with many responses of not knowing and not recalling events. As for the mechanics of the injury, when impartial senses contradict what a witness with a vested interest says happened, as in this case, the former, depending on the all the circumstances, should hold greater sway.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Butler v. Blaylock Estate</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(S.C.), McEachern C.J. stated at paras. 18-19: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am not stating any new principles when I say that the Court should be exceedingly careful when there is little or no objective evidence of continuing injury, and when complaints of pain persist for long periods extending beyond the normal or usual recovery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this case, I find a lack of convincing evidence that this minor, slow-moving parking lot accident caused the plaintiff any compensable injury. Accordingly, the plaintiff's claims for damages are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Since I have dismissed the plaintiff's claim, liability findings become somewhat moot but I will make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Section 193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Part 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Caution in backing vehicle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driver of a vehicle must not cause the vehicle to move backwards into an intersection or over a crosswalk, and must not in any event or at any place cause a vehicle to move backwards unless the movement can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Mr. Raveendran, had the onus of proving he did not reverse his van until he could do so safely. As noted earlier, he did conduct a 360-degree survey the surroundings. He was aware of the approaching Chevrolet from the east end of the parking lot. He did not check again for its whereabouts before he took his foot off the brake and allowed the van to reverse. Had he checked one last time before doing so, the impact likely could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Mr. Raveendran's, frustration over the fact that the defendant's, Mr. Sandhu's, inconsiderate actions left him a tight squeeze, less than one-half the width of his Honda van, and did not alert him to his presence, is understandable. Nonetheless, Mr. Raveendran's new Honda van was equipped with a backup camera and side rear view mirrors. Although he did exercise care, he did not finally ensure he could reverse safely before doing so. Reversing a vehicle requires extra care, especially in a parking lot with people and vehicles coming and going. In that regard, the circumstances at the time bear some consideration. As noted earlier, there was a tae kwon do studio immediately in front of where the parties had pulled in and students were in the process of leaving their class. For that reason alone, additional vigilance was required. In a parking lot, drivers always face the risk of a distracted pedestrian walking carelessly behind the vehicle or walking between two parked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Therefore, I find the defendant, Mr. Raveendran, responsible for the Accident. The plaintiff's claim having been dismissed, there will be no award for personal injury damages; the only implication of the liability finding lying in property damage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may set out briefly in writing (forwarded to the Chilliwack Supreme Court Scheduler) their positions on how costs ought to be apportioned, considering the plaintiff succeeded on liability against the defendant, Mr. Raveendran, but was unsuccessful on her claim for damages with respect to both defendant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6"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Sandhu v. Vuong, [2016] B.C.J. No. 1733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D. Baker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M141365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1733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2016 BCSC 1490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2016 CarswellBC 2265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270 A.C.W.S. (3d) 190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91 B.C.L.R. (5th) 137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Rupinder Kaur Sandhu, Plaintiff, and Thai Vuong, Phuoc Phen Vuong,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7"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7" w:name="Keywords_25"/>
      <w:bookmarkEnd w:id="257"/>
      <w:r>
        <w:rPr>
          <w:rFonts w:ascii="arial" w:eastAsia="arial" w:hAnsi="arial" w:cs="arial"/>
          <w:b/>
          <w:color w:val="000000"/>
          <w:sz w:val="20"/>
          <w:lang w:val="en-US" w:eastAsia="en-US" w:bidi="ar-SA"/>
        </w:rPr>
        <w:t>Civil litigation — Civil procedure — Parties — Third party procedure — Availability — Application by defendants for leave to bring third party proceeding dismissed — Plaintiff sued defendants for personal injury damages arising from 2012 accident in British Columbia — Plaintiff subsequently was involved in 2013 accident in Manitoba with proposed third parties — Defendants submitted indivisible nature of plaintiff's injuries necessitated joining Manitoba actors as third parties in British Columbia proceeding — Relief sought was precluded on jurisdictional grounds, as Manitoba's statutory no-fault regime barred tortious claims — Defendants could not use British Columbia procedure to obtain relief unavailable to plaintiff in Manitoba.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Proceedings — Practice and procedure — Parties — Application by defendants for leave to bring third party proceeding dismissed — Plaintiff sued defendants for personal injury damages arising from 2012 accident in British Columbia — Plaintiff subsequently was involved in 2013 accident in Manitoba with proposed third parties — Defendants submitted indivisible nature of plaintiff's injuries necessitated joining Manitoba actors as third parties in British Columbia proceeding — Relief sought was precluded on jurisdictional grounds, as Manitoba's statutory no-fault regime barred tortious claims — Defendants could not use British Columbia procedure to obtain relief unavailable to plaintiff in Manitoba.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8" w:name="Case Summary_24"/>
            <w:bookmarkEnd w:id="2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the Vuongs, for leave to bring a third party action against Sandhu, John Doe 1 and John Doe 2, and ABC Corporation. The plaintiff sought damages arising from a 2012 motor vehicle accident in British Columbia, for which liability was denied. Trial was scheduled for October 2017. In 2013, the plaintiff moved to Manitoba and was involved in a second accident that continued to affect her ability to work due to ongoing injuries. The plaintiff took the position that her injuries and consequent damages were all due to the first accident, notwithstanding the occurrence of the second accident. The defendants sought to commence third party proceedings against the tortfeasors involved in the Manitoba accident on the basis they were jointly liable for indivisible injuries suffered by the plaintiff. The proposed third parties submitted the court lacked jurisdiction and no cause of action existed between the defendant and proposed third parties.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9" w:name="Holdings of Court_19"/>
            <w:bookmarkEnd w:id="25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sought to define the proposed third parties' rights and liabilities by the law and procedure of British Columbia, despite those rights and liabilities having been fully and clearly defined and constrained by the law of Manitoba, a statutory no-fault insurance scheme that barred tortious claims. The Manitoba law was substantive rather than procedural and was entitled to deference. The Manitoba law barred any tort claim by the plaintiff in Manitoba. The plaintiff was unable to claim relief for the Manitoba accident in the courts of British Columbia. As the plaintiff was unable to claim against the proposed third parties in either jurisdiction, the relief sought was accordingly precluded on jurisdictional grounds.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0" w:name="Legislation Cited_22"/>
      <w:bookmarkEnd w:id="2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8"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3-5, Rule 21-8(1)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Jurisdiction and Proceedings Transfer Act, </w:t>
      </w:r>
      <w:hyperlink r:id="rId626" w:history="1">
        <w:r>
          <w:rPr>
            <w:rFonts w:ascii="arial" w:eastAsia="arial" w:hAnsi="arial" w:cs="arial"/>
            <w:i/>
            <w:color w:val="0077CC"/>
            <w:sz w:val="20"/>
            <w:u w:val="single"/>
            <w:shd w:val="clear" w:color="auto" w:fill="FFFFFF"/>
            <w:lang w:val="en-US" w:eastAsia="en-US" w:bidi="ar-SA"/>
          </w:rPr>
          <w:t>S.B.C. 2003, c. 28, s. 3</w:t>
        </w:r>
      </w:hyperlink>
      <w:r>
        <w:rPr>
          <w:rFonts w:ascii="arial" w:eastAsia="arial" w:hAnsi="arial" w:cs="arial"/>
          <w:color w:val="000000"/>
          <w:sz w:val="20"/>
          <w:lang w:val="en-US" w:eastAsia="en-US" w:bidi="ar-SA"/>
        </w:rPr>
        <w:t>(3)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Manitoba Public Insurance Act, </w:t>
      </w:r>
      <w:hyperlink r:id="rId627" w:history="1">
        <w:r>
          <w:rPr>
            <w:rFonts w:ascii="arial" w:eastAsia="arial" w:hAnsi="arial" w:cs="arial"/>
            <w:i/>
            <w:color w:val="0077CC"/>
            <w:sz w:val="20"/>
            <w:u w:val="single"/>
            <w:shd w:val="clear" w:color="auto" w:fill="FFFFFF"/>
            <w:lang w:val="en-US" w:eastAsia="en-US" w:bidi="ar-SA"/>
          </w:rPr>
          <w:t>C.C.S.M. c P215, s. 72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628"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 s. 4(2),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1" w:name="Counsel_26"/>
      <w:bookmarkEnd w:id="2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9"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E.C. Watson.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proposed Third Parties: J. Cahan.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2" w:name="Judgment_26"/>
      <w:bookmarkEnd w:id="262"/>
      <w:r>
        <w:pict>
          <v:line id="_x0000_s1160"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3" w:name="MASTER D. BAKER"/>
            <w:bookmarkEnd w:id="263"/>
            <w:r>
              <w:rPr>
                <w:rFonts w:ascii="arial" w:eastAsia="arial" w:hAnsi="arial" w:cs="arial"/>
                <w:b/>
                <w:color w:val="000000"/>
                <w:sz w:val="30"/>
                <w:lang w:val="en-US" w:eastAsia="en-US" w:bidi="ar-SA"/>
              </w:rPr>
              <w:t>MASTER D. BAKER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for leave to bring third party proceedings pursuant to Rule 3-5 against Rajvir Singh Sandhu, John Doe #1, John Doe #2, and ABC Corporation #1. That application is opposed by the proposed third parties. The plaintiff takes no position and did not appear at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arose as a result of a motor vehicle accident April 24, 2012 in Surrey B.C.; liability is denied and the plaintiff claims injuries to her neck, shoulders, back and chest as well as numbness to her left fingers, headaches, fatigue, insomnia, and panic attacks. The trial is set for 10 days commencing October 23,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Shortly after the accident, the plaintiff moved to Winnipeg where she was involved in second accident on February 13, 2013. On discovery in these proceedings she said that it was a serious collision and that the impact jerked her body forward. She recalls bumping her head on the seat in front of her, but does not recall what she told the attending paramedics, but the ambulance records confirm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Pt stated when they collided she had raised her L shoulder up to brace herself and ended up with pain in her L shoulder/lat area as well as left lateral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her discovery, the plaintiff had attended approximately 20 physiotherapy sessions and was continuing treatment. Her evidence was that the Manitoba accident continued to affect her ability to work as a registered nurse and that she has still not returned to full-time work. She indicated this was due to ongoing problems and pain in her left shoulder. Mr. Watson says that the plaintiff's position is that, notwithstanding the Manitoba accident, all of her injuries and consequent damages are due to the B.C.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Manitoba has a statutory no-fault insurance scheme</w:t>
      </w:r>
      <w:bookmarkStart w:id="264"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64"/>
      <w:r>
        <w:rPr>
          <w:rFonts w:ascii="arial" w:eastAsia="arial" w:hAnsi="arial" w:cs="arial"/>
          <w:color w:val="000000"/>
          <w:sz w:val="20"/>
          <w:lang w:val="en-US" w:eastAsia="en-US" w:bidi="ar-SA"/>
        </w:rPr>
        <w:t xml:space="preserve"> by which parties injured in motor vehicle accidents receive recompense or compensation for all injuries or costs arising from the accident. The legislation specifically prohibits parties from pursuing any tortious claims outside of the legislation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Watson argues that the combination of s. 4(2)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bookmarkStart w:id="265"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265"/>
      <w:r>
        <w:rPr>
          <w:rFonts w:ascii="arial" w:eastAsia="arial" w:hAnsi="arial" w:cs="arial"/>
          <w:color w:val="000000"/>
          <w:sz w:val="20"/>
          <w:lang w:val="en-US" w:eastAsia="en-US" w:bidi="ar-SA"/>
        </w:rPr>
        <w:t xml:space="preserve"> and the Court of Appeal's reasons in </w:t>
      </w:r>
      <w:r>
        <w:rPr>
          <w:rFonts w:ascii="arial" w:eastAsia="arial" w:hAnsi="arial" w:cs="arial"/>
          <w:i/>
          <w:color w:val="000000"/>
          <w:sz w:val="20"/>
          <w:lang w:val="en-US" w:eastAsia="en-US" w:bidi="ar-SA"/>
        </w:rPr>
        <w:t>Bradley v. Groves</w:t>
      </w:r>
      <w:bookmarkStart w:id="266" w:name="Backward_fnref_fnr-3_0"/>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266"/>
      <w:r>
        <w:rPr>
          <w:rFonts w:ascii="arial" w:eastAsia="arial" w:hAnsi="arial" w:cs="arial"/>
          <w:color w:val="000000"/>
          <w:sz w:val="20"/>
          <w:lang w:val="en-US" w:eastAsia="en-US" w:bidi="ar-SA"/>
        </w:rPr>
        <w:t xml:space="preserve"> require that the defendant join the third parties or risk being held liable for the totality of the plaintiff's damages whether due to the BC accident or the Manitoba accident. This is because, he says, at least some of the injuries suffered by the plaintiff (in particular her left shoulder) are indivisible so that the defendant, if liable, is jointly liable with a putative Manitoba defendant (in this case the proposed third parties) under the provisions of s. 4:</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(1) If damage or loss has been caused by the fault of 2 or more persons, the court must determine the degree to which each person was at fault.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the defendant appealed against a trial finding of 100% liability against her despite a finding that the plaintiff's initial injuries, caused by the defendant Groves, had been aggravated in a second accident. The appellant argued that the trial judge should have apportioned damages between the first and second defendants, but the court disagreed and held, on </w:t>
      </w:r>
      <w:r>
        <w:rPr>
          <w:rFonts w:ascii="arial" w:eastAsia="arial" w:hAnsi="arial" w:cs="arial"/>
          <w:i/>
          <w:color w:val="000000"/>
          <w:sz w:val="20"/>
          <w:lang w:val="en-US" w:eastAsia="en-US" w:bidi="ar-SA"/>
        </w:rPr>
        <w:t>Athey v. Leonati</w:t>
      </w:r>
      <w:bookmarkStart w:id="267" w:name="Backward_fnref_fnr-4_0"/>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267"/>
      <w:r>
        <w:rPr>
          <w:rFonts w:ascii="arial" w:eastAsia="arial" w:hAnsi="arial" w:cs="arial"/>
          <w:color w:val="000000"/>
          <w:sz w:val="20"/>
          <w:lang w:val="en-US" w:eastAsia="en-US" w:bidi="ar-SA"/>
        </w:rPr>
        <w:t xml:space="preserve"> that in the case of indivisible injuries tortfeasors are jointly and severally liable. At para. 24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the court of appeal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take from this that indivisible injuries, whether occasioned by a combination of non-tortious and tortious causes or solely by tortious causes, result in joint liability for tortfeasors. This does not prevent jointly liable parties from seeking contribution and indemnity from each other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consequence of this, Mr. Watson submits, is that his defendants risk liability for all of the plaintiff's damages, even those allegedly caused by the proposed third parties and that the only way the defendants can effect justice is to join the third parties and seek apportionment and indemnification or contribution. He argues that this is a particular risk when the plaintiff, as above, alleges that all of her damages arise from the B.C. accident and that the only way that his client can pursue contribution or indemnity from a joint tortfeasor, as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seems to offer, is to have that party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reversed the previous practise in this province, established by the Court of Appeal in </w:t>
      </w:r>
      <w:r>
        <w:rPr>
          <w:rFonts w:ascii="arial" w:eastAsia="arial" w:hAnsi="arial" w:cs="arial"/>
          <w:i/>
          <w:color w:val="000000"/>
          <w:sz w:val="20"/>
          <w:lang w:val="en-US" w:eastAsia="en-US" w:bidi="ar-SA"/>
        </w:rPr>
        <w:t>Long v. Thiessen</w:t>
      </w:r>
      <w:bookmarkStart w:id="268" w:name="Backward_fnref_fnr-5_0"/>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268"/>
      <w:r>
        <w:rPr>
          <w:rFonts w:ascii="arial" w:eastAsia="arial" w:hAnsi="arial" w:cs="arial"/>
          <w:color w:val="000000"/>
          <w:sz w:val="20"/>
          <w:lang w:val="en-US" w:eastAsia="en-US" w:bidi="ar-SA"/>
        </w:rPr>
        <w:t xml:space="preserve"> whereby, in the instance of two accidents and aggravation of injuries, the court was to first assess the damages arising from the first accident, then assess the totality of, or global, damages, and to then deduct the first from the second, leaving the second defendant liable, on an apportioned basis, for the remainder. Mr. Watson submits that that approach is no longer available to protect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Anticipating the third parties' arguments, Mr. Watson argues that, by permitting third party proceedings in respect of the Manitoba third parties, this court would be correctly taking jurisdiction over that event pursuant to </w:t>
      </w:r>
      <w:r>
        <w:rPr>
          <w:rFonts w:ascii="arial" w:eastAsia="arial" w:hAnsi="arial" w:cs="arial"/>
          <w:i/>
          <w:color w:val="000000"/>
          <w:sz w:val="20"/>
          <w:lang w:val="en-US" w:eastAsia="en-US" w:bidi="ar-SA"/>
        </w:rPr>
        <w:t>the Court Jurisdiction and Proceedings Transfer Act</w:t>
      </w:r>
      <w:bookmarkStart w:id="269" w:name="Backward_fnref_fnr-6_0"/>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269"/>
      <w:r>
        <w:rPr>
          <w:rFonts w:ascii="arial" w:eastAsia="arial" w:hAnsi="arial" w:cs="arial"/>
          <w:color w:val="000000"/>
          <w:sz w:val="20"/>
          <w:lang w:val="en-US" w:eastAsia="en-US" w:bidi="ar-SA"/>
        </w:rPr>
        <w:t xml:space="preserve"> and in particular s. 3(e):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A court has territorial competence in a proceeding that is brought against a person only if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and substantial connection between British Columbia and the facts on which the proceeding against that person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Watson submits that a "real and substantial connection" has been established by the plaintiff having suffered damages in B.C. in the first instance, subsequently aggravated, and by the court having taken jurisdiction by fixing a trial date for the first accident. He also argues that B.C. is the </w:t>
      </w:r>
      <w:r>
        <w:rPr>
          <w:rFonts w:ascii="arial" w:eastAsia="arial" w:hAnsi="arial" w:cs="arial"/>
          <w:i/>
          <w:color w:val="000000"/>
          <w:sz w:val="20"/>
          <w:lang w:val="en-US" w:eastAsia="en-US" w:bidi="ar-SA"/>
        </w:rPr>
        <w:t>forum conveniens</w:t>
      </w:r>
      <w:r>
        <w:rPr>
          <w:rFonts w:ascii="arial" w:eastAsia="arial" w:hAnsi="arial" w:cs="arial"/>
          <w:color w:val="000000"/>
          <w:sz w:val="20"/>
          <w:lang w:val="en-US" w:eastAsia="en-US" w:bidi="ar-SA"/>
        </w:rPr>
        <w:t xml:space="preserve"> to hear all aspects of the plaintiff's claims and issues affecting them, even if the plaintiff has not commenced proceedings against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addition to claiming B.C. as the appropriate jurisdiction, Mr. Watson argues that there is a valid cause of action between the defendant and the proposed third parties, notwithstanding Manitoba's legislative no-fault regime. Firstly, he submits that for this court to properly accept Manitoba's regime as governing it must recognize Manitoba legislation as foreign law and must accept expert evidence on the point, none of which has been presented, he says. In the result, this court is obliged to assume Manitoba's law is the same as British Columbia's.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Section 72 of the Manitoba legislation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provisions of any other Act, compensation under this Part stands in lieu of all rights and remedies arising out of bodily injuries to which this Part applies and no action in that respect may be admitted before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Despite this apparent bar to proceedings, Mr. Watson submits that there are exceptions by which Manitobans have brought action in tort in motor vehicle matters. In </w:t>
      </w:r>
      <w:r>
        <w:rPr>
          <w:rFonts w:ascii="arial" w:eastAsia="arial" w:hAnsi="arial" w:cs="arial"/>
          <w:i/>
          <w:color w:val="000000"/>
          <w:sz w:val="20"/>
          <w:lang w:val="en-US" w:eastAsia="en-US" w:bidi="ar-SA"/>
        </w:rPr>
        <w:t>Mitchell v. Rahman et al</w:t>
      </w:r>
      <w:r>
        <w:rPr>
          <w:rFonts w:ascii="arial" w:eastAsia="arial" w:hAnsi="arial" w:cs="arial"/>
          <w:color w:val="000000"/>
          <w:sz w:val="20"/>
          <w:lang w:val="en-US" w:eastAsia="en-US" w:bidi="ar-SA"/>
        </w:rPr>
        <w:t>.</w:t>
      </w:r>
      <w:bookmarkStart w:id="270" w:name="Backward_fnref_fnr-7_0"/>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270"/>
      <w:r>
        <w:rPr>
          <w:rFonts w:ascii="arial" w:eastAsia="arial" w:hAnsi="arial" w:cs="arial"/>
          <w:color w:val="000000"/>
          <w:sz w:val="20"/>
          <w:lang w:val="en-US" w:eastAsia="en-US" w:bidi="ar-SA"/>
        </w:rPr>
        <w:t>, the court permitted a claim to proceed against physicians who allegedly misdiagnosed the plaintiff's injuries which were caused by a motor vehicle accident. This precedent, he says, proves that s. 72 is not the absolute bar that the third parties say it is, and that tortious liability may still arise from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Closer to home Mr. Watson offers s. 10 of the </w:t>
      </w:r>
      <w:r>
        <w:rPr>
          <w:rFonts w:ascii="arial" w:eastAsia="arial" w:hAnsi="arial" w:cs="arial"/>
          <w:i/>
          <w:color w:val="000000"/>
          <w:sz w:val="20"/>
          <w:lang w:val="en-US" w:eastAsia="en-US" w:bidi="ar-SA"/>
        </w:rPr>
        <w:t>Workers' Compensation Act</w:t>
      </w:r>
      <w:bookmarkStart w:id="271" w:name="Backward_fnref_fnr-8_0"/>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271"/>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as analogous: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 (1) The provisions of this Part are in lieu of any right and rights of action, statutory or otherwise ... to which a worker, dependant or member of the family of the worker is or may be entitled against the employer of the worker, or against any employer...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cause of the injury, disablement or death of a worker is such that an action lies against some person, other than an employer or worker within the scope of this Part, the worker or dependant may claim compensation or may bring an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in an action brought by a worker or dependant of a worker or by the Board, it is found that the injury, disablement or death, as the case may be, was due partly to a breach of duty of care of one or more employers or workers under this Part, no damages, contributions or indemnity are recoverable for the portion of the loss or damage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that employer or worker; but the portion of the loss or damage caused by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determined although the employer or worker is not a party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These provisions, he acknowledges, offer a statutory exception to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in that a tortfeasor may seek apportionment against an employer or fellow worker even if that worker or employer is not before the court. The Manitoba no-fault legislation has no equivalent to s. 10(7) that might permit apportionment against a party not covered by the no-fault scheme, so that the way that Mr. Watson's client can seek apportionment is to join the third parties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Cahan argues that the application should be refused for two reasons:</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court lacks jurisdiction in respect of the Manitoba accident and third parties, and</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cause of action exists between the defendant and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On his first argument, Mr. Cahan relies, in an anticipatory way, on Rule 21-8(1); I say "anticipatory" because the rule contemplates a party applying </w:t>
      </w:r>
      <w:r>
        <w:rPr>
          <w:rFonts w:ascii="arial" w:eastAsia="arial" w:hAnsi="arial" w:cs="arial"/>
          <w:i/>
          <w:color w:val="000000"/>
          <w:sz w:val="20"/>
          <w:lang w:val="en-US" w:eastAsia="en-US" w:bidi="ar-SA"/>
        </w:rPr>
        <w:t>to strike</w:t>
      </w:r>
      <w:r>
        <w:rPr>
          <w:rFonts w:ascii="arial" w:eastAsia="arial" w:hAnsi="arial" w:cs="arial"/>
          <w:color w:val="000000"/>
          <w:sz w:val="20"/>
          <w:lang w:val="en-US" w:eastAsia="en-US" w:bidi="ar-SA"/>
        </w:rPr>
        <w:t xml:space="preserve"> a third party proceedings. Nonetheless, he argues, its principles apply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party who has been served with an originating pleading or petition in a proceeding, whether that service was effected in or outside British Columbia, may, after filing a jurisdictional response in Form 108,</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strike out the ... third party notice ...or to dismiss or stay the proceeding on the ground that the ... third party notice ... does not allege facts that, if true, would establish that the court has jurisdiction over that party in respect of the claim made against that party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he says, no real and substantial connection between the defendants and the Manitoba accident; the B.C. courts normally will decline jurisdiction over an out-of-province accident</w:t>
      </w:r>
      <w:bookmarkStart w:id="272" w:name="Backward_fnref_fnr-9_0"/>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272"/>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Dembroski</w:t>
      </w:r>
      <w:r>
        <w:rPr>
          <w:rFonts w:ascii="arial" w:eastAsia="arial" w:hAnsi="arial" w:cs="arial"/>
          <w:color w:val="000000"/>
          <w:sz w:val="20"/>
          <w:lang w:val="en-US" w:eastAsia="en-US" w:bidi="ar-SA"/>
        </w:rPr>
        <w:t xml:space="preserve"> the Court of Appeal held a B.C. resident injured in an Alberta accident in which the other driver was a resident of Quebec, could not establish jurisdiction under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case is what I would term an ordinary personal injury action arising out of a motor vehicle accident. The plaintiff and certain potential witnesses reside here, but the defendant respondents and other potential witnesses reside outside the province. The trend of previous authority in this Court and in the Supreme Court of British Columbia appears to support the thesis that the mere residence of a plaintiff in this jurisdiction will not found jurisdiction in a British Columbia court.</w:t>
      </w:r>
      <w:bookmarkStart w:id="273" w:name="Backward_fnref_fnr-10_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273"/>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Cahan argues that this case is no different than </w:t>
      </w:r>
      <w:r>
        <w:rPr>
          <w:rFonts w:ascii="arial" w:eastAsia="arial" w:hAnsi="arial" w:cs="arial"/>
          <w:i/>
          <w:color w:val="000000"/>
          <w:sz w:val="20"/>
          <w:lang w:val="en-US" w:eastAsia="en-US" w:bidi="ar-SA"/>
        </w:rPr>
        <w:t>Dembroski</w:t>
      </w:r>
      <w:r>
        <w:rPr>
          <w:rFonts w:ascii="arial" w:eastAsia="arial" w:hAnsi="arial" w:cs="arial"/>
          <w:color w:val="000000"/>
          <w:sz w:val="20"/>
          <w:lang w:val="en-US" w:eastAsia="en-US" w:bidi="ar-SA"/>
        </w:rPr>
        <w:t>, and that to permit the third party proceeding is to require this court to adjudicate entirely an accident that occurred in Manitoba between two Manitoba 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proposed third parties also argue that the B.C. courts cannot have, in effect, more authority than the Manitoban courts to grant relief in a matter entirely governed by the laws of Manitoba. Notwithstanding Mr. Watson's arguments (para. 13 above), Mr. Cahan argues that s. 72 of the </w:t>
      </w:r>
      <w:r>
        <w:rPr>
          <w:rFonts w:ascii="arial" w:eastAsia="arial" w:hAnsi="arial" w:cs="arial"/>
          <w:i/>
          <w:color w:val="000000"/>
          <w:sz w:val="20"/>
          <w:lang w:val="en-US" w:eastAsia="en-US" w:bidi="ar-SA"/>
        </w:rPr>
        <w:t>MPIA</w:t>
      </w:r>
      <w:r>
        <w:rPr>
          <w:rFonts w:ascii="arial" w:eastAsia="arial" w:hAnsi="arial" w:cs="arial"/>
          <w:color w:val="000000"/>
          <w:sz w:val="20"/>
          <w:lang w:val="en-US" w:eastAsia="en-US" w:bidi="ar-SA"/>
        </w:rPr>
        <w:t xml:space="preserve"> is a complete bar to tortious relief, or any compensation other than that which the legislation provides and that if the Manitoban courts could not go outside the legislation neither can the courts of B.C. </w:t>
      </w:r>
      <w:r>
        <w:rPr>
          <w:rFonts w:ascii="arial" w:eastAsia="arial" w:hAnsi="arial" w:cs="arial"/>
          <w:i/>
          <w:color w:val="000000"/>
          <w:sz w:val="20"/>
          <w:lang w:val="en-US" w:eastAsia="en-US" w:bidi="ar-SA"/>
        </w:rPr>
        <w:t>Mitchell v. Rahman</w:t>
      </w:r>
      <w:r>
        <w:rPr>
          <w:rFonts w:ascii="arial" w:eastAsia="arial" w:hAnsi="arial" w:cs="arial"/>
          <w:color w:val="000000"/>
          <w:sz w:val="20"/>
          <w:lang w:val="en-US" w:eastAsia="en-US" w:bidi="ar-SA"/>
        </w:rPr>
        <w:t xml:space="preserve"> is not the exception that Mr. Watson argues, Mr. Cahan submits, as the Manitoba Court of Appeal found it was an action grounded in medical malpractice, not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a motor vehicle. The fact that the physicians' involvement was preceded by a motor vehicle accident did not change the fundamental basis for the claim i.e. physicians'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There is an alternative solution to the defendants' problem, Mr. Cahan submits, and it lies in the reasons of Burnyeat J. in </w:t>
      </w:r>
      <w:r>
        <w:rPr>
          <w:rFonts w:ascii="arial" w:eastAsia="arial" w:hAnsi="arial" w:cs="arial"/>
          <w:i/>
          <w:color w:val="000000"/>
          <w:sz w:val="20"/>
          <w:lang w:val="en-US" w:eastAsia="en-US" w:bidi="ar-SA"/>
        </w:rPr>
        <w:t>Pinch v. Hofstee</w:t>
      </w:r>
      <w:bookmarkStart w:id="274" w:name="Backward_fnref_fnr-11_0"/>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274"/>
      <w:r>
        <w:rPr>
          <w:rFonts w:ascii="arial" w:eastAsia="arial" w:hAnsi="arial" w:cs="arial"/>
          <w:color w:val="000000"/>
          <w:sz w:val="20"/>
          <w:lang w:val="en-US" w:eastAsia="en-US" w:bidi="ar-SA"/>
        </w:rPr>
        <w:t xml:space="preserve"> by which the court found that notwithstanding that indivisible injuries have been aggravated by a second, statute-barred</w:t>
      </w:r>
      <w:bookmarkStart w:id="275" w:name="Backward_fnref_fnr-12_0"/>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275"/>
      <w:r>
        <w:rPr>
          <w:rFonts w:ascii="arial" w:eastAsia="arial" w:hAnsi="arial" w:cs="arial"/>
          <w:color w:val="000000"/>
          <w:sz w:val="20"/>
          <w:lang w:val="en-US" w:eastAsia="en-US" w:bidi="ar-SA"/>
        </w:rPr>
        <w:t xml:space="preserve"> event, the court may proceed to assess damages solely attributable to the first event/defendant.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Beyond the question of jurisdiction, the proposed third parties argue that there is no cause of action disclosed or established by the third party notice. The </w:t>
      </w:r>
      <w:r>
        <w:rPr>
          <w:rFonts w:ascii="arial" w:eastAsia="arial" w:hAnsi="arial" w:cs="arial"/>
          <w:i/>
          <w:color w:val="000000"/>
          <w:sz w:val="20"/>
          <w:lang w:val="en-US" w:eastAsia="en-US" w:bidi="ar-SA"/>
        </w:rPr>
        <w:t>MPIA</w:t>
      </w:r>
      <w:r>
        <w:rPr>
          <w:rFonts w:ascii="arial" w:eastAsia="arial" w:hAnsi="arial" w:cs="arial"/>
          <w:color w:val="000000"/>
          <w:sz w:val="20"/>
          <w:lang w:val="en-US" w:eastAsia="en-US" w:bidi="ar-SA"/>
        </w:rPr>
        <w:t xml:space="preserve"> is substantive not procedural law and binds all parties including, indirectly, the defendant in these proceedings. By that Mr. Cahan submits that Ms. Sandhu, the plaintiff in these proceedings, could not bring a claim against the proposed third parties as defendants in Manitoba. British Columbia authority</w:t>
      </w:r>
      <w:bookmarkStart w:id="276" w:name="Backward_fnref_fnr-13_0"/>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276"/>
      <w:r>
        <w:rPr>
          <w:rFonts w:ascii="arial" w:eastAsia="arial" w:hAnsi="arial" w:cs="arial"/>
          <w:color w:val="000000"/>
          <w:sz w:val="20"/>
          <w:lang w:val="en-US" w:eastAsia="en-US" w:bidi="ar-SA"/>
        </w:rPr>
        <w:t xml:space="preserve"> establishes that when a no-fault regime such as Manitoba's has been found to be substantive law then a B.C. resident, injured in that jurisdiction, must accede to the law of the </w:t>
      </w:r>
      <w:r>
        <w:rPr>
          <w:rFonts w:ascii="arial" w:eastAsia="arial" w:hAnsi="arial" w:cs="arial"/>
          <w:i/>
          <w:color w:val="000000"/>
          <w:sz w:val="20"/>
          <w:lang w:val="en-US" w:eastAsia="en-US" w:bidi="ar-SA"/>
        </w:rPr>
        <w:t>situs</w:t>
      </w:r>
      <w:r>
        <w:rPr>
          <w:rFonts w:ascii="arial" w:eastAsia="arial" w:hAnsi="arial" w:cs="arial"/>
          <w:color w:val="000000"/>
          <w:sz w:val="20"/>
          <w:lang w:val="en-US" w:eastAsia="en-US" w:bidi="ar-SA"/>
        </w:rPr>
        <w:t xml:space="preserve"> and cannot bring proceedings in B.C. The defendant in these proceedings can be in no better position, argues Mr. Cahan, than the plaintiff, even if she were resident in B.C.; as even in that circumstance she could not sue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If the plaintiff's tort claim in Manitoba is statute-barred there, it is statute-barred in B.C. too, Mr. Cahan submits, and as a consequence there is no cause of action. If a plaintiff cannot bring a claim against a party then a defendant cannot bring third party proceedings against that same party; a claim and a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xml:space="preserve"> between the plaintiff and the putative third party is essential, Mr. Cahan says, before a defendant can join that party, citing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w:t>
      </w:r>
      <w:bookmarkStart w:id="277" w:name="Backward_fnref_fnr-14_0"/>
      <w:hyperlink w:anchor="Forward_fnref_fnr-14" w:history="1">
        <w:r>
          <w:rPr>
            <w:rFonts w:ascii="arial" w:eastAsia="arial" w:hAnsi="arial" w:cs="arial"/>
            <w:b/>
            <w:color w:val="BE161D"/>
            <w:sz w:val="20"/>
            <w:shd w:val="clear" w:color="auto" w:fill="FFFFFF"/>
            <w:vertAlign w:val="superscript"/>
            <w:lang w:val="en-US" w:eastAsia="en-US" w:bidi="ar-SA"/>
          </w:rPr>
          <w:t>14</w:t>
        </w:r>
      </w:hyperlink>
      <w:bookmarkEnd w:id="27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On a factual basis, Mr. Cahan says that the plaintiff has actually availed herself of benefits or recovery available under </w:t>
      </w:r>
      <w:r>
        <w:rPr>
          <w:rFonts w:ascii="arial" w:eastAsia="arial" w:hAnsi="arial" w:cs="arial"/>
          <w:i/>
          <w:color w:val="000000"/>
          <w:sz w:val="20"/>
          <w:lang w:val="en-US" w:eastAsia="en-US" w:bidi="ar-SA"/>
        </w:rPr>
        <w:t>MPIA</w:t>
      </w:r>
      <w:r>
        <w:rPr>
          <w:rFonts w:ascii="arial" w:eastAsia="arial" w:hAnsi="arial" w:cs="arial"/>
          <w:color w:val="000000"/>
          <w:sz w:val="20"/>
          <w:lang w:val="en-US" w:eastAsia="en-US" w:bidi="ar-SA"/>
        </w:rPr>
        <w:t>; she has claimed and been paid, for example, ambulance fees and the costs of her physiotherapy treatment, even if she has not pursued recovery for past or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Counsel agreed that this seems to be a case of first impression; neither could find a precedent with the same factual and legal issues. It seems to me that if this is not a case of conflict of laws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it is at least a case of choice of law or an instance of the interface of two incongruous legal regimes. British Columbia maintains a tort-based legal regime for recovery in the event of damages suffered in a motor vehicle accident. Manitoba (along with Saskatchewan, and Quebec) maintains a no-fault regime and statutorily bars all claims other than those made within the provisions of the applicable legislation. What to do, then, when these regimes, as they arguably do, interact to affect the rights and entitlement of parties involved either directly or indirectly?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issue in this application seems to me to turn entirely on the potential for prejudice and consequent injustice to the defendant Vuongs. If, as Mr. Watson posits, they will potentially be held liable under s. 4(2)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for damages caused by another party, with no redress available by way of apportionment, severance, indemnification, or contribution, then they would indeed be prejudiced. It would follow that if the only means of avoiding that prejudice is to join the other tortfeasors I would agree with Mr. Watson.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have concluded, however, that Mr. Cahan's position is the correct one and that the application should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reach this conclusion after agreeing with several of Mr. Cahan's submissions: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MPIA</w:t>
      </w:r>
      <w:r>
        <w:rPr>
          <w:rFonts w:ascii="arial" w:eastAsia="arial" w:hAnsi="arial" w:cs="arial"/>
          <w:color w:val="000000"/>
          <w:sz w:val="20"/>
          <w:lang w:val="en-US" w:eastAsia="en-US" w:bidi="ar-SA"/>
        </w:rPr>
        <w:t xml:space="preserve"> is substantive, not procedural law</w:t>
      </w:r>
      <w:bookmarkStart w:id="278" w:name="Backward_fnref_fnr-15_0"/>
      <w:hyperlink w:anchor="Forward_fnref_fnr-15" w:history="1">
        <w:r>
          <w:rPr>
            <w:rFonts w:ascii="arial" w:eastAsia="arial" w:hAnsi="arial" w:cs="arial"/>
            <w:b/>
            <w:color w:val="BE161D"/>
            <w:sz w:val="20"/>
            <w:shd w:val="clear" w:color="auto" w:fill="FFFFFF"/>
            <w:vertAlign w:val="superscript"/>
            <w:lang w:val="en-US" w:eastAsia="en-US" w:bidi="ar-SA"/>
          </w:rPr>
          <w:t>15</w:t>
        </w:r>
      </w:hyperlink>
      <w:bookmarkEnd w:id="278"/>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MPIA</w:t>
      </w:r>
      <w:r>
        <w:rPr>
          <w:rFonts w:ascii="arial" w:eastAsia="arial" w:hAnsi="arial" w:cs="arial"/>
          <w:color w:val="000000"/>
          <w:sz w:val="20"/>
          <w:lang w:val="en-US" w:eastAsia="en-US" w:bidi="ar-SA"/>
        </w:rPr>
        <w:t xml:space="preserve"> works to bar any tort claim by the plaintiff in Manitoba;</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not resident in B.C., could not successfully claim relief in this court for the accident in Manitoba</w:t>
      </w:r>
      <w:bookmarkStart w:id="279" w:name="Backward_fnref_fnr-16_0"/>
      <w:hyperlink w:anchor="Forward_fnref_fnr-16" w:history="1">
        <w:r>
          <w:rPr>
            <w:rFonts w:ascii="arial" w:eastAsia="arial" w:hAnsi="arial" w:cs="arial"/>
            <w:b/>
            <w:color w:val="BE161D"/>
            <w:sz w:val="20"/>
            <w:shd w:val="clear" w:color="auto" w:fill="FFFFFF"/>
            <w:vertAlign w:val="superscript"/>
            <w:lang w:val="en-US" w:eastAsia="en-US" w:bidi="ar-SA"/>
          </w:rPr>
          <w:t>16</w:t>
        </w:r>
      </w:hyperlink>
      <w:bookmarkEnd w:id="279"/>
      <w:r>
        <w:rPr>
          <w:rFonts w:ascii="arial" w:eastAsia="arial" w:hAnsi="arial" w:cs="arial"/>
          <w:color w:val="000000"/>
          <w:sz w:val="20"/>
          <w:lang w:val="en-US" w:eastAsia="en-US" w:bidi="ar-SA"/>
        </w:rPr>
        <w: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plaintiff cannot claim in tort against the potential third parties either in Manitoba or B.C., the defendants cannot join the same parties as third parties</w:t>
      </w:r>
      <w:bookmarkStart w:id="280" w:name="Backward_fnref_fnr-17_0"/>
      <w:hyperlink w:anchor="Forward_fnref_fnr-17" w:history="1">
        <w:r>
          <w:rPr>
            <w:rFonts w:ascii="arial" w:eastAsia="arial" w:hAnsi="arial" w:cs="arial"/>
            <w:b/>
            <w:color w:val="BE161D"/>
            <w:sz w:val="20"/>
            <w:shd w:val="clear" w:color="auto" w:fill="FFFFFF"/>
            <w:vertAlign w:val="superscript"/>
            <w:lang w:val="en-US" w:eastAsia="en-US" w:bidi="ar-SA"/>
          </w:rPr>
          <w:t>17</w:t>
        </w:r>
      </w:hyperlink>
      <w:bookmarkEnd w:id="280"/>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cannot accept that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were intended to place the defendant in a prejudicial position of full exposure without the potential for indemnification, apportionment, or severance in all cases. It is possible that the very nature of indivisibility, upon which each case turned, may be qualified and that damages might be made, in effect, divisible by the action of law when one claim is statute barred. To hold otherwise is to conclude that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together, have created a lacuna in the law by which liability and responsibility are imposed upon a defendant for the wrongs of others without any ability to distribute that fault where it belongs.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my view, the court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clearly anticipated that someone in the Vuongs' position should have avenues of redress: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does not prevent jointly liable parties from seeking contribution and indemnity from each other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bookmarkStart w:id="281" w:name="Backward_fnref_fnr-18_0"/>
      <w:hyperlink w:anchor="Forward_fnref_fnr-18" w:history="1">
        <w:r>
          <w:rPr>
            <w:rFonts w:ascii="arial" w:eastAsia="arial" w:hAnsi="arial" w:cs="arial"/>
            <w:b/>
            <w:color w:val="BE161D"/>
            <w:sz w:val="20"/>
            <w:shd w:val="clear" w:color="auto" w:fill="FFFFFF"/>
            <w:vertAlign w:val="superscript"/>
            <w:lang w:val="en-US" w:eastAsia="en-US" w:bidi="ar-SA"/>
          </w:rPr>
          <w:t>18</w:t>
        </w:r>
      </w:hyperlink>
      <w:bookmarkEnd w:id="281"/>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Indeed, that is exactly what has happened in this case; the Vuongs </w:t>
      </w:r>
      <w:r>
        <w:rPr>
          <w:rFonts w:ascii="arial" w:eastAsia="arial" w:hAnsi="arial" w:cs="arial"/>
          <w:i/>
          <w:color w:val="000000"/>
          <w:sz w:val="20"/>
          <w:lang w:val="en-US" w:eastAsia="en-US" w:bidi="ar-SA"/>
        </w:rPr>
        <w:t>are</w:t>
      </w:r>
      <w:r>
        <w:rPr>
          <w:rFonts w:ascii="arial" w:eastAsia="arial" w:hAnsi="arial" w:cs="arial"/>
          <w:color w:val="000000"/>
          <w:sz w:val="20"/>
          <w:lang w:val="en-US" w:eastAsia="en-US" w:bidi="ar-SA"/>
        </w:rPr>
        <w:t xml:space="preserve"> prevented from seeking contribution and thus the strict application of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Bradley creates an injustice to the Vuongs. If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were to be applied strictly in this case, the result would almost be that the Vuongs are constituted a kind of insurer of the plaintiff and are liable to her for all indivisible injuries prior or subsequent to their accident, with (to continue the analogy) no right of subrogation respecting prior or subsequent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Cahan offered the situation, for example, of a party suffering very serious damages but, for some reason, not commencing proceedings within the applicable limitations and then suffering lesser, but indivisible, injuries in a less serious accident. Would the second defendant be able to join the first and somehow nullify the limitation for the first accident? Mr. Watson argued that developing law might have that very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have referred above to Burnyeat J.'s decision in </w:t>
      </w:r>
      <w:r>
        <w:rPr>
          <w:rFonts w:ascii="arial" w:eastAsia="arial" w:hAnsi="arial" w:cs="arial"/>
          <w:i/>
          <w:color w:val="000000"/>
          <w:sz w:val="20"/>
          <w:lang w:val="en-US" w:eastAsia="en-US" w:bidi="ar-SA"/>
        </w:rPr>
        <w:t>Pinch v. Hofstee</w:t>
      </w:r>
      <w:r>
        <w:rPr>
          <w:rFonts w:ascii="arial" w:eastAsia="arial" w:hAnsi="arial" w:cs="arial"/>
          <w:color w:val="000000"/>
          <w:sz w:val="20"/>
          <w:lang w:val="en-US" w:eastAsia="en-US" w:bidi="ar-SA"/>
        </w:rPr>
        <w:t xml:space="preserve">. I think that that case, while not directly on point, offers real assistance. In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the plaintiff was injured in two separate accidents. In the first, he was injured in a parking lot when, while assisting a passenger exiting his van, the van was struck by Mr. Hofstee's vehicle; the impact caused his passenger's wheelchair to strike him and pushed him into the van's lift apparatus. He was injured in the result. The second accident was work-related and came entirely within the authority and application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The provisions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prevented Mr. Pinch from pursuing any claims in tort against the other driver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At trial, Mr. Pinch argued that the injuries suffered by him in the two accidents were indivisible and that, following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Mr. Hofstee, the defendant in his first accident, was jointly responsible for all of his injuries and damages, notwithstanding that he could not sue the driver in his second accident. Burnyeat J. concluded</w:t>
      </w:r>
      <w:bookmarkStart w:id="282" w:name="Backward_fnref_fnr-19_0"/>
      <w:hyperlink w:anchor="Forward_fnref_fnr-19" w:history="1">
        <w:r>
          <w:rPr>
            <w:rFonts w:ascii="arial" w:eastAsia="arial" w:hAnsi="arial" w:cs="arial"/>
            <w:b/>
            <w:color w:val="BE161D"/>
            <w:sz w:val="20"/>
            <w:shd w:val="clear" w:color="auto" w:fill="FFFFFF"/>
            <w:vertAlign w:val="superscript"/>
            <w:lang w:val="en-US" w:eastAsia="en-US" w:bidi="ar-SA"/>
          </w:rPr>
          <w:t>19</w:t>
        </w:r>
      </w:hyperlink>
      <w:bookmarkEnd w:id="282"/>
      <w:r>
        <w:rPr>
          <w:rFonts w:ascii="arial" w:eastAsia="arial" w:hAnsi="arial" w:cs="arial"/>
          <w:color w:val="000000"/>
          <w:sz w:val="20"/>
          <w:lang w:val="en-US" w:eastAsia="en-US" w:bidi="ar-SA"/>
        </w:rPr>
        <w:t xml:space="preserve"> that the injuries were indivisible, that the second accident aggravated Mr. Pinch's injuries from his first accident, and that, quoting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the injuries of the second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...have "merged" with the prior tortious action of Mr. Hofstee to create: "...an injury that is not attributable to one particular tortfeasor...":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Nevertheless, Mr. Justice Burnyeat concluded that Mr. Pinch could not hold Mr. Hofstee responsible for his damages from the second accident, finding that s. 10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barred the claim. Section 10 says, in part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(1) The provisions of this Part are in lieu of any right and rights of action, statutory or otherwise, founded on a breach of duty of care or any other cause of action, whether that duty or cause of action is imposed by or arises by reason of law or contract, express or implied, to which a worker, dependant or member of the family of the worker is or may be entitled against the employer of the worker, or against any employer within the scope of this Part, or against any worker, in respect of any personal injury, disablement or death arising out of and in the course of employment and no action in respect of it lies. This provision applies only when the action or conduct of the employer, the employer's servant or agent, or the worker, which caused the breach of duty arose out of and in the course of employment within the scope of this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in an action brought by a worker or dependant of a worker or by the Board, it is found that the injury, disablement or death, as the case may be, was due partly to a breach of duty of care of one or more employers or workers under this Part, no damages, contributions or indemnity are recoverable for the portion of the loss or damage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that employer or worker; but the portion of the loss or damage caused by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determined although the employer or worker is not a party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para. 54 he found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regard, s. 10(1) provides not only that the provision of the Part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in lieu of "any right and rights of action..." founded on the breach of duty of care that Mr. Pinch may have against an employee or an employer but also that "no action in respect of it lies" and that "any right...founded in a breach of duty of care" is precluded. I am satisfied that this precludes any right that Mr. Pinch may have which is founded on a breach of duty of care by Mr. Hofstee.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the result, Burnyeat J. found that s. 10 mandated a statutory exception to the combined effects of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and that despite the injuries being indivisible he was required to apportion them between Mr. Hofstee on the one hand and the driver in the second accident on the other (despite, as s. 10(7) contemplated, that driver not being a party to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take guidance, however, from the further observations made in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At para. 60, Mr. Justice Burnyeat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10(1)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but one example of the inability to recover indivisible damages arising out of a separate breach of duty of care. A further example might be illustrated by a situation whereby proceedings relating to a first tortious act were not commenced within the limitation period and a second tortious act occurred. In those circumstances, I cannot conclude that damages would be available where an action was not commenced relating to the first act, a subsequent act caused injuries which were found to be indivisible from the first act, and a claim was advanced against the second tortfeasor for damages for the injuries caused both by the first and the second tortious acts. Just as a claim for damages for a second tortious act could not "give life to" recovery of damages for a first act where a limitation period had expired so also s. 10(1)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has taken away "any right and rights of action" available to Mr. Pinch and any recoverable "damages, contributions or indemnity" that might have been available to Mr. Pinch as a result of MVA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take these observations as just that; observations, not remarks intended to place limits on the circumstances wherein a plaintiff would be unable to "...recover indivisible damages arising out of a separate breach of duty of care." In my view those circumstances must include cases where the separate breach of duty of care occurs in a no-fault jurisdiction whose legislation precludes and prohibits tort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Tolofson</w:t>
      </w:r>
      <w:r>
        <w:rPr>
          <w:rFonts w:ascii="arial" w:eastAsia="arial" w:hAnsi="arial" w:cs="arial"/>
          <w:color w:val="000000"/>
          <w:sz w:val="20"/>
          <w:lang w:val="en-US" w:eastAsia="en-US" w:bidi="ar-SA"/>
        </w:rPr>
        <w:t xml:space="preserve"> the court alluded to this, I think, at para. 46. In deciding the issue of choice of law and in concluding that the </w:t>
      </w:r>
      <w:r>
        <w:rPr>
          <w:rFonts w:ascii="arial" w:eastAsia="arial" w:hAnsi="arial" w:cs="arial"/>
          <w:i/>
          <w:color w:val="000000"/>
          <w:sz w:val="20"/>
          <w:lang w:val="en-US" w:eastAsia="en-US" w:bidi="ar-SA"/>
        </w:rPr>
        <w:t>lex loci delicti</w:t>
      </w:r>
      <w:r>
        <w:rPr>
          <w:rFonts w:ascii="arial" w:eastAsia="arial" w:hAnsi="arial" w:cs="arial"/>
          <w:color w:val="000000"/>
          <w:sz w:val="20"/>
          <w:lang w:val="en-US" w:eastAsia="en-US" w:bidi="ar-SA"/>
        </w:rPr>
        <w:t xml:space="preserve"> must govern, the court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may be room for exceptions but they would need to be very carefully defined. It seems to me self evident, for example, that State A has no business in defining the legal rights and liabilities of citizens of State B in respect of acts in their own country, or for that matter the actions in State B of citizens of State C, and it would lead to unfair and unjust results if it did. The same considerations apply as between the Canadian provinces.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seems to me, with respect, that that is exactly what the defendants seek to do by their application; they seek to define the proposed third parties' rights and liabilities by the law and procedure of British Columbia, despite those rights and liabilities having been fully and clearly defined and constrained by the law of Manitoba. If nothing else it would seem appropriate that we give deference to that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So while this case does not have the clear domestic legislation governing that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did, there is still legislation governing and that legislation is the </w:t>
      </w:r>
      <w:r>
        <w:rPr>
          <w:rFonts w:ascii="arial" w:eastAsia="arial" w:hAnsi="arial" w:cs="arial"/>
          <w:i/>
          <w:color w:val="000000"/>
          <w:sz w:val="20"/>
          <w:lang w:val="en-US" w:eastAsia="en-US" w:bidi="ar-SA"/>
        </w:rPr>
        <w:t>Manitoba Public Insurance Act</w:t>
      </w:r>
      <w:r>
        <w:rPr>
          <w:rFonts w:ascii="arial" w:eastAsia="arial" w:hAnsi="arial" w:cs="arial"/>
          <w:color w:val="000000"/>
          <w:sz w:val="20"/>
          <w:lang w:val="en-US" w:eastAsia="en-US" w:bidi="ar-SA"/>
        </w:rPr>
        <w:t xml:space="preserve">. I conclude, therefore, that when two jurisdictions' legal regimes collide, as they arguably do here, that a further exception to the indivisibility established by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may arise, as contemplated by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result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D. BAKER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61" style="position:absolute;z-index:25188556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83"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283"/>
      <w:r>
        <w:rPr>
          <w:rFonts w:ascii="arial" w:eastAsia="arial" w:hAnsi="arial" w:cs="arial"/>
          <w:sz w:val="20"/>
          <w:lang w:val="en-US" w:eastAsia="en-US" w:bidi="ar-SA"/>
        </w:rPr>
        <w:tab/>
      </w:r>
      <w:r>
        <w:rPr>
          <w:rFonts w:ascii="arial" w:eastAsia="arial" w:hAnsi="arial" w:cs="arial"/>
          <w:i/>
          <w:color w:val="6D6E71"/>
          <w:sz w:val="18"/>
          <w:lang w:val="en-US" w:eastAsia="en-US" w:bidi="ar-SA"/>
        </w:rPr>
        <w:t>Manitoba Public Insurance Act</w:t>
      </w:r>
      <w:r>
        <w:rPr>
          <w:rFonts w:ascii="arial" w:eastAsia="arial" w:hAnsi="arial" w:cs="arial"/>
          <w:color w:val="6D6E71"/>
          <w:sz w:val="18"/>
          <w:lang w:val="en-US" w:eastAsia="en-US" w:bidi="ar-SA"/>
        </w:rPr>
        <w:t xml:space="preserve"> </w:t>
      </w:r>
      <w:hyperlink r:id="rId629" w:history="1">
        <w:r>
          <w:rPr>
            <w:rFonts w:ascii="arial" w:eastAsia="arial" w:hAnsi="arial" w:cs="arial"/>
            <w:i/>
            <w:color w:val="0077CC"/>
            <w:sz w:val="18"/>
            <w:u w:val="single"/>
            <w:shd w:val="clear" w:color="auto" w:fill="FFFFFF"/>
            <w:lang w:val="en-US" w:eastAsia="en-US" w:bidi="ar-SA"/>
          </w:rPr>
          <w:t>C.C.S.M. c P215</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MPIA</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84"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284"/>
      <w:r>
        <w:rPr>
          <w:rFonts w:ascii="arial" w:eastAsia="arial" w:hAnsi="arial" w:cs="arial"/>
          <w:sz w:val="20"/>
          <w:lang w:val="en-US" w:eastAsia="en-US" w:bidi="ar-SA"/>
        </w:rPr>
        <w:tab/>
      </w:r>
      <w:r>
        <w:rPr>
          <w:rFonts w:ascii="arial" w:eastAsia="arial" w:hAnsi="arial" w:cs="arial"/>
          <w:i/>
          <w:color w:val="6D6E71"/>
          <w:sz w:val="18"/>
          <w:lang w:val="en-US" w:eastAsia="en-US" w:bidi="ar-SA"/>
        </w:rPr>
        <w:t>R.S.B.C. 1996, c. 333</w:t>
      </w:r>
    </w:p>
    <w:p>
      <w:pPr>
        <w:spacing w:before="120" w:after="20" w:line="240" w:lineRule="atLeast"/>
        <w:ind w:left="720" w:hanging="360"/>
        <w:jc w:val="both"/>
        <w:rPr>
          <w:rFonts w:ascii="arial" w:eastAsia="arial" w:hAnsi="arial" w:cs="arial"/>
          <w:sz w:val="20"/>
          <w:lang w:val="en-US" w:eastAsia="en-US" w:bidi="ar-SA"/>
        </w:rPr>
      </w:pPr>
      <w:bookmarkStart w:id="285" w:name="Forward_fnref_fnr-3_0"/>
      <w:hyperlink w:anchor="Backward_fnref_fnr-3" w:history="1">
        <w:r>
          <w:rPr>
            <w:rFonts w:ascii="arial" w:eastAsia="arial" w:hAnsi="arial" w:cs="arial"/>
            <w:b/>
            <w:color w:val="BE161D"/>
            <w:sz w:val="18"/>
            <w:shd w:val="clear" w:color="auto" w:fill="FFFFFF"/>
            <w:lang w:val="en-US" w:eastAsia="en-US" w:bidi="ar-SA"/>
          </w:rPr>
          <w:t>3</w:t>
        </w:r>
      </w:hyperlink>
      <w:bookmarkEnd w:id="285"/>
      <w:r>
        <w:rPr>
          <w:rFonts w:ascii="arial" w:eastAsia="arial" w:hAnsi="arial" w:cs="arial"/>
          <w:sz w:val="20"/>
          <w:lang w:val="en-US" w:eastAsia="en-US" w:bidi="ar-SA"/>
        </w:rPr>
        <w:tab/>
      </w:r>
      <w:hyperlink r:id="rId630" w:history="1">
        <w:r>
          <w:rPr>
            <w:rFonts w:ascii="arial" w:eastAsia="arial" w:hAnsi="arial" w:cs="arial"/>
            <w:i/>
            <w:color w:val="0077CC"/>
            <w:sz w:val="18"/>
            <w:u w:val="single"/>
            <w:shd w:val="clear" w:color="auto" w:fill="FFFFFF"/>
            <w:lang w:val="en-US" w:eastAsia="en-US" w:bidi="ar-SA"/>
          </w:rPr>
          <w:t>2010 BCCA 361</w:t>
        </w:r>
      </w:hyperlink>
    </w:p>
    <w:p>
      <w:pPr>
        <w:spacing w:before="120" w:after="20" w:line="240" w:lineRule="atLeast"/>
        <w:ind w:left="720" w:hanging="360"/>
        <w:jc w:val="both"/>
        <w:rPr>
          <w:rFonts w:ascii="arial" w:eastAsia="arial" w:hAnsi="arial" w:cs="arial"/>
          <w:sz w:val="20"/>
          <w:lang w:val="en-US" w:eastAsia="en-US" w:bidi="ar-SA"/>
        </w:rPr>
      </w:pPr>
      <w:bookmarkStart w:id="286" w:name="Forward_fnref_fnr-4_0"/>
      <w:hyperlink w:anchor="Backward_fnref_fnr-4" w:history="1">
        <w:r>
          <w:rPr>
            <w:rFonts w:ascii="arial" w:eastAsia="arial" w:hAnsi="arial" w:cs="arial"/>
            <w:b/>
            <w:color w:val="BE161D"/>
            <w:sz w:val="18"/>
            <w:shd w:val="clear" w:color="auto" w:fill="FFFFFF"/>
            <w:lang w:val="en-US" w:eastAsia="en-US" w:bidi="ar-SA"/>
          </w:rPr>
          <w:t>4</w:t>
        </w:r>
      </w:hyperlink>
      <w:bookmarkEnd w:id="286"/>
      <w:r>
        <w:rPr>
          <w:rFonts w:ascii="arial" w:eastAsia="arial" w:hAnsi="arial" w:cs="arial"/>
          <w:sz w:val="20"/>
          <w:lang w:val="en-US" w:eastAsia="en-US" w:bidi="ar-SA"/>
        </w:rPr>
        <w:tab/>
      </w:r>
      <w:hyperlink r:id="rId44" w:history="1">
        <w:r>
          <w:rPr>
            <w:rFonts w:ascii="arial" w:eastAsia="arial" w:hAnsi="arial" w:cs="arial"/>
            <w:i/>
            <w:color w:val="0077CC"/>
            <w:sz w:val="18"/>
            <w:u w:val="single"/>
            <w:shd w:val="clear" w:color="auto" w:fill="FFFFFF"/>
            <w:lang w:val="en-US" w:eastAsia="en-US" w:bidi="ar-SA"/>
          </w:rPr>
          <w:t>[1996] 3 S.C.R. 458</w:t>
        </w:r>
      </w:hyperlink>
    </w:p>
    <w:p>
      <w:pPr>
        <w:spacing w:before="120" w:after="20" w:line="240" w:lineRule="atLeast"/>
        <w:ind w:left="720" w:hanging="360"/>
        <w:jc w:val="both"/>
        <w:rPr>
          <w:rFonts w:ascii="arial" w:eastAsia="arial" w:hAnsi="arial" w:cs="arial"/>
          <w:sz w:val="20"/>
          <w:lang w:val="en-US" w:eastAsia="en-US" w:bidi="ar-SA"/>
        </w:rPr>
      </w:pPr>
      <w:bookmarkStart w:id="287" w:name="Forward_fnref_fnr-5_0"/>
      <w:hyperlink w:anchor="Backward_fnref_fnr-5" w:history="1">
        <w:r>
          <w:rPr>
            <w:rFonts w:ascii="arial" w:eastAsia="arial" w:hAnsi="arial" w:cs="arial"/>
            <w:b/>
            <w:color w:val="BE161D"/>
            <w:sz w:val="18"/>
            <w:shd w:val="clear" w:color="auto" w:fill="FFFFFF"/>
            <w:lang w:val="en-US" w:eastAsia="en-US" w:bidi="ar-SA"/>
          </w:rPr>
          <w:t>5</w:t>
        </w:r>
      </w:hyperlink>
      <w:bookmarkEnd w:id="287"/>
      <w:r>
        <w:rPr>
          <w:rFonts w:ascii="arial" w:eastAsia="arial" w:hAnsi="arial" w:cs="arial"/>
          <w:sz w:val="20"/>
          <w:lang w:val="en-US" w:eastAsia="en-US" w:bidi="ar-SA"/>
        </w:rPr>
        <w:tab/>
      </w:r>
      <w:r>
        <w:rPr>
          <w:rFonts w:ascii="arial" w:eastAsia="arial" w:hAnsi="arial" w:cs="arial"/>
          <w:color w:val="6D6E71"/>
          <w:sz w:val="18"/>
          <w:lang w:val="en-US" w:eastAsia="en-US" w:bidi="ar-SA"/>
        </w:rPr>
        <w:t>(1968) 65 W.W.R. 577</w:t>
      </w:r>
    </w:p>
    <w:p>
      <w:pPr>
        <w:spacing w:before="120" w:after="20" w:line="240" w:lineRule="atLeast"/>
        <w:ind w:left="720" w:hanging="360"/>
        <w:jc w:val="both"/>
        <w:rPr>
          <w:rFonts w:ascii="arial" w:eastAsia="arial" w:hAnsi="arial" w:cs="arial"/>
          <w:sz w:val="20"/>
          <w:lang w:val="en-US" w:eastAsia="en-US" w:bidi="ar-SA"/>
        </w:rPr>
      </w:pPr>
      <w:bookmarkStart w:id="288" w:name="Forward_fnref_fnr-6_0"/>
      <w:hyperlink w:anchor="Backward_fnref_fnr-6" w:history="1">
        <w:r>
          <w:rPr>
            <w:rFonts w:ascii="arial" w:eastAsia="arial" w:hAnsi="arial" w:cs="arial"/>
            <w:b/>
            <w:color w:val="BE161D"/>
            <w:sz w:val="18"/>
            <w:shd w:val="clear" w:color="auto" w:fill="FFFFFF"/>
            <w:lang w:val="en-US" w:eastAsia="en-US" w:bidi="ar-SA"/>
          </w:rPr>
          <w:t>6</w:t>
        </w:r>
      </w:hyperlink>
      <w:bookmarkEnd w:id="288"/>
      <w:r>
        <w:rPr>
          <w:rFonts w:ascii="arial" w:eastAsia="arial" w:hAnsi="arial" w:cs="arial"/>
          <w:sz w:val="20"/>
          <w:lang w:val="en-US" w:eastAsia="en-US" w:bidi="ar-SA"/>
        </w:rPr>
        <w:tab/>
      </w:r>
      <w:r>
        <w:rPr>
          <w:rFonts w:ascii="arial" w:eastAsia="arial" w:hAnsi="arial" w:cs="arial"/>
          <w:i/>
          <w:color w:val="6D6E71"/>
          <w:sz w:val="18"/>
          <w:lang w:val="en-US" w:eastAsia="en-US" w:bidi="ar-SA"/>
        </w:rPr>
        <w:t>S.B.C. 2003, c. 28</w:t>
      </w:r>
    </w:p>
    <w:p>
      <w:pPr>
        <w:spacing w:before="120" w:after="20" w:line="240" w:lineRule="atLeast"/>
        <w:ind w:left="720" w:hanging="360"/>
        <w:jc w:val="both"/>
        <w:rPr>
          <w:rFonts w:ascii="arial" w:eastAsia="arial" w:hAnsi="arial" w:cs="arial"/>
          <w:sz w:val="20"/>
          <w:lang w:val="en-US" w:eastAsia="en-US" w:bidi="ar-SA"/>
        </w:rPr>
      </w:pPr>
      <w:bookmarkStart w:id="289" w:name="Forward_fnref_fnr-7_0"/>
      <w:hyperlink w:anchor="Backward_fnref_fnr-7" w:history="1">
        <w:r>
          <w:rPr>
            <w:rFonts w:ascii="arial" w:eastAsia="arial" w:hAnsi="arial" w:cs="arial"/>
            <w:b/>
            <w:color w:val="BE161D"/>
            <w:sz w:val="18"/>
            <w:shd w:val="clear" w:color="auto" w:fill="FFFFFF"/>
            <w:lang w:val="en-US" w:eastAsia="en-US" w:bidi="ar-SA"/>
          </w:rPr>
          <w:t>7</w:t>
        </w:r>
      </w:hyperlink>
      <w:bookmarkEnd w:id="289"/>
      <w:r>
        <w:rPr>
          <w:rFonts w:ascii="arial" w:eastAsia="arial" w:hAnsi="arial" w:cs="arial"/>
          <w:sz w:val="20"/>
          <w:lang w:val="en-US" w:eastAsia="en-US" w:bidi="ar-SA"/>
        </w:rPr>
        <w:tab/>
      </w:r>
      <w:r>
        <w:rPr>
          <w:rFonts w:ascii="arial" w:eastAsia="arial" w:hAnsi="arial" w:cs="arial"/>
          <w:i/>
          <w:color w:val="6D6E71"/>
          <w:sz w:val="18"/>
          <w:lang w:val="en-US" w:eastAsia="en-US" w:bidi="ar-SA"/>
        </w:rPr>
        <w:t>2002 MBCA 19</w:t>
      </w:r>
    </w:p>
    <w:p>
      <w:pPr>
        <w:spacing w:before="120" w:after="20" w:line="240" w:lineRule="atLeast"/>
        <w:ind w:left="720" w:hanging="360"/>
        <w:jc w:val="both"/>
        <w:rPr>
          <w:rFonts w:ascii="arial" w:eastAsia="arial" w:hAnsi="arial" w:cs="arial"/>
          <w:sz w:val="20"/>
          <w:lang w:val="en-US" w:eastAsia="en-US" w:bidi="ar-SA"/>
        </w:rPr>
      </w:pPr>
      <w:bookmarkStart w:id="290" w:name="Forward_fnref_fnr-8_0"/>
      <w:hyperlink w:anchor="Backward_fnref_fnr-8" w:history="1">
        <w:r>
          <w:rPr>
            <w:rFonts w:ascii="arial" w:eastAsia="arial" w:hAnsi="arial" w:cs="arial"/>
            <w:b/>
            <w:color w:val="BE161D"/>
            <w:sz w:val="18"/>
            <w:shd w:val="clear" w:color="auto" w:fill="FFFFFF"/>
            <w:lang w:val="en-US" w:eastAsia="en-US" w:bidi="ar-SA"/>
          </w:rPr>
          <w:t>8</w:t>
        </w:r>
      </w:hyperlink>
      <w:bookmarkEnd w:id="290"/>
      <w:r>
        <w:rPr>
          <w:rFonts w:ascii="arial" w:eastAsia="arial" w:hAnsi="arial" w:cs="arial"/>
          <w:sz w:val="20"/>
          <w:lang w:val="en-US" w:eastAsia="en-US" w:bidi="ar-SA"/>
        </w:rPr>
        <w:tab/>
      </w:r>
      <w:r>
        <w:rPr>
          <w:rFonts w:ascii="arial" w:eastAsia="arial" w:hAnsi="arial" w:cs="arial"/>
          <w:i/>
          <w:color w:val="6D6E71"/>
          <w:sz w:val="18"/>
          <w:lang w:val="en-US" w:eastAsia="en-US" w:bidi="ar-SA"/>
        </w:rPr>
        <w:t>R.S.B.C. 1996, c. 492</w:t>
      </w:r>
    </w:p>
    <w:p>
      <w:pPr>
        <w:spacing w:before="120" w:after="20" w:line="240" w:lineRule="atLeast"/>
        <w:ind w:left="720" w:hanging="360"/>
        <w:jc w:val="both"/>
        <w:rPr>
          <w:rFonts w:ascii="arial" w:eastAsia="arial" w:hAnsi="arial" w:cs="arial"/>
          <w:sz w:val="20"/>
          <w:lang w:val="en-US" w:eastAsia="en-US" w:bidi="ar-SA"/>
        </w:rPr>
      </w:pPr>
      <w:bookmarkStart w:id="291" w:name="Forward_fnref_fnr-9_0"/>
      <w:hyperlink w:anchor="Backward_fnref_fnr-9" w:history="1">
        <w:r>
          <w:rPr>
            <w:rFonts w:ascii="arial" w:eastAsia="arial" w:hAnsi="arial" w:cs="arial"/>
            <w:b/>
            <w:color w:val="BE161D"/>
            <w:sz w:val="18"/>
            <w:shd w:val="clear" w:color="auto" w:fill="FFFFFF"/>
            <w:lang w:val="en-US" w:eastAsia="en-US" w:bidi="ar-SA"/>
          </w:rPr>
          <w:t>9</w:t>
        </w:r>
      </w:hyperlink>
      <w:bookmarkEnd w:id="291"/>
      <w:r>
        <w:rPr>
          <w:rFonts w:ascii="arial" w:eastAsia="arial" w:hAnsi="arial" w:cs="arial"/>
          <w:sz w:val="20"/>
          <w:lang w:val="en-US" w:eastAsia="en-US" w:bidi="ar-SA"/>
        </w:rPr>
        <w:tab/>
      </w:r>
      <w:r>
        <w:rPr>
          <w:rFonts w:ascii="arial" w:eastAsia="arial" w:hAnsi="arial" w:cs="arial"/>
          <w:i/>
          <w:color w:val="6D6E71"/>
          <w:sz w:val="18"/>
          <w:lang w:val="en-US" w:eastAsia="en-US" w:bidi="ar-SA"/>
        </w:rPr>
        <w:t>Dembroski v. Rhainds,</w:t>
      </w:r>
      <w:r>
        <w:rPr>
          <w:rFonts w:ascii="arial" w:eastAsia="arial" w:hAnsi="arial" w:cs="arial"/>
          <w:color w:val="6D6E71"/>
          <w:sz w:val="18"/>
          <w:lang w:val="en-US" w:eastAsia="en-US" w:bidi="ar-SA"/>
        </w:rPr>
        <w:t xml:space="preserve"> </w:t>
      </w:r>
      <w:hyperlink r:id="rId631" w:history="1">
        <w:r>
          <w:rPr>
            <w:rFonts w:ascii="arial" w:eastAsia="arial" w:hAnsi="arial" w:cs="arial"/>
            <w:i/>
            <w:color w:val="0077CC"/>
            <w:sz w:val="18"/>
            <w:u w:val="single"/>
            <w:shd w:val="clear" w:color="auto" w:fill="FFFFFF"/>
            <w:lang w:val="en-US" w:eastAsia="en-US" w:bidi="ar-SA"/>
          </w:rPr>
          <w:t>2011 BCCA 185</w:t>
        </w:r>
      </w:hyperlink>
    </w:p>
    <w:p>
      <w:pPr>
        <w:spacing w:before="120" w:after="20" w:line="240" w:lineRule="atLeast"/>
        <w:ind w:left="720" w:hanging="360"/>
        <w:jc w:val="both"/>
        <w:rPr>
          <w:rFonts w:ascii="arial" w:eastAsia="arial" w:hAnsi="arial" w:cs="arial"/>
          <w:sz w:val="20"/>
          <w:lang w:val="en-US" w:eastAsia="en-US" w:bidi="ar-SA"/>
        </w:rPr>
      </w:pPr>
      <w:bookmarkStart w:id="292" w:name="Forward_fnref_fnr-10_0"/>
      <w:hyperlink w:anchor="Backward_fnref_fnr-10" w:history="1">
        <w:r>
          <w:rPr>
            <w:rFonts w:ascii="arial" w:eastAsia="arial" w:hAnsi="arial" w:cs="arial"/>
            <w:b/>
            <w:color w:val="BE161D"/>
            <w:sz w:val="18"/>
            <w:shd w:val="clear" w:color="auto" w:fill="FFFFFF"/>
            <w:lang w:val="en-US" w:eastAsia="en-US" w:bidi="ar-SA"/>
          </w:rPr>
          <w:t>10</w:t>
        </w:r>
      </w:hyperlink>
      <w:bookmarkEnd w:id="292"/>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 xml:space="preserve"> at para. 11</w:t>
      </w:r>
    </w:p>
    <w:p>
      <w:pPr>
        <w:spacing w:before="120" w:after="20" w:line="240" w:lineRule="atLeast"/>
        <w:ind w:left="720" w:hanging="360"/>
        <w:jc w:val="both"/>
        <w:rPr>
          <w:rFonts w:ascii="arial" w:eastAsia="arial" w:hAnsi="arial" w:cs="arial"/>
          <w:sz w:val="20"/>
          <w:lang w:val="en-US" w:eastAsia="en-US" w:bidi="ar-SA"/>
        </w:rPr>
      </w:pPr>
      <w:bookmarkStart w:id="293" w:name="Forward_fnref_fnr-11_0"/>
      <w:hyperlink w:anchor="Backward_fnref_fnr-11" w:history="1">
        <w:r>
          <w:rPr>
            <w:rFonts w:ascii="arial" w:eastAsia="arial" w:hAnsi="arial" w:cs="arial"/>
            <w:b/>
            <w:color w:val="BE161D"/>
            <w:sz w:val="18"/>
            <w:shd w:val="clear" w:color="auto" w:fill="FFFFFF"/>
            <w:lang w:val="en-US" w:eastAsia="en-US" w:bidi="ar-SA"/>
          </w:rPr>
          <w:t>11</w:t>
        </w:r>
      </w:hyperlink>
      <w:bookmarkEnd w:id="293"/>
      <w:r>
        <w:rPr>
          <w:rFonts w:ascii="arial" w:eastAsia="arial" w:hAnsi="arial" w:cs="arial"/>
          <w:sz w:val="20"/>
          <w:lang w:val="en-US" w:eastAsia="en-US" w:bidi="ar-SA"/>
        </w:rPr>
        <w:tab/>
      </w:r>
      <w:hyperlink r:id="rId632" w:history="1">
        <w:r>
          <w:rPr>
            <w:rFonts w:ascii="arial" w:eastAsia="arial" w:hAnsi="arial" w:cs="arial"/>
            <w:i/>
            <w:color w:val="0077CC"/>
            <w:sz w:val="18"/>
            <w:u w:val="single"/>
            <w:shd w:val="clear" w:color="auto" w:fill="FFFFFF"/>
            <w:lang w:val="en-US" w:eastAsia="en-US" w:bidi="ar-SA"/>
          </w:rPr>
          <w:t>2015 BCSC 1888</w:t>
        </w:r>
      </w:hyperlink>
    </w:p>
    <w:p>
      <w:pPr>
        <w:spacing w:before="120" w:after="20" w:line="240" w:lineRule="atLeast"/>
        <w:ind w:left="720" w:hanging="360"/>
        <w:jc w:val="both"/>
        <w:rPr>
          <w:rFonts w:ascii="arial" w:eastAsia="arial" w:hAnsi="arial" w:cs="arial"/>
          <w:sz w:val="20"/>
          <w:lang w:val="en-US" w:eastAsia="en-US" w:bidi="ar-SA"/>
        </w:rPr>
      </w:pPr>
      <w:bookmarkStart w:id="294" w:name="Forward_fnref_fnr-12_0"/>
      <w:hyperlink w:anchor="Backward_fnref_fnr-12" w:history="1">
        <w:r>
          <w:rPr>
            <w:rFonts w:ascii="arial" w:eastAsia="arial" w:hAnsi="arial" w:cs="arial"/>
            <w:b/>
            <w:color w:val="BE161D"/>
            <w:sz w:val="18"/>
            <w:shd w:val="clear" w:color="auto" w:fill="FFFFFF"/>
            <w:lang w:val="en-US" w:eastAsia="en-US" w:bidi="ar-SA"/>
          </w:rPr>
          <w:t>12</w:t>
        </w:r>
      </w:hyperlink>
      <w:bookmarkEnd w:id="294"/>
      <w:r>
        <w:rPr>
          <w:rFonts w:ascii="arial" w:eastAsia="arial" w:hAnsi="arial" w:cs="arial"/>
          <w:sz w:val="20"/>
          <w:lang w:val="en-US" w:eastAsia="en-US" w:bidi="ar-SA"/>
        </w:rPr>
        <w:tab/>
      </w:r>
      <w:r>
        <w:rPr>
          <w:rFonts w:ascii="arial" w:eastAsia="arial" w:hAnsi="arial" w:cs="arial"/>
          <w:color w:val="6D6E71"/>
          <w:sz w:val="18"/>
          <w:lang w:val="en-US" w:eastAsia="en-US" w:bidi="ar-SA"/>
        </w:rPr>
        <w:t>In Pinch the second loss arose in an employment circumstance, so that s. 10 of the WCA barred tort proceedings.</w:t>
      </w:r>
    </w:p>
    <w:p>
      <w:pPr>
        <w:spacing w:before="120" w:after="20" w:line="240" w:lineRule="atLeast"/>
        <w:ind w:left="720" w:hanging="360"/>
        <w:jc w:val="both"/>
        <w:rPr>
          <w:rFonts w:ascii="arial" w:eastAsia="arial" w:hAnsi="arial" w:cs="arial"/>
          <w:sz w:val="20"/>
          <w:lang w:val="en-US" w:eastAsia="en-US" w:bidi="ar-SA"/>
        </w:rPr>
      </w:pPr>
      <w:bookmarkStart w:id="295" w:name="Forward_fnref_fnr-13_0"/>
      <w:hyperlink w:anchor="Backward_fnref_fnr-13" w:history="1">
        <w:r>
          <w:rPr>
            <w:rFonts w:ascii="arial" w:eastAsia="arial" w:hAnsi="arial" w:cs="arial"/>
            <w:b/>
            <w:color w:val="BE161D"/>
            <w:sz w:val="18"/>
            <w:shd w:val="clear" w:color="auto" w:fill="FFFFFF"/>
            <w:lang w:val="en-US" w:eastAsia="en-US" w:bidi="ar-SA"/>
          </w:rPr>
          <w:t>13</w:t>
        </w:r>
      </w:hyperlink>
      <w:bookmarkEnd w:id="295"/>
      <w:r>
        <w:rPr>
          <w:rFonts w:ascii="arial" w:eastAsia="arial" w:hAnsi="arial" w:cs="arial"/>
          <w:sz w:val="20"/>
          <w:lang w:val="en-US" w:eastAsia="en-US" w:bidi="ar-SA"/>
        </w:rPr>
        <w:tab/>
      </w:r>
      <w:r>
        <w:rPr>
          <w:rFonts w:ascii="arial" w:eastAsia="arial" w:hAnsi="arial" w:cs="arial"/>
          <w:i/>
          <w:color w:val="6D6E71"/>
          <w:sz w:val="18"/>
          <w:lang w:val="en-US" w:eastAsia="en-US" w:bidi="ar-SA"/>
        </w:rPr>
        <w:t>Ngo v. Luong,</w:t>
      </w:r>
      <w:r>
        <w:rPr>
          <w:rFonts w:ascii="arial" w:eastAsia="arial" w:hAnsi="arial" w:cs="arial"/>
          <w:color w:val="6D6E71"/>
          <w:sz w:val="18"/>
          <w:lang w:val="en-US" w:eastAsia="en-US" w:bidi="ar-SA"/>
        </w:rPr>
        <w:t xml:space="preserve"> </w:t>
      </w:r>
      <w:hyperlink r:id="rId633" w:history="1">
        <w:r>
          <w:rPr>
            <w:rFonts w:ascii="arial" w:eastAsia="arial" w:hAnsi="arial" w:cs="arial"/>
            <w:i/>
            <w:color w:val="0077CC"/>
            <w:sz w:val="18"/>
            <w:u w:val="single"/>
            <w:shd w:val="clear" w:color="auto" w:fill="FFFFFF"/>
            <w:lang w:val="en-US" w:eastAsia="en-US" w:bidi="ar-SA"/>
          </w:rPr>
          <w:t>2014 BCSC 516</w:t>
        </w:r>
      </w:hyperlink>
    </w:p>
    <w:p>
      <w:pPr>
        <w:spacing w:before="120" w:after="20" w:line="240" w:lineRule="atLeast"/>
        <w:ind w:left="720" w:hanging="360"/>
        <w:jc w:val="both"/>
        <w:rPr>
          <w:rFonts w:ascii="arial" w:eastAsia="arial" w:hAnsi="arial" w:cs="arial"/>
          <w:sz w:val="20"/>
          <w:lang w:val="en-US" w:eastAsia="en-US" w:bidi="ar-SA"/>
        </w:rPr>
      </w:pPr>
      <w:bookmarkStart w:id="296" w:name="Forward_fnref_fnr-14_0"/>
      <w:hyperlink w:anchor="Backward_fnref_fnr-14" w:history="1">
        <w:r>
          <w:rPr>
            <w:rFonts w:ascii="arial" w:eastAsia="arial" w:hAnsi="arial" w:cs="arial"/>
            <w:b/>
            <w:color w:val="BE161D"/>
            <w:sz w:val="18"/>
            <w:shd w:val="clear" w:color="auto" w:fill="FFFFFF"/>
            <w:lang w:val="en-US" w:eastAsia="en-US" w:bidi="ar-SA"/>
          </w:rPr>
          <w:t>14</w:t>
        </w:r>
      </w:hyperlink>
      <w:bookmarkEnd w:id="296"/>
      <w:r>
        <w:rPr>
          <w:rFonts w:ascii="arial" w:eastAsia="arial" w:hAnsi="arial" w:cs="arial"/>
          <w:sz w:val="20"/>
          <w:lang w:val="en-US" w:eastAsia="en-US" w:bidi="ar-SA"/>
        </w:rPr>
        <w:tab/>
      </w:r>
      <w:hyperlink r:id="rId395" w:history="1">
        <w:r>
          <w:rPr>
            <w:rFonts w:ascii="arial" w:eastAsia="arial" w:hAnsi="arial" w:cs="arial"/>
            <w:i/>
            <w:color w:val="0077CC"/>
            <w:sz w:val="18"/>
            <w:u w:val="single"/>
            <w:shd w:val="clear" w:color="auto" w:fill="FFFFFF"/>
            <w:lang w:val="en-US" w:eastAsia="en-US" w:bidi="ar-SA"/>
          </w:rPr>
          <w:t>2011 SCC 42</w:t>
        </w:r>
      </w:hyperlink>
    </w:p>
    <w:p>
      <w:pPr>
        <w:spacing w:before="120" w:after="20" w:line="240" w:lineRule="atLeast"/>
        <w:ind w:left="720" w:hanging="360"/>
        <w:jc w:val="both"/>
        <w:rPr>
          <w:rFonts w:ascii="arial" w:eastAsia="arial" w:hAnsi="arial" w:cs="arial"/>
          <w:sz w:val="20"/>
          <w:lang w:val="en-US" w:eastAsia="en-US" w:bidi="ar-SA"/>
        </w:rPr>
      </w:pPr>
      <w:bookmarkStart w:id="297" w:name="Forward_fnref_fnr-15_0"/>
      <w:hyperlink w:anchor="Backward_fnref_fnr-15" w:history="1">
        <w:r>
          <w:rPr>
            <w:rFonts w:ascii="arial" w:eastAsia="arial" w:hAnsi="arial" w:cs="arial"/>
            <w:b/>
            <w:color w:val="BE161D"/>
            <w:sz w:val="18"/>
            <w:shd w:val="clear" w:color="auto" w:fill="FFFFFF"/>
            <w:lang w:val="en-US" w:eastAsia="en-US" w:bidi="ar-SA"/>
          </w:rPr>
          <w:t>15</w:t>
        </w:r>
      </w:hyperlink>
      <w:bookmarkEnd w:id="297"/>
      <w:r>
        <w:rPr>
          <w:rFonts w:ascii="arial" w:eastAsia="arial" w:hAnsi="arial" w:cs="arial"/>
          <w:sz w:val="20"/>
          <w:lang w:val="en-US" w:eastAsia="en-US" w:bidi="ar-SA"/>
        </w:rPr>
        <w:tab/>
      </w:r>
      <w:r>
        <w:rPr>
          <w:rFonts w:ascii="arial" w:eastAsia="arial" w:hAnsi="arial" w:cs="arial"/>
          <w:i/>
          <w:color w:val="6D6E71"/>
          <w:sz w:val="18"/>
          <w:lang w:val="en-US" w:eastAsia="en-US" w:bidi="ar-SA"/>
        </w:rPr>
        <w:t>Tolofson v. Jensen</w:t>
      </w:r>
      <w:r>
        <w:rPr>
          <w:rFonts w:ascii="arial" w:eastAsia="arial" w:hAnsi="arial" w:cs="arial"/>
          <w:color w:val="6D6E71"/>
          <w:sz w:val="18"/>
          <w:lang w:val="en-US" w:eastAsia="en-US" w:bidi="ar-SA"/>
        </w:rPr>
        <w:t xml:space="preserve"> </w:t>
      </w:r>
      <w:hyperlink r:id="rId634" w:history="1">
        <w:r>
          <w:rPr>
            <w:rFonts w:ascii="arial" w:eastAsia="arial" w:hAnsi="arial" w:cs="arial"/>
            <w:i/>
            <w:color w:val="0077CC"/>
            <w:sz w:val="18"/>
            <w:u w:val="single"/>
            <w:shd w:val="clear" w:color="auto" w:fill="FFFFFF"/>
            <w:lang w:val="en-US" w:eastAsia="en-US" w:bidi="ar-SA"/>
          </w:rPr>
          <w:t>[1994] 3 S.C.R. 1022</w:t>
        </w:r>
      </w:hyperlink>
      <w:r>
        <w:rPr>
          <w:rFonts w:ascii="arial" w:eastAsia="arial" w:hAnsi="arial" w:cs="arial"/>
          <w:color w:val="6D6E71"/>
          <w:sz w:val="18"/>
          <w:lang w:val="en-US" w:eastAsia="en-US" w:bidi="ar-SA"/>
        </w:rPr>
        <w:t xml:space="preserve"> at para. 74 et seq.</w:t>
      </w:r>
    </w:p>
    <w:p>
      <w:pPr>
        <w:spacing w:before="120" w:after="20" w:line="240" w:lineRule="atLeast"/>
        <w:ind w:left="720" w:hanging="360"/>
        <w:jc w:val="both"/>
        <w:rPr>
          <w:rFonts w:ascii="arial" w:eastAsia="arial" w:hAnsi="arial" w:cs="arial"/>
          <w:sz w:val="20"/>
          <w:lang w:val="en-US" w:eastAsia="en-US" w:bidi="ar-SA"/>
        </w:rPr>
      </w:pPr>
      <w:bookmarkStart w:id="298" w:name="Forward_fnref_fnr-16_0"/>
      <w:hyperlink w:anchor="Backward_fnref_fnr-16" w:history="1">
        <w:r>
          <w:rPr>
            <w:rFonts w:ascii="arial" w:eastAsia="arial" w:hAnsi="arial" w:cs="arial"/>
            <w:b/>
            <w:color w:val="BE161D"/>
            <w:sz w:val="18"/>
            <w:shd w:val="clear" w:color="auto" w:fill="FFFFFF"/>
            <w:lang w:val="en-US" w:eastAsia="en-US" w:bidi="ar-SA"/>
          </w:rPr>
          <w:t>16</w:t>
        </w:r>
      </w:hyperlink>
      <w:bookmarkEnd w:id="298"/>
      <w:r>
        <w:rPr>
          <w:rFonts w:ascii="arial" w:eastAsia="arial" w:hAnsi="arial" w:cs="arial"/>
          <w:sz w:val="20"/>
          <w:lang w:val="en-US" w:eastAsia="en-US" w:bidi="ar-SA"/>
        </w:rPr>
        <w:tab/>
      </w:r>
      <w:r>
        <w:rPr>
          <w:rFonts w:ascii="arial" w:eastAsia="arial" w:hAnsi="arial" w:cs="arial"/>
          <w:i/>
          <w:color w:val="6D6E71"/>
          <w:sz w:val="18"/>
          <w:lang w:val="en-US" w:eastAsia="en-US" w:bidi="ar-SA"/>
        </w:rPr>
        <w:t>Ngo v. Luong</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supra</w:t>
      </w:r>
    </w:p>
    <w:p>
      <w:pPr>
        <w:spacing w:before="120" w:after="20" w:line="240" w:lineRule="atLeast"/>
        <w:ind w:left="720" w:hanging="360"/>
        <w:jc w:val="both"/>
        <w:rPr>
          <w:rFonts w:ascii="arial" w:eastAsia="arial" w:hAnsi="arial" w:cs="arial"/>
          <w:sz w:val="20"/>
          <w:lang w:val="en-US" w:eastAsia="en-US" w:bidi="ar-SA"/>
        </w:rPr>
      </w:pPr>
      <w:bookmarkStart w:id="299" w:name="Forward_fnref_fnr-17_0"/>
      <w:hyperlink w:anchor="Backward_fnref_fnr-17" w:history="1">
        <w:r>
          <w:rPr>
            <w:rFonts w:ascii="arial" w:eastAsia="arial" w:hAnsi="arial" w:cs="arial"/>
            <w:b/>
            <w:color w:val="BE161D"/>
            <w:sz w:val="18"/>
            <w:shd w:val="clear" w:color="auto" w:fill="FFFFFF"/>
            <w:lang w:val="en-US" w:eastAsia="en-US" w:bidi="ar-SA"/>
          </w:rPr>
          <w:t>17</w:t>
        </w:r>
      </w:hyperlink>
      <w:bookmarkEnd w:id="299"/>
      <w:r>
        <w:rPr>
          <w:rFonts w:ascii="arial" w:eastAsia="arial" w:hAnsi="arial" w:cs="arial"/>
          <w:sz w:val="20"/>
          <w:lang w:val="en-US" w:eastAsia="en-US" w:bidi="ar-SA"/>
        </w:rPr>
        <w:tab/>
      </w:r>
      <w:r>
        <w:rPr>
          <w:rFonts w:ascii="arial" w:eastAsia="arial" w:hAnsi="arial" w:cs="arial"/>
          <w:i/>
          <w:color w:val="6D6E71"/>
          <w:sz w:val="18"/>
          <w:lang w:val="en-US" w:eastAsia="en-US" w:bidi="ar-SA"/>
        </w:rPr>
        <w:t>R. v. Imperial Tobacco Canada Ltd.</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supra</w:t>
      </w:r>
      <w:r>
        <w:rPr>
          <w:rFonts w:ascii="arial" w:eastAsia="arial" w:hAnsi="arial" w:cs="arial"/>
          <w:color w:val="6D6E71"/>
          <w:sz w:val="18"/>
          <w:lang w:val="en-US" w:eastAsia="en-US" w:bidi="ar-SA"/>
        </w:rPr>
        <w:t>, at para. 29</w:t>
      </w:r>
    </w:p>
    <w:p>
      <w:pPr>
        <w:spacing w:before="120" w:after="20" w:line="240" w:lineRule="atLeast"/>
        <w:ind w:left="720" w:hanging="360"/>
        <w:jc w:val="both"/>
        <w:rPr>
          <w:rFonts w:ascii="arial" w:eastAsia="arial" w:hAnsi="arial" w:cs="arial"/>
          <w:sz w:val="20"/>
          <w:lang w:val="en-US" w:eastAsia="en-US" w:bidi="ar-SA"/>
        </w:rPr>
      </w:pPr>
      <w:bookmarkStart w:id="300" w:name="Forward_fnref_fnr-18_0"/>
      <w:hyperlink w:anchor="Backward_fnref_fnr-18" w:history="1">
        <w:r>
          <w:rPr>
            <w:rFonts w:ascii="arial" w:eastAsia="arial" w:hAnsi="arial" w:cs="arial"/>
            <w:b/>
            <w:color w:val="BE161D"/>
            <w:sz w:val="18"/>
            <w:shd w:val="clear" w:color="auto" w:fill="FFFFFF"/>
            <w:lang w:val="en-US" w:eastAsia="en-US" w:bidi="ar-SA"/>
          </w:rPr>
          <w:t>18</w:t>
        </w:r>
      </w:hyperlink>
      <w:bookmarkEnd w:id="300"/>
      <w:r>
        <w:rPr>
          <w:rFonts w:ascii="arial" w:eastAsia="arial" w:hAnsi="arial" w:cs="arial"/>
          <w:sz w:val="20"/>
          <w:lang w:val="en-US" w:eastAsia="en-US" w:bidi="ar-SA"/>
        </w:rPr>
        <w:tab/>
      </w:r>
      <w:r>
        <w:rPr>
          <w:rFonts w:ascii="arial" w:eastAsia="arial" w:hAnsi="arial" w:cs="arial"/>
          <w:color w:val="6D6E71"/>
          <w:sz w:val="18"/>
          <w:lang w:val="en-US" w:eastAsia="en-US" w:bidi="ar-SA"/>
        </w:rPr>
        <w:t>at para. 24</w:t>
      </w:r>
    </w:p>
    <w:p>
      <w:pPr>
        <w:spacing w:before="120" w:after="20" w:line="240" w:lineRule="atLeast"/>
        <w:ind w:left="720" w:hanging="360"/>
        <w:jc w:val="both"/>
        <w:rPr>
          <w:rFonts w:ascii="arial" w:eastAsia="arial" w:hAnsi="arial" w:cs="arial"/>
          <w:sz w:val="20"/>
          <w:lang w:val="en-US" w:eastAsia="en-US" w:bidi="ar-SA"/>
        </w:rPr>
      </w:pPr>
      <w:bookmarkStart w:id="301" w:name="Forward_fnref_fnr-19_0"/>
      <w:hyperlink w:anchor="Backward_fnref_fnr-19" w:history="1">
        <w:r>
          <w:rPr>
            <w:rFonts w:ascii="arial" w:eastAsia="arial" w:hAnsi="arial" w:cs="arial"/>
            <w:b/>
            <w:color w:val="BE161D"/>
            <w:sz w:val="18"/>
            <w:shd w:val="clear" w:color="auto" w:fill="FFFFFF"/>
            <w:lang w:val="en-US" w:eastAsia="en-US" w:bidi="ar-SA"/>
          </w:rPr>
          <w:t>19</w:t>
        </w:r>
      </w:hyperlink>
      <w:bookmarkEnd w:id="301"/>
      <w:r>
        <w:rPr>
          <w:rFonts w:ascii="arial" w:eastAsia="arial" w:hAnsi="arial" w:cs="arial"/>
          <w:sz w:val="20"/>
          <w:lang w:val="en-US" w:eastAsia="en-US" w:bidi="ar-SA"/>
        </w:rPr>
        <w:tab/>
      </w:r>
      <w:r>
        <w:rPr>
          <w:rFonts w:ascii="arial" w:eastAsia="arial" w:hAnsi="arial" w:cs="arial"/>
          <w:color w:val="6D6E71"/>
          <w:sz w:val="18"/>
          <w:lang w:val="en-US" w:eastAsia="en-US" w:bidi="ar-SA"/>
        </w:rPr>
        <w:t>at para. 51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2" style="position:absolute;z-index:251900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Sauer v. Scales, [2009] B.C.J. No. 1924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B.I. 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12-16, 2008; January 19-23, April 21 and 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September 28,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M053548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1924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2009 BCSC 1311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2009 CarswellBC 2593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181 A.C.W.S. (3d) 474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Douglas William Sauer, Plaintiff, and Kathleen Elizabeth Scales,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Original reasons for judgment were released September 14, 2009. See </w:t>
      </w:r>
      <w:hyperlink r:id="rId643" w:history="1">
        <w:r>
          <w:rPr>
            <w:rFonts w:ascii="arial" w:eastAsia="arial" w:hAnsi="arial" w:cs="arial"/>
            <w:i/>
            <w:color w:val="0077CC"/>
            <w:sz w:val="18"/>
            <w:u w:val="single"/>
            <w:shd w:val="clear" w:color="auto" w:fill="FFFFFF"/>
            <w:lang w:val="en-US" w:eastAsia="en-US" w:bidi="ar-SA"/>
          </w:rPr>
          <w:t>[2009] B.C.J. No. 1829</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3"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2" w:name="Keywords_26"/>
      <w:bookmarkEnd w:id="302"/>
      <w:r>
        <w:rPr>
          <w:rFonts w:ascii="arial" w:eastAsia="arial" w:hAnsi="arial" w:cs="arial"/>
          <w:b/>
          <w:color w:val="000000"/>
          <w:sz w:val="20"/>
          <w:lang w:val="en-US" w:eastAsia="en-US" w:bidi="ar-SA"/>
        </w:rPr>
        <w:t>Damages — Assessment of damages — Measure of damages — Deductions — Limiting factors — Intervening cause — Application by defendant to have $62,000 deducted from plaintiff's award dismissed — $62,000 were settlement proceeds from plaintiff's second motor vehicle accident — Defendant argued that medical evidence indicated plaintiff's injuries in second accident were indivisible from injuries from the first accident, the focus of this action — Physician's reports demonstrated that it was a simple task to separate injuries from second accident from those suffered in this accident — Two causes of action were separate and some injuries sustained by plaintiff in this action were merely exacerbated by second accident, so rule against double recovery did not apply.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Application by defendant to have $62,000 deducted from plaintiff's award dismissed — $62,000 were settlement proceeds from plaintiff's second motor vehicle accident — Defendant argued that medical evidence indicated plaintiff's injuries in second accident were indivisible from injuries from the first accident, the focus of this action — Physician's reports demonstrated that it was a simple task to separate injuries from second accident from those suffered in this accident — Two causes of action were separate and some injuries sustained by plaintiff in this action were merely exacerbated by second accident, so rule against double recovery did not apply.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3" w:name="Case Summary_25"/>
            <w:bookmarkEnd w:id="3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to have $62,000 in settlement proceeds deducted from the award in this action. The plaintiff had settled for $62,000 with the defendant in the action regarding his second motor vehicle accident, which happened subsequent to the motor vehicle accident that was at issue in this action. On cross-examination in this action, the plaintiff conceded that the injuries suffered in the second accident aggravated his condition and that the second accident was serious. The defendant argued that the rule against double recovery applied, so the settlement proceeds had to be deducted.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4" w:name="Holdings of Court_20"/>
            <w:bookmarkEnd w:id="30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relying on the rule in Ashcroft v. Dhaliwal, </w:t>
            </w:r>
            <w:hyperlink r:id="rId644"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 xml:space="preserve">. In the Ashcroft action, the judge found that the injuries suffered in the second accident were indivisible from those in the first action. The same finding could not be made here. Physicians' reports indicated that it was a simply task to separate the injuries suffered in the second accident from these injuries. The two causes of action were separate and some injuries sustained in the second accident merely exacerbated the plaintiff's injuries from this action. The rules against double recovery, thus, did not apply, so there was no deduction necessary.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5" w:name="Counsel_27"/>
      <w:bookmarkEnd w:id="3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4"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D.C. Creighton.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 Moen, M. Gibson.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6" w:name="Judgment_27"/>
      <w:bookmarkEnd w:id="306"/>
      <w:r>
        <w:pict>
          <v:line id="_x0000_s1165" style="position:absolute;z-index:251789312"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Supplemental Reasons for Judgment</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B.I. 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Following the release of my decision, defence counsel sent an email noting that I had not dealt with the issue of whether the settlement proceeds received by the plaintiff arising from the injuries he sustained in the second accident should be deducted from the damages awarded in the instant action. The defence submitted that the settlement proceeds in the amount of $62,500 should be deducted based on the principle expressed in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issue dealt with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was whether the settlement amounts received from a subsequent tortfeasor should be deducted from a damage award made against the original tortfeasor where a trial judge finds both tortfeasors caused the claimant an indivisible loss by their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held that the trial judge, </w:t>
      </w:r>
      <w:hyperlink r:id="rId645" w:history="1">
        <w:r>
          <w:rPr>
            <w:rFonts w:ascii="arial" w:eastAsia="arial" w:hAnsi="arial" w:cs="arial"/>
            <w:i/>
            <w:color w:val="0077CC"/>
            <w:sz w:val="20"/>
            <w:u w:val="single"/>
            <w:shd w:val="clear" w:color="auto" w:fill="FFFFFF"/>
            <w:lang w:val="en-US" w:eastAsia="en-US" w:bidi="ar-SA"/>
          </w:rPr>
          <w:t>[2007] B.C.J. No. 797</w:t>
        </w:r>
      </w:hyperlink>
      <w:r>
        <w:rPr>
          <w:rFonts w:ascii="arial" w:eastAsia="arial" w:hAnsi="arial" w:cs="arial"/>
          <w:color w:val="000000"/>
          <w:sz w:val="20"/>
          <w:lang w:val="en-US" w:eastAsia="en-US" w:bidi="ar-SA"/>
        </w:rPr>
        <w:t>, was correct to deduct the settlement amounts from the damage award. The Court said that the fundamental principle of damage awards is that the plaintiff should be compensated for the full amount of the loss, but not more. In making this finding the Court said at para.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proper focus of a damage award is on the plaintiff's loss. The Court should not encourage settlement with the promise that plaintiffs may have the opportunity for double recovery. There is no valid policy reason for treating concurrent and consecutive torts differently when both are necessary causes of an indivisible injury and its consequential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was injured in two motor vehicle accidents nearly a year apart. The trial judge described the second accident as "relatively minor" compared to the first accident. The plaintiff settled her claim arising from the second accident and sought only an assessment of damages for the first accident. After the first accident the plaintiff suffered soft tissue injuries to her neck, shoulders, back, hips, upper arms and legs. The plaintiff developed post-traumatic stress disorder, major depressive episode and chronic pain disorder as a result of the first accident. She had returned to work but was still receiving treatment and trying to recover from the first accident when the second accident occurred, aggravating and exacerbating her injuries from the first accident. After the second accident the plaintiff permanently lost her ability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trial judge found as a fact that the first tortfeasor caused the plaintiff's depression, post-traumatic stress and chronic pain disorders and thus her inability to continue working, as well as other losses for which she was claiming compensation, and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second tortfeasor was also a necessary cause of those injuries caused by the two torts.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Court noted that drawing on the concepts discussed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[1997] 1 W.W.R. 97</w:t>
        </w:r>
      </w:hyperlink>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trial judge defined an "indivisible" injury as that "caused or materially contributed to by a tort" and a "divisible" injury as one that has "no causal connection" to the tort. The trial judge, </w:t>
      </w:r>
      <w:hyperlink r:id="rId646" w:history="1">
        <w:r>
          <w:rPr>
            <w:rFonts w:ascii="arial" w:eastAsia="arial" w:hAnsi="arial" w:cs="arial"/>
            <w:i/>
            <w:color w:val="0077CC"/>
            <w:sz w:val="20"/>
            <w:u w:val="single"/>
            <w:shd w:val="clear" w:color="auto" w:fill="FFFFFF"/>
            <w:lang w:val="en-US" w:eastAsia="en-US" w:bidi="ar-SA"/>
          </w:rPr>
          <w:t>[1993] B.C.J. No. 2777</w:t>
        </w:r>
      </w:hyperlink>
      <w:r>
        <w:rPr>
          <w:rFonts w:ascii="arial" w:eastAsia="arial" w:hAnsi="arial" w:cs="arial"/>
          <w:color w:val="000000"/>
          <w:sz w:val="20"/>
          <w:lang w:val="en-US" w:eastAsia="en-US" w:bidi="ar-SA"/>
        </w:rPr>
        <w:t>, found that the plaintiff's injuries from the second accident were indivisible from her first-accident injuries and their consequences because, at the time of the second accident, she had not yet recovered from the first accident and the second accident realized a vulnerability created by the first accident, namely, the risk that her first-accident injuries would be aggravated and exacerbated. Thus, the defendants were fully liable for the entirety of the injuries and their consequences the first tortfeasor had caused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paras. 16-21 Huddart J.A. said, as follows:</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read the trial judge's reasons, he found as a fact that the first tortfeasor caused the appellant's depression, post-traumatic stress and chronic pain disorders and thus her inability to continue working, as well as the other losses for which she was claiming compensation, and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second tortfeasor was also a necessary cause of those injuries and her loss. No party suggests error in the trial judge's global assessment (at $400,000) of what he determined to be the appellant's loss flowing from the indivisible injuries caused by the two torts. The respondents challenge his finding of an indivisible injury and his apportionment only for the purpose of determining the appropriate order if the appeal is allowed.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the respondents' counsel that the analytical difficulty in this case flows from the need to distinguish the rule of causation from that of legal responsibility for damages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If, as here, two torts were necessary causes of the injuries, liability for the loss resulting from those injuries may be apportioned based on "fault", but each tortfeasor is responsible for the entire damage to which their tort materially contributed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paragraphs 12 and 41. As I noted earlier in these reasons, the causation rule does not apportion responsibility for damages.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also agree with the respondents that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does not preclude the joint tortfeasor's right to apportionment. The method of apportionment may be by percentage, as in </w:t>
      </w:r>
      <w:r>
        <w:rPr>
          <w:rFonts w:ascii="arial" w:eastAsia="arial" w:hAnsi="arial" w:cs="arial"/>
          <w:i/>
          <w:color w:val="000000"/>
          <w:sz w:val="20"/>
          <w:lang w:val="en-US" w:eastAsia="en-US" w:bidi="ar-SA"/>
        </w:rPr>
        <w:t>Pryor</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[1986] B.C.J. No. 29</w:t>
        </w:r>
      </w:hyperlink>
      <w:r>
        <w:rPr>
          <w:rFonts w:ascii="arial" w:eastAsia="arial" w:hAnsi="arial" w:cs="arial"/>
          <w:color w:val="000000"/>
          <w:sz w:val="20"/>
          <w:lang w:val="en-US" w:eastAsia="en-US" w:bidi="ar-SA"/>
        </w:rPr>
        <w:t xml:space="preserve">, or by the devaluation approach in </w:t>
      </w:r>
      <w:r>
        <w:rPr>
          <w:rFonts w:ascii="arial" w:eastAsia="arial" w:hAnsi="arial" w:cs="arial"/>
          <w:i/>
          <w:color w:val="000000"/>
          <w:sz w:val="20"/>
          <w:lang w:val="en-US" w:eastAsia="en-US" w:bidi="ar-SA"/>
        </w:rPr>
        <w:t>Long</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[1968] B.C.J. No. 1</w:t>
        </w:r>
      </w:hyperlink>
      <w:r>
        <w:rPr>
          <w:rFonts w:ascii="arial" w:eastAsia="arial" w:hAnsi="arial" w:cs="arial"/>
          <w:color w:val="000000"/>
          <w:sz w:val="20"/>
          <w:lang w:val="en-US" w:eastAsia="en-US" w:bidi="ar-SA"/>
        </w:rPr>
        <w:t xml:space="preserve">. There is no difference in principle between these two approaches; it comes down to which is the most practical method on the evidence before the court: The Honourable Mr. Justice Kenneth C. Mackenzie, "Apportionment of Damages Between Successive Tortfeasors After Athey" (a paper presented at the Continuing Legal Education course </w:t>
      </w:r>
      <w:r>
        <w:rPr>
          <w:rFonts w:ascii="arial" w:eastAsia="arial" w:hAnsi="arial" w:cs="arial"/>
          <w:i/>
          <w:color w:val="000000"/>
          <w:sz w:val="20"/>
          <w:lang w:val="en-US" w:eastAsia="en-US" w:bidi="ar-SA"/>
        </w:rPr>
        <w:t>Torts Update</w:t>
      </w:r>
      <w:r>
        <w:rPr>
          <w:rFonts w:ascii="arial" w:eastAsia="arial" w:hAnsi="arial" w:cs="arial"/>
          <w:color w:val="000000"/>
          <w:sz w:val="20"/>
          <w:lang w:val="en-US" w:eastAsia="en-US" w:bidi="ar-SA"/>
        </w:rPr>
        <w:t xml:space="preserve">, 23 April 2004) at 5.1.3. I also agree with my colleague at 5.1.2., that the devaluation approach articulated in </w:t>
      </w:r>
      <w:r>
        <w:rPr>
          <w:rFonts w:ascii="arial" w:eastAsia="arial" w:hAnsi="arial" w:cs="arial"/>
          <w:i/>
          <w:color w:val="000000"/>
          <w:sz w:val="20"/>
          <w:lang w:val="en-US" w:eastAsia="en-US" w:bidi="ar-SA"/>
        </w:rPr>
        <w:t>Long</w:t>
      </w:r>
      <w:r>
        <w:rPr>
          <w:rFonts w:ascii="arial" w:eastAsia="arial" w:hAnsi="arial" w:cs="arial"/>
          <w:color w:val="000000"/>
          <w:sz w:val="20"/>
          <w:lang w:val="en-US" w:eastAsia="en-US" w:bidi="ar-SA"/>
        </w:rPr>
        <w:t xml:space="preserve"> requires the court to fully consider the plaintiff's vulnerability to aggravated injuries, whether possible or realized, when apportioning damages to the first tortfeasor.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absence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apportionment would be a matter of indifference to the plaintiff, barring special circumstances; the tortfeasors would be jointly and severally liable to the plaintiff: see section 4(2)(a)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 E.D.G. v. Hammer</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 xml:space="preserve"> at 32, </w:t>
      </w:r>
      <w:hyperlink r:id="rId586" w:history="1">
        <w:r>
          <w:rPr>
            <w:rFonts w:ascii="arial" w:eastAsia="arial" w:hAnsi="arial" w:cs="arial"/>
            <w:i/>
            <w:color w:val="0077CC"/>
            <w:sz w:val="20"/>
            <w:u w:val="single"/>
            <w:shd w:val="clear" w:color="auto" w:fill="FFFFFF"/>
            <w:lang w:val="en-US" w:eastAsia="en-US" w:bidi="ar-SA"/>
          </w:rPr>
          <w:t>[2003] 2 S.C.R. 459</w:t>
        </w:r>
      </w:hyperlink>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230 D.L.R. (4th) 554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If both tortfeasors were before the court, apportionment would fall to be determined on evidence they presented and submissions they made. The trial judge would be required to apportion responsibility for the appellant's losses between the tortfeasors in the first and second accidents as required by section 4(1)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in this case, the plaintiff settled her claim with the second tortfeasor and was claiming only the damages attributable to the respondent tortfeasor's fault. In effect, like the plaintiff in </w:t>
      </w:r>
      <w:r>
        <w:rPr>
          <w:rFonts w:ascii="arial" w:eastAsia="arial" w:hAnsi="arial" w:cs="arial"/>
          <w:i/>
          <w:color w:val="000000"/>
          <w:sz w:val="20"/>
          <w:lang w:val="en-US" w:eastAsia="en-US" w:bidi="ar-SA"/>
        </w:rPr>
        <w:t>Misko</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[2007] O.J. No. 3615</w:t>
        </w:r>
      </w:hyperlink>
      <w:r>
        <w:rPr>
          <w:rFonts w:ascii="arial" w:eastAsia="arial" w:hAnsi="arial" w:cs="arial"/>
          <w:color w:val="000000"/>
          <w:sz w:val="20"/>
          <w:lang w:val="en-US" w:eastAsia="en-US" w:bidi="ar-SA"/>
        </w:rPr>
        <w:t>, she was seeking an apportionment of damages between the admitted tortfeasors and judgment for only the portion of those damages attributable to the fault of the respondent tortfeasor because she had released the second tortfeasor from all responsibility to her. Because the respondent tortfeasor would be responsible only for his share of the appellant's damages, he would have no claim against the second tortfeasor.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take the view this apportionment was not necessary. The settlement had effectively apportioned the damages, although the proportionate shares were determined only when the trial judge made the global assessment required in the case of an indivisible injury. Because the settlement amount was not disclosed to the trial judge, and was likely protected by settlement privilege, the trial judge was correct to order that the settlement proceeds be deducted from the global award of $400,000. Quite properly, he left the door open to submissions and possibly evidence about the appropriate deduction.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paras. 41-43 Her Ladyship concluded:</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view, even if trial judges were required to apportion responsibility for the appellant's losses between the two tortfeasors, despite the absence from the action of the settling defendant and whether the torts are categorized as concurrent or consecutive, the underlying issue would be the same: whether the two causes of action were separate.</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causes of action are not separate: they are linked by the indivisible injury the trial judge found to have been caused by the separate torts. That link brings into play not only joint and several liability, but also the rule against double recovery.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follows that I do not see the trial judge's failure to distinguish between concurrent and consecutive torts or to apportion damages as material error, nor do I see his apportionment on the alternative assessment to be relevant. On the only question this appeal raises, I would apply this Court's reasoning in </w:t>
      </w:r>
      <w:r>
        <w:rPr>
          <w:rFonts w:ascii="arial" w:eastAsia="arial" w:hAnsi="arial" w:cs="arial"/>
          <w:i/>
          <w:color w:val="000000"/>
          <w:sz w:val="20"/>
          <w:lang w:val="en-US" w:eastAsia="en-US" w:bidi="ar-SA"/>
        </w:rPr>
        <w:t>Dixon</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[1980] B.C.J. No. 973</w:t>
        </w:r>
      </w:hyperlink>
      <w:r>
        <w:rPr>
          <w:rFonts w:ascii="arial" w:eastAsia="arial" w:hAnsi="arial" w:cs="arial"/>
          <w:color w:val="000000"/>
          <w:sz w:val="20"/>
          <w:lang w:val="en-US" w:eastAsia="en-US" w:bidi="ar-SA"/>
        </w:rPr>
        <w:t>, and hold that the trial judge did not err when he required the deduction of the settlement proceeds from the appellant's claim against the second-accident defendants from the global award he made against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in the case at bar was thoroughly cross-examined on the injuries he sustained in the second accident and the impact they had on his accident related injuries. He conceded that in the second accident he pled,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he had sustained an aggravation of his accident related injuries. He also conceded that the second accident was a severe accident; that he had problems with memory concentration after the second accident; that, temporarily, the second accident exacerbated all of the symptoms from his accident related injuries; that his knees jammed up against the dashboard and his elbows and knees collapsed under the force of the impact; that he complained to Dr. Zybutz after the second accident of increased parasthesia in his hands, in addition to cervical pain with restricted range of motion, as well as pain in the lumbar area, specifically in the right hip, luxor and sartorial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Defence counsel also noted that Dr. Zybutz reported that the right TMJ was painful and swollen on palpation with taut and tender fibres noted on the right masseter muscle. When the plaintiff was asked whether he had increased complaints in the right jaw area, he said no, that it was the condition of his joint and that he could not say whether it was specifically related to the second accident stating that the period following the second accident was one of his "darkest periods of recovery" from his accident 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admitted that he told Mr. Roach following the second accident that some of his accident related injuries were made worse by the second accident but that he sustained some new injuries including concussion and injuries to his right shoulder, arm, elbow, wrist and various muscles in his neck. He also told Mr. Roach that he had bruised many parts of his body, had internal abdominal bruising and soft tissue injuries to his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told Dr. McGraw that following the second accident the previous problems that he was experiencing in his left hand increased in intensity, frequency and distribution, that he was experiencing a dull ache in his left forearm as a result of the second accident and had increased aggravation of his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agreed that the injuries from the second accident listed on p. 9 of Dr. Van Eeden's report was accurate: head injury, concussion, loss of consciousness; post-concussion syndrome (short term memory loss and confusion, difficulty focusing his eyes, dizzy, loss of balance and hand-eye coordination, slurred speech); post-traumatic stress disorder; soft tissue injuries to his right shoulder, arm, elbow, wrist, back muscles in thoracic and lumbar areas; overall body bruising and internal abdominal bruising; torn right leg adductor muscle; torn right lower leg muscle; and, soft tissue injuries to both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was referred to the report of Dr. Mezei and conceded that he told her that he had new symptoms of reproducing the left arm parasthesia numbness into his fourth and fifth fingers by tilting his head to the left, as well as neck flexion. However, the plaintiff noted that in her report the doctor mentioned that he had earlier described this condition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also conceded that after the second accident he was experiencing severe headaches; stiffness and soreness in his neck and back; lower right abdominal pain; sore knees; sore right leg and increased pain in his jaw; as a result of the concussion he was having difficulty focusing and was seeing new black spots in his eyes; had problems with his memory and slurred speech.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confirmed that after the second accident he sustained an injury to the ulnar nerve in his right elbow and that it was his understanding that he developed right carpal tunnel syndrome as a result of the second accident; that at the time of his examination for discovery in October 2007 his left arm was not back to where it was before the second accident. He also conceded that the increased jaw pain he experienced as a result of the second accident was still ongoing at the time of the discovery but he could not be certain whether this was attributable to the second accident or the work that was being done on him by Dr. Karateew. However, he agreed with counsel that his jaw pain was made worse by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also conceded that there was an increased focus on his cervical spine as a result of the second accident relating to his chiropractic treatment and that his back pain had only partially improved by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agree with the plaintiff that the result found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does not apply to the facts in his action.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the trial judge found that the plaintiff's injuries from the second accident were indivisible from her first-accident injuries. No such finding can be made in the instant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his report Dr. Fry said, "Certainly from the history that I was provided, the symptoms were exacerbated following the accident of November 1, 2004 but I have not seen [the plaintiff] following the accident of May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cross-examination Dr. Fry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Doctor, again, this may be outside your area of expertise, but assuming that Mr. Sauer had degenerative changes in the C-spine before the November 1, 2004 accident, it's reasonable to presume, is it not, that subsequent trauma, such as the accident that occurred in May 2006, could have triggered the symptoms that he's having now, that may be originating in the neck.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Before the accident in 2006?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a result of the accident of 2006.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already had neurological symptoms before. Do you mean could they have exacerbated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 I'll just go there first. Obviously, it could have been exacerbated,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report Mr. Roach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brachial plexus was still an issue causing pain/numbness to the left hand. Treatments continued for this. The right abductor began to cause pain at its origin on the pubic bone to the insertion of the right knee. Also, the left patella was becoming painful. Mr. Sauer was involved in another head-on MVA on May 1, 2006 in his Mini Cooper S and suffered new injuries. Some of his injuries from his November 1, 2004, MVA were made worse by this second accident as would be expected. However, he now had new injuries including a concussion and injuries to his right shoulder, arm, elbow, wrist, and again to his various muscles in his back and neck. He was bruised in many parts of his body from this second MVA including internal abdominal bruising (investigated by ultrasound) and he also tore his right adductor and right tibialis anterior. I suspect that he also suffered new soft tissue injuries to both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McGraw said in his report and testimony that he had inadequate information supplied to him to give an opinion on the injuries sustained by the plaintiff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his report Dr. Zybutz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Sauer's injuries were sustained by a hyperflexion/hyperextension injury, and that they are consistent with the rapid deceleration he experienced in the November 1, 2004 MVA. The concussive injuries that Mr. Sauer sustained in the May 1, 2006 MVA now appear to have resolved; however many of the symptoms he had from the November 1, 2004, accident were exacerbated by this second accident and as a result he now has a mild strength deficit in his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cross-examination Dr. Zybutz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if we take you to page 7 of your report, under "Opinion," the second sentence. You're talking about the concussive injuries from the second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concussive injuries that Mr. Sauer has sustained in the May 1, 2006 MVA now appear to have resolved, however, many of the symptoms he had from the November 1, 2004 accident were exacerbated by the second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that means, in every day language, they were made worse?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Temporarily.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Temporarily. And I think you said on direct that there was a spike in his symptoms?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for about a month. During the recess, I had a chance to review the records more closely, and the spiking lasted about a month, a month-and-a-half.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re-examination Dr. Zybutz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Doctor, in your direct evidence, you talk about a spike in Mr. Sauer's symptoms and the only new symptom being some muscle weakness that related to an area where he had prior nerve involvement?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On further review of my notes, I also noticed he had a temporary weakness in his hip flexor in his low back.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you were shown the letter of June 20, 2006, to whom it may concern, signed by yourself, and you were reviewed - you reviewed your physical examination on May 12th, the first day after the motor vehicle accident of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referring to the summary report prepared June 20th?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were comparing to April 19th, that was '06, as well? It's not - the year isn't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is there anything else in this document that was shown to you that changes your evidence that he experienced this spike which resolved in his symptoms, other than the new ones that you've identified, which resolved in the next month or month and a half?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Nothing new, other than what we've mentioned.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the last matter you mentioned regarding his hip, what specifically was that problem relating to?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had - he reported pain and mild weakness, and we're talking mild, like 4.5 out of a 5 scale, in his right and left hip flexor.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that was on the 12th, May 12th?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exam we did May 15th, based on the accident he had in '06.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to your knowledge, did you specifically treat that issue in the months following?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do any soft tissue work. I jut adjusted his low back and it seemed to resolve on his own. He didn't really complain about it much more after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low back adjustments, we're dealing with the other two ongoing conditions?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the previous accident.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previous accident, meaning November 1, 2004, I assume?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his report Dr. Van Eeden said that it was a relatively simple task to separate the injuries that the plaintiff sustained in the second accident from those he sustained in the first accident and then went on to list them as noted in para. 12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Finally, I refer to the evidence of Dr. O'Connor as set out at paras. 254 and 255 of my decision regarding his assessment of the plaintiff's symptoms following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Thus, upon a review of the evidence, it is my opinion that the evidence does not support a finding that the plaintiff's injuries from the second accident were indivisible from the injuries he sustained in the accident in the sense that they were caused or materially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second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find that, unlike the facts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the two causes of action in the case at bar are separate and are not linked by an indivisible injury found to have been caused by separate torts. This is not a case where the injuries sustained by the plaintiff in the two accidents are indivisible in the legal and factual sense of the term as it is defined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Rather, this is a case where some of the injuries sustained by the plaintiff in the accident were simply exacerbated by the injuries he sustained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Accordingly, I find that the rule against double recovery does not come into play and that settlement proceeds received by the plaintiff in the second accident should not be deducted from the award made to him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 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6" style="position:absolute;z-index:2518405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Shao v. Swanson, [2013] B.C.J. No. 341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I.C. Meiklem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45316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341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311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Rui Xiang (Tony) Shao, Plaintiff, and Stuart Jerald Swanson, Maowen Li, Haiping Huang, Prairie View Holdings Ltd. and Budgetcar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7"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7" w:name="Keywords_27"/>
      <w:bookmarkEnd w:id="307"/>
      <w:r>
        <w:rPr>
          <w:rFonts w:ascii="arial" w:eastAsia="arial" w:hAnsi="arial" w:cs="arial"/>
          <w:b/>
          <w:color w:val="000000"/>
          <w:sz w:val="20"/>
          <w:lang w:val="en-US" w:eastAsia="en-US" w:bidi="ar-SA"/>
        </w:rPr>
        <w:t xml:space="preserve">Civil litigation — Civil procedure — Judgments and orders — Summary judgments — Availability — For part of claim — Application by plaintiff to have question of defendant's liability for motor vehicle accident determined summarily allowed — Plaintiff was asleep in second row bench seat of van when van was rear-ended by defendant's pickup truck — Defendant presented no evidence on application — His examination for discovery evidence revealed he had no recollection of collision but that he had been tired after having partied the previous evening and had been driving for eight hours — Photographs of scene were consistent with driver of van's description of what happened — Court satisfied plaintiff established prima facie case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Application by plaintiff to have question of defendant's liability for motor vehicle accident determined summarily allowed — Plaintiff was asleep in second row bench seat of van when van was rear-ended by defendant's pickup truck — Defendant presented no evidence on application — His examination for discovery evidence revealed he had no recollection of collision but that he had been tired after having partied the previous evening and had been driving for eight hours — Photographs of scene were consistent with driver of van's description of what happened — Court satisfied plaintiff established prima facie case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defendant.</w:t>
      </w:r>
    </w:p>
    <w:p>
      <w:pPr>
        <w:jc w:val="both"/>
        <w:rPr>
          <w:rFonts w:ascii="arial" w:eastAsia="arial" w:hAnsi="arial" w:cs="arial"/>
          <w:sz w:val="20"/>
          <w:lang w:val="en-US" w:eastAsia="en-US" w:bidi="ar-SA"/>
        </w:rPr>
      </w:pPr>
      <w:bookmarkStart w:id="308" w:name="Legislation Cited_23"/>
      <w:bookmarkEnd w:id="3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8"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14-1(18)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9" w:name="Counsel_28"/>
      <w:bookmarkEnd w:id="3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9"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K.D. Cowan.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Stuart Jerald Swanson: J.A. Horne,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Maowen Li, Haiping Huang, Prairie View Holdings Ltd. and Budgetcar Inc.: G.M. Hagel.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0" w:name="Judgment_28"/>
      <w:bookmarkEnd w:id="310"/>
      <w:r>
        <w:pict>
          <v:line id="_x0000_s1170"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1" w:name="I.C. MEIKLEM J."/>
            <w:bookmarkEnd w:id="311"/>
            <w:r>
              <w:rPr>
                <w:rFonts w:ascii="arial" w:eastAsia="arial" w:hAnsi="arial" w:cs="arial"/>
                <w:b/>
                <w:color w:val="000000"/>
                <w:sz w:val="30"/>
                <w:lang w:val="en-US" w:eastAsia="en-US" w:bidi="ar-SA"/>
              </w:rPr>
              <w:t>I.C. MEIKLEM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for personal injuries sustained in a motor vehicle accident on May 3, 2009. The action is set for trial for five days commencing June 17, 2013. In this application, the plaintiff seeks to have the question of liability determined summarily and submits that on the evidence, the defendant, Stuart Jerald Swanson ("Swanson"), is solely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raised by the defendant, Swanson's, opposition are whether it is appropriate in this case to sever the liability issue from the assessment of damages, whether the liability issue is suitable for a determination by summary trial, and whether the evidence adduced establishes Swanson's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foreshadowed by my remarks at the end of the hearing, I find in the plaintiff's favour on all three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following narrative emerges from the evidence comprised of photographs and the plaintiff's affidavit and the examinations for discovery of the defendants, Maowen Li ("Li") and Swanson.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Mr. Shao, was a seat-belt restrained passenger asleep in the second row bench seat of a full-sized Ford Econoline van owned by the defendant, Prairie View Holdings Ltd., rented by the defendant, Haiping Huang ("Huang"), and driven by the defendant, Li, at the time of the accident. This vehicle was struck very forcefully from the rear by a 1999 Ford pickup truck owned and driven by the defendant, Swanson, while both vehicles were southbound on the divided four-lane Highway No. 5, south of Merritt, British Columbia. The collision occurred in daylight hours in bright, sunny conditions, and the highway was bare and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Following the collision, the Swanson vehicle breached the no-post concrete barrier on the right hand side of the highway and rolled down a steep slope, coming to rest 50 to 60 metres from the roadway. The van driven by Li zig-zagged and stuck the concrete barrier on the left side of the two-lane southbound portion of the highway, but came to rest in the right hand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was a passenger in the Swanson vehicle, but he was also asleep. Both vehicles had started journeys from Calgary, Alberta, approximately eight hours earlier on the day of the accident. Mr. Shao had driven the van from Calgary to Kamloops, where Li took over the driving. Mr. Swanson had driven the entire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Shao is unable to provide any evidence as to what occurred prior to him being awakened by the sound of the collision at the rear of the van. Swanson did not present any evidence by way of affidavit on this application. He was examined for discovery on July 4, 2012 and stated under oath that he had no recollection of the collision or of seeing or driving through the no-post barrier. All he remembered was "the sky and the dark and the sky and the dark, and then everything stopped." He testified that his truck was in good mechanical condition. He said he was tired, had driven the entire distance from Calgary, had been partying the previous evening, drinking and using non-prescription illicit drugs, including methamphetamine, ecstacy, cocaine and marihuana. When asked if he had "any explanation for what happened in terms of your loss of control," he replied "lack of sleep, fell asleep?" The next question asked was "Are you guessing there? Is that a possibility?" he responded "I was tired. That's why I stopped and got a coffee in Merritt."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Li, was also examined for discovery on July 4, 2012. His recollections were refreshed by several questions asking if his post-accident written account given to Budget Rent-a-Car was accurate. He recalled his vehicle being struck from behind with a very strong force, while in the right hand lane travelling about 80 kph. He "jumped out from" his seat, the van moved to the right and then, as he held "very tight to the steering wheel," it zig-zagged, and after several zig-zags, the left front tire struck the centre median barrier and the van came to rest where depicted in a photograph shown to him. Li said he had not attempted to pass any vehicle in front of him in the right hand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photographs in evidence show skid marks clearly made by the van after the left front tire was flattened. The photographs in evidence are consistent with Li's recollection of events, and Mr. Shao deposes that "I observed Mr. Li attempt to regain control of the van, but as he continued down the highway, the van struck a centre barrier on the front left side." Following this second impact, the van continued down the highway coming to stop some distance from the first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question of severance of the liability and quantum issues, it is to be noted that there is no stand-alone application to sever the trial of these issues. Apparently all parties initially agreed that a summary trial of the liability issue was appropriate, but Mr. Horne's instructions were subsequently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affidavit of bodily injury adjuster, Michelle Carver, sets out some of the factors relevant to her new instructions to counsel as follows: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RCMP photographs appear to show skid marks from the defendant, Swanson's, pickup truck originating in the left lane;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Li, provided a statement to the RCMP at the scene of the accident;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RCMP took statements from the driver and passenger of a Volkswagon van, Sebastian Kallos and Simon Woods;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the defendant, Li, Mr. Kallos and Mr. Woods is not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These stated factors relate to the issue of suitability for a summary trial, rather than to the issue of severance itself. Ms. Carver's comments on the photographs the RCMP apparently have are either single or double hearsay and inadmissible as evidence on the summary trial issue. Ms. Carver does not state whether the opinion of inconsistencies of statements is her opinion or someone else's, nor does she state what the alleged inconsistencies relate to, or whether all these statements are inconsistent with one another or if one is inconsistent with the other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Carver's affidavit is a completely unacceptable means of presenting allegedly conflicting evidence. These was no explanation tendered as to why the potentially probative RCMP photographs and the police statements of the defendant Li, and potential witnesses, Kallos and Woods, were not provided directly to the court to enable the court to assess the existence and significance of any inconsistencies.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following comments of Newbury J.A. in </w:t>
      </w:r>
      <w:r>
        <w:rPr>
          <w:rFonts w:ascii="arial" w:eastAsia="arial" w:hAnsi="arial" w:cs="arial"/>
          <w:i/>
          <w:color w:val="000000"/>
          <w:sz w:val="20"/>
          <w:lang w:val="en-US" w:eastAsia="en-US" w:bidi="ar-SA"/>
        </w:rPr>
        <w:t>Everest Canadian Properties Ltd. v. Mallmann</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xml:space="preserve"> are applicable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It is trite law that where an application for summary determination under Rule 18A is set down, the parties are obliged to take every reasonable step to put themselves in the best position possible. As this court noted in </w:t>
      </w:r>
      <w:r>
        <w:rPr>
          <w:rFonts w:ascii="arial" w:eastAsia="arial" w:hAnsi="arial" w:cs="arial"/>
          <w:i/>
          <w:color w:val="000000"/>
          <w:sz w:val="20"/>
          <w:lang w:val="en-US" w:eastAsia="en-US" w:bidi="ar-SA"/>
        </w:rPr>
        <w:t>Anglo Canadian Shipping Co. v. Pulp, Paper &amp; Woodworkers of Canada, Local 8</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xml:space="preserve"> at 382, a party cannot, by failing to take such steps, frustrate the benefits of the summary trial process. Where the application is brought by a plaintiff, the defendant may not simply insist on a full trial in hopes that with the benefit of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'something might turn up': see </w:t>
      </w:r>
      <w:r>
        <w:rPr>
          <w:rFonts w:ascii="arial" w:eastAsia="arial" w:hAnsi="arial" w:cs="arial"/>
          <w:i/>
          <w:color w:val="000000"/>
          <w:sz w:val="20"/>
          <w:lang w:val="en-US" w:eastAsia="en-US" w:bidi="ar-SA"/>
        </w:rPr>
        <w:t>Hamilton v. Sutherland</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(1992), 68 B.C.L.R. (2d) 115</w:t>
        </w:r>
      </w:hyperlink>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[1992] 5 W.W.R. 151</w:t>
        </w:r>
      </w:hyperlink>
      <w:r>
        <w:rPr>
          <w:rFonts w:ascii="arial" w:eastAsia="arial" w:hAnsi="arial" w:cs="arial"/>
          <w:color w:val="000000"/>
          <w:sz w:val="20"/>
          <w:lang w:val="en-US" w:eastAsia="en-US" w:bidi="ar-SA"/>
        </w:rPr>
        <w:t xml:space="preserve"> (B.C.C.A.) at paras. 66-7. The same is true of a plaintiff where the defence has brought the R.18A motion. In this instance, it was not realistic for Everest to hope that the Court at the summary trial would of its own volition decline to proceed because it was being asked to determine issues of dishonesty, or because the possibility of certain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had been discussed in a different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Quite apart from the fact that Ms. Carver's hearsay opinion (or her relaying of someone else's opinion) is inadmissible on this application, Li's evidence of where his vehicle was at the time of the rear-end collision is not necessarily refuted by the fact (if it could be established) that skid marks from the defendant Swanson's, vehicle appear in the left lane. The Swanson vehicle may also have entered that lane following the collision and prior to veering off the road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Notwithstanding the dearth of any further evidence that can be presented on the liability issue, plaintiff's counsel estimates that a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trial of that issue on the known evidence would consume up to four days of trial. The witnesses to be called on that issue that would not be necessary for the assessment of damages include Mr. Li (now a resident of China), Mr. Swanson, Mr. Tennant (Swanson's passenger), several RCMP officers, tow truck drivers, ambulance attendants, emergency room doctors and nurses, and presumably Mr. Kallos and Mr. Woods.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Plaintiff's counsel estimates that at least three days are required for quantum assessment and suggests that there is a likelihood the trial date will be lost if liability is not resolved by this application. The accident was nearly four years ago and further delay is prejudicial to the plaintiff and contrary to one of the main objections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satisfied that there will be considerable savings in time and expense to all parties by deciding the liability issue summarily and separately, and that all the probative relevant evidence on that issue is before the court. Notwithstanding the adjuster's comment that the possibility of seeking a reconstruction expert has been referred to counsel, that does not appear to be likely at this late date considering the dearth of empirical data. Counsel did not suggest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find the issue is capable of being determined on summary trial and, on the evidence before me, the plaintiff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Swanson. This casts an onus on the defendant, Swanson, to provide an explanation of how this collision could have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w:t>
      </w:r>
      <w:r>
        <w:rPr>
          <w:rFonts w:ascii="arial" w:eastAsia="arial" w:hAnsi="arial" w:cs="arial"/>
          <w:i/>
          <w:color w:val="000000"/>
          <w:sz w:val="20"/>
          <w:lang w:val="en-US" w:eastAsia="en-US" w:bidi="ar-SA"/>
        </w:rPr>
        <w:t>Spiering v. Trevor</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2012 BCSC 1653</w:t>
        </w:r>
      </w:hyperlink>
      <w:r>
        <w:rPr>
          <w:rFonts w:ascii="arial" w:eastAsia="arial" w:hAnsi="arial" w:cs="arial"/>
          <w:color w:val="000000"/>
          <w:sz w:val="20"/>
          <w:lang w:val="en-US" w:eastAsia="en-US" w:bidi="ar-SA"/>
        </w:rPr>
        <w:t xml:space="preserve"> and the cases cited therein. No such explanation emerges from the evidence. I find that the defendant, Swanson, is liable to the plaintiff for damages to be assessed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There is no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out against the defendant, Li, and the action against him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is entitled to costs against the defendant Swanson,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This is an appropriate case to order the defendant, Li's, costs to be paid directly by the defendant, Swanson, under Rule 14-1(18)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I make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I.C. MEIKLEM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1"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Shingler v. British Columbia (Attorney General), [2008] B.C.J. No. 565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29 and March 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005595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565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364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830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Ronald Clarence Shingler, Plaintiff, and Attorney General for the Province of British Columbia, The Law Society of British Columbia, Regional Crown Counsel, Royal Canadian Mounted Police, Crown Counsel, Esquimalt Police Department, Residential Tenancy Branch, Sihota &amp; Starkey, Noel P. Lenaghan, Marlene Russo, Ronald and Irmagard Houle, Land Title Assurance Fund, John and/or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2"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2" w:name="Keywords_28"/>
      <w:bookmarkEnd w:id="312"/>
      <w:r>
        <w:rPr>
          <w:rFonts w:ascii="arial" w:eastAsia="arial" w:hAnsi="arial" w:cs="arial"/>
          <w:b/>
          <w:color w:val="000000"/>
          <w:sz w:val="20"/>
          <w:lang w:val="en-US" w:eastAsia="en-US" w:bidi="ar-SA"/>
        </w:rPr>
        <w:t>Civil Litigation — Civil procedure — Parties — Capacity to sue or be sued — Striking our parties — Pleadings — Striking our pleadings or allegations — Grounds — Failure to disclose a cause of action or defence — Disposition without trial — Dismissal of action — Delay or failure to prosecute — Application by defendant Attorney General to dismiss the action and for declaration an Amended Writ of Summons was a nullity allowed in part — Plaintiff's claim related to a foreclosure in 1992; action dismissed if plaintiff failed to file an amended statement of claim by April 30, 2008 — Actions against certain parties, including the RCMP and a police department, were dismissed — The amended writ of Summons was a nullity; members of the RCMP had been added without leave — Certain paragraphs of the Statement of Claim were struck as showing no reasonable cause of action — Rules of Court, s. 1(5), s. 19(24).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3" w:name="Case Summary_26"/>
            <w:bookmarkEnd w:id="3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Attorney General to have the plaintiff's action dismissed for want of prosecution, dismissed against certain named parties as they were not legal entities, dismissed against certain parties because the statement of claim disclosed no cause of action and a declaration that the Amended Writ of Summons was a nullity. The plaintiff's claim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defamation and conspiracy against various parties, including the RCMP and the Esquimalt Police Department, relating to the foreclosure of his property in 1992. On January 12, 2001, the plaintiff filed an amended writ naming specific and unknown members of the RCMP. With the exception of a notice of intention to proceed filed on June 20, 2007, the plaintiff had taken no positive steps since he had filed his amended writ. On June 21, 2007, applications were bought before Justice Johnston for orders dismissing the actions; the plaintiff requested an adjournment, explaining that he had been unable to retain a lawyer because the Law Society, which was a defendant, had told lawyers their careers were on the line if they acted for him. Justice Johnston adjourned the applications to September 21, 2007, but advised the plaintiff he would hear the application again unless real and substantive steps had been taken to prosecute the action. As of March 4, 2008, none of the defendants had received any materials from the plaintiff nor been advised of any steps he had taken. In his affidavit of March 7, 2008, the plaintiff agreed to drop certain parties from the lawsuit, including the RCMP and police department, agreed to dismiss certain irrelevant parts and to amend his statement of claim within 90 days, failing which the action should be dismissed.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4" w:name="Holdings of Court_21"/>
            <w:bookmarkEnd w:id="314"/>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Plaintiff's action would be dismissed if he failed to file and serve his amended statement of claim and provide particulars by April 30, 2008. The amended writ was a nullity and certain paragraphs in the statement of claim were struck as they disclosed no reasonable cause of action and were an abuse of process. Given the statements of the plaintiff, and the absence of an allegation of any independent wrong against some parties, the claims against certain parties were dismissed, including the RCMP and police department.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5" w:name="Legislation Cited_24"/>
      <w:bookmarkEnd w:id="3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3"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s. 1(5), s.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6" w:name="Counsel_29"/>
      <w:bookmarkEnd w:id="3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4"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D.H. Christie (March 4,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Attorney General of Canada: M.F. Volk.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Attorney General of British Columbia, Regional Crown Counsel, Crown Counsel, The Residential Tenancy Branch, and the Land Title Assurance Fund: E.L.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Ronald and Irmagard Houle: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Esquimalt Police Department and Sergeant John James: D.G. Butcher.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Sihota &amp; Starkey, Noel P. Lenaghan and Marlene Russo: K.L. Simmons.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7" w:name="Judgment_29"/>
      <w:bookmarkEnd w:id="317"/>
      <w:r>
        <w:pict>
          <v:line id="_x0000_s1175" style="position:absolute;z-index:25184256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May 16, 2008;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8" w:name="D.M. MASUHARA J._1"/>
            <w:bookmarkEnd w:id="318"/>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applications before me are brought by the Attorney General for Canada for the Royal Canadian Mounted Police; Esquimalt Police Department; John James, Attorney General of British Columbia for the Province of British Columbia, the Residential Tenancy Branch, the Land Title Assurance Fund, Regional Crown Counsel, and Crown Counsel; the law firm of Sihota &amp; Starkey; Noel P. Lenaghan; and Marlene Russo.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motions before me seek to have the action brought by Mr. Shingler dismissed for want of prosecution; dismissed against certain named parties as they are not legal entities; dismissed against certain parties because the statement of claim discloses no cause of action; and a declaration that the Amended Writ of Summons is a nullity.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application was heard Friday, February 29, 2008 in Victoria. I was called to Victoria the afternoon before from Vancouver on Thursday, February 28, 2008 as apparently Mr. Shingler had argued that matters related to his suit are to be heard by an "out-of-town"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start of proceedings on Friday, February 29, 2008, Mr. Shingler was not present. I was advised that Mr. Shingler had attended with counsel for the defendants at the Trial Coordinator's office earlier in the fall to specifically schedule this hearing. I am told that all of the parties had agreed to the schedule. I was also advised that a hearing notice was duly served on Mr. Shingler. Counsel for the defendants requested that Ms. Lezetc, the Court Trial Coordinator, be called as a witness to provide evidence with respect to the personal notice that Mr. Shingler had been provided. She testified that her assistant had called Mr. Shingler's phone number on Thursday afternoon to confirm that the hearing was set for the next day, Friday. Ms. Lezetc's assistant apparently left a message for Mr. Shingler. Ms. Lezetc also said that she called Mr. Shingler's number shortly after in the afternoon and spoke directly with Mr. Shingler. She confirmed that she advised Mr. Shingler that the hearing was set for 10:00 a.m. on Friday morning and that he confirmed to her that he would be there. She specifically spoke to him because a judge would be travelling to Victoria to hear the application. On Friday morning, however, Mr. Shingler did not appear. Ms. Lezetc testified that she had attempted three times Friday morning to contact Mr. Shingler but was unable to do so. She heard the standard phone message when she called the number that the customer was not available. I was satisfied that Mr. Shingler was notified of the hearing and that I decided as a result to commence with the hearing. The submissions from counsel took most of the day on Friday and no appearance or word from Mr. Shingler was received during the course of the day. I should note as well that except for Ms. Simmons, the other counsel had travelled for the day from Vancouver to attend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reserved my ruling until 9:30 a.m., Tuesday, March 4, 2008. All counsel for the defence, except for Ms. Simmons, attended by conference call. Mr. Shingler also appeared. He sought an adjournment indicating that Mr. Christie was considering whether to take on his case. He stated that he had been sick on Friday and could not attend court or even call. During the course of Mr. Shingler's submission to me, Mr. Christie appeared in the courtroom and sought leave to speak. At that point, he stated that he had not agreed to act for Mr. Shingler but wished to have a brief adjournment so that he could speak with Mr. Shingler. After the adjournment, I was advised by Mr. Christie that he would be acting for Mr. Shingler for the motion only. Mr. Christie sought leave to have Mr. Shingler give his evidence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regarding his motion and that he further had good reasons for the delay and wished to also address the merits on the applications. Defence counsel objected to permitting Mr. Shingler to make submissions and to provide evidence on the basis that he had ample time to respond on the date that had been set and that their attendance was simply to receive my judgment. In this regard, I note that Mr. Butcher was represented by Ms. Srivastava, as agent, three were attending by conference call and could hardly examine Mr. Shingler; I did not accept Mr. Christie's proposal and directed that Mr. Shingler provide his evidence by affidavit and that he also provide written submissions by Friday, March 7, 2008 on the subject applications. I provided some specifics to Mr. Christie regarding the various aspects of the applicant's submissions that required a response. I also indicated that the Court's Digital Audio Recordings of the February 29, 2008 proceeding could be accessed supplement to the filed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indicated in response to a question from defence counsel that if no materials were filed by Mr. Shingler on or before March 7, 2008 that I would then not feel constrained to providing my ruling on the applications that I had heard. Mr. Christie acknowledged this eventuality.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7, 2008, the requested materials were filed on behalf of Mr. Shingler by Mr. Christie. On March 13, 2008 the applicants filed their responses.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What follows are my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start with the history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This action originates out of a property foreclosure proceeding against Mr. Shingler in March 1992 by a Ms. Moore, the mortgagee. The subject property was owned by Mr. Shingler and was in the order of 16 1/2 acres. He had purchased this property in 1980. Mr. Shingler opposed the order for foreclosure but was unsuccessful. He was represented by Ms. Russo. Mr. Lenaghan represented Ms. Moore. Mr. Starkey of Sihota &amp; Starkey represented the subsequent purchasers of the property, the Houles. Mr. Justice Hutchinson granted an </w:t>
      </w:r>
      <w:r>
        <w:rPr>
          <w:rFonts w:ascii="arial" w:eastAsia="arial" w:hAnsi="arial" w:cs="arial"/>
          <w:i/>
          <w:color w:val="000000"/>
          <w:sz w:val="20"/>
          <w:lang w:val="en-US" w:eastAsia="en-US" w:bidi="ar-SA"/>
        </w:rPr>
        <w:t>order nisi</w:t>
      </w:r>
      <w:r>
        <w:rPr>
          <w:rFonts w:ascii="arial" w:eastAsia="arial" w:hAnsi="arial" w:cs="arial"/>
          <w:color w:val="000000"/>
          <w:sz w:val="20"/>
          <w:lang w:val="en-US" w:eastAsia="en-US" w:bidi="ar-SA"/>
        </w:rPr>
        <w:t xml:space="preserve"> and Mr. Shingler appealed it. The appeal was apparently heard by Madam Justice Proudfoot who ruled against Mr. Shingler. As a result, the plaintiff lost title to his property and the property was then sold to Mr. and Mrs. Houle.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claims that there were a number of chattels and personal effects on the property which the new owners prevented Mr. Shingler from removing. As a result of the foreclosure and refusal to allow him to remove these items, he claims that he was left homeless. There have been apparently several other proceedings brought on by Mr. Shingler in this court and at least one before the Court of Appeal, </w:t>
      </w:r>
      <w:hyperlink r:id="rId669" w:history="1">
        <w:r>
          <w:rPr>
            <w:rFonts w:ascii="arial" w:eastAsia="arial" w:hAnsi="arial" w:cs="arial"/>
            <w:i/>
            <w:color w:val="0077CC"/>
            <w:sz w:val="20"/>
            <w:u w:val="single"/>
            <w:shd w:val="clear" w:color="auto" w:fill="FFFFFF"/>
            <w:lang w:val="en-US" w:eastAsia="en-US" w:bidi="ar-SA"/>
          </w:rPr>
          <w:t>[1994] B.C.J. No. 1796</w:t>
        </w:r>
      </w:hyperlink>
      <w:r>
        <w:rPr>
          <w:rFonts w:ascii="arial" w:eastAsia="arial" w:hAnsi="arial" w:cs="arial"/>
          <w:color w:val="000000"/>
          <w:sz w:val="20"/>
          <w:lang w:val="en-US" w:eastAsia="en-US" w:bidi="ar-SA"/>
        </w:rPr>
        <w:t xml:space="preserve"> (C.A.) prior to the start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December 14, 2000, Mr. Shingler filed the writ in this action. The brief statement on the writ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action is being brought against the defendants for the following reasons: refusing to accept new evidence, withholding evidence, misleading the court, coercion, collusion, obstruction of justice, misconduct, malpractice,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writ named twelve defendants plus John and Jane Does. On January 5, 2001, Mr. Shingler filed a statement of claim. It appears that on January 12, 2001, Mr. Shingler filed an amended writ naming specific members and unknown members of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summary, Mr. Shingler's claim alleges the following:</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Don Laughton, Crown counsel, for not permitting Mr. Shingler to bring charges against Mr. Houle for various offences;</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Gillan, Regional Crown counsel, for staying all charges against Mr. Houle;</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Justice Hutchison, Mr. Justice Gow, Mr. Justice Murphy, Mr. Justice Melvin, Master Wilson (as he then was) for various judicial decisions made regarding Mr. Shingler. As well, he alleges that these judges participated in a conspiracy to defraud Mr. Shingler of his land and chattels and other belongings;</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 by the Law Society of British Columbia to prevent Mr. Shingler from obtaining legal representation;</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conspiracy against the RCMP in refusing to arrest Mr. Houle;</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defamation against the Esquimalt Police Department and a member, Mr. James. He also alleges a breach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Residential Tenancy Branch in a ruling it made regarding Mr. Shingler;</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conspiracy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law firm of Sihota &amp; Starkey;</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conspiracy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Lenaghan;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Ms. Russo;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unjust enrichment and breach of promise against Mr. and Mrs. Houle;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wrongdoing against the Land Title Assurance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his claim, Mr. Shingler claims damages in the order of $25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Statements of defence were filed in January and February 2001. In January 2001, the Attorney General of Canada sent a letter to Mr. Shingler advising him that the RCMP was not a legal entity and could not be sued. Demands for particulars were made in January and February 2001. In February 2001, the Attorney General of Canada sent another letter advising Mr. Shingler that his amended writ of summons was a nullity because the RCMP members were added without the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July 2001, Mr. Shingler wrote to Mr. Butcher's office advising that he could not provide particulars as there was no amended statement of claim. In November 2001, a demand for discovery of documents and a notice to produce was delivered to Mr. Shingler. Except for a notice of intention to proceed that was filed by the plaintiff June 20, 2007, no positive steps have been taken by Mr. Shingler since he filed his amended writ in January 2001. The action has not been set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Law Society of British Columbia is the only defendant to have taken steps to extricate itself, prior to the current applications. They were successful and Mr. Shingler's appeal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June 21, 2007, Mr. Butcher, applied for an order dismissing the action for want of prosecution, or alternatively, on the basis that the Esquimalt Police Department was not a legal entity. Ms. Ross also moved to have the actions against those she represented dismissed. The matter was brought on before Mr. Justice Johnston. In the hearing, Mr. Shingler requested an adjournment. He was asked by Mr. Justice Johnston to explain his failure to do anything to advance his case over the past six and a half years. I note that it had been seven years by the time I had heard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Shingler told Mr. Justice Johnston that he had interviewed over 100 lawyers and had not been successful in retaining even one. He stated that this was because the Law Society was a defendant in the action and had told lawyers that their careers were on the line if they acted for Mr. Shingler. Mr. Shingler noted, however, since the claim against the Law Society had been dismissed that he had seen "a couple of lawyers" and that he had "one to see on Monday that might take the case". That Monday would have been, by my review, June 25, 2007. I was advised that the Court of Appeal judgment that dealt with the dismissal against the Law Society of British Columbia was April 22, 2003. Over four years had passed by the time the matter was heard by Mr. Justice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Shingler was also of the opinion that the delay had not caused the defendants serious prejudice. He stated that all of the evidence was "on file in the court transcripts".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Based on the characterization that the relief sought by the applications was "draconian", Mr. Justice Johnston adjourned the applications to September 14, 2007. It is significant however that Mr. Justice Johnston at that time made the following comments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Shingler, what I've got in mind is to adjourn these applications to a fixed date in the early fall and to say to you, sir, that unless by then you can show some very real and very substantive steps to prosecute this action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SHINGLER:</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Your Honour.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will hear the application again.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SHINGLER:</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say that, not having made a ruling, but I say that because although I say the delay has been very long and that you are dangerously close to having this action dismissed for want of prosecution, I am not convinced that it is yet long enough.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learned judge then said to Mr. Shingler that on the return date of the application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Shingler, you should have some evidence, not just standing up and telling me what you've done, but some concrete evidence about what you have accomplished, including the delivery of the particulars to Mr. Butcher.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Shingler answered: Yes, Your Honour.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Johnston J. is no longer seized of this matter and I was assigned to be the "out-of-town"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of March 4, 2008, none of the defendants have received any materials from Mr. Shingler or have been advised of any steps that have been taken to indicate a real move forward by Mr. Shingler.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settled that to dismiss an action for want of prosecution, the court must find:</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inordinate delay;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delay is inexcusable;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been prejudiced by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note as well the following that:</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1(5) states that the object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is "to secure the just, speedy and inexpensive determination of every proceeding on its merits".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calculating the period of delay, the court may consider the overall period the plaintiff has pursued the action: </w:t>
      </w:r>
      <w:r>
        <w:rPr>
          <w:rFonts w:ascii="arial" w:eastAsia="arial" w:hAnsi="arial" w:cs="arial"/>
          <w:b/>
          <w:i/>
          <w:color w:val="000000"/>
          <w:sz w:val="20"/>
          <w:lang w:val="en-US" w:eastAsia="en-US" w:bidi="ar-SA"/>
        </w:rPr>
        <w:t>Lindholm v. Pollen</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(1986), 3 B.C.L.R. (2d) 23</w:t>
        </w:r>
      </w:hyperlink>
      <w:r>
        <w:rPr>
          <w:rFonts w:ascii="arial" w:eastAsia="arial" w:hAnsi="arial" w:cs="arial"/>
          <w:color w:val="000000"/>
          <w:sz w:val="20"/>
          <w:lang w:val="en-US" w:eastAsia="en-US" w:bidi="ar-SA"/>
        </w:rPr>
        <w:t xml:space="preserve"> (S.C.), at para. 21.</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"delay after the issuance of the writ and particularly after the expiration of the limitation period will no doubt be scrutinized more closely but the characterization of the later delay may depend to some extent upon the proceeding delay." </w:t>
      </w:r>
      <w:r>
        <w:rPr>
          <w:rFonts w:ascii="arial" w:eastAsia="arial" w:hAnsi="arial" w:cs="arial"/>
          <w:b/>
          <w:i/>
          <w:color w:val="000000"/>
          <w:sz w:val="20"/>
          <w:lang w:val="en-US" w:eastAsia="en-US" w:bidi="ar-SA"/>
        </w:rPr>
        <w:t>Fraser v. Kokan</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[1993] B.C.J. No. 2627</w:t>
        </w:r>
      </w:hyperlink>
      <w:r>
        <w:rPr>
          <w:rFonts w:ascii="arial" w:eastAsia="arial" w:hAnsi="arial" w:cs="arial"/>
          <w:color w:val="000000"/>
          <w:sz w:val="20"/>
          <w:lang w:val="en-US" w:eastAsia="en-US" w:bidi="ar-SA"/>
        </w:rPr>
        <w:t>, at para. 15.</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court finds that the plaintiff's delay is inordinate and inexcusable, the persuasive burden shifts to the plaintiff to rebut the presumption of prejudice which naturally flows from these proceedings: </w:t>
      </w:r>
      <w:r>
        <w:rPr>
          <w:rFonts w:ascii="arial" w:eastAsia="arial" w:hAnsi="arial" w:cs="arial"/>
          <w:b/>
          <w:i/>
          <w:color w:val="000000"/>
          <w:sz w:val="20"/>
          <w:lang w:val="en-US" w:eastAsia="en-US" w:bidi="ar-SA"/>
        </w:rPr>
        <w:t>Busse v. Robinson Morelli Chetkow</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(1999) 63 B.C.L.R. (3d) 174</w:t>
        </w:r>
      </w:hyperlink>
      <w:r>
        <w:rPr>
          <w:rFonts w:ascii="arial" w:eastAsia="arial" w:hAnsi="arial" w:cs="arial"/>
          <w:color w:val="000000"/>
          <w:sz w:val="20"/>
          <w:lang w:val="en-US" w:eastAsia="en-US" w:bidi="ar-SA"/>
        </w:rPr>
        <w:t xml:space="preserve"> (C.A.), at para. 18 and </w:t>
      </w:r>
      <w:r>
        <w:rPr>
          <w:rFonts w:ascii="arial" w:eastAsia="arial" w:hAnsi="arial" w:cs="arial"/>
          <w:b/>
          <w:i/>
          <w:color w:val="000000"/>
          <w:sz w:val="20"/>
          <w:lang w:val="en-US" w:eastAsia="en-US" w:bidi="ar-SA"/>
        </w:rPr>
        <w:t>Tundra Helicopters v. Allison Gas Turbine</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(2002) 98 B.C.L.R. (3d) 238</w:t>
        </w:r>
      </w:hyperlink>
      <w:r>
        <w:rPr>
          <w:rFonts w:ascii="arial" w:eastAsia="arial" w:hAnsi="arial" w:cs="arial"/>
          <w:color w:val="000000"/>
          <w:sz w:val="20"/>
          <w:lang w:val="en-US" w:eastAsia="en-US" w:bidi="ar-SA"/>
        </w:rPr>
        <w:t xml:space="preserve"> (C.A.), at para. 16.</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Allegations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calling into question the professional ability of a lawyer is a serious allegation challenging professional competence. Failure to pursue an allegation of this character with dispatch should be considered in determining the prejudice to defendants: </w:t>
      </w:r>
      <w:r>
        <w:rPr>
          <w:rFonts w:ascii="arial" w:eastAsia="arial" w:hAnsi="arial" w:cs="arial"/>
          <w:b/>
          <w:i/>
          <w:color w:val="000000"/>
          <w:sz w:val="20"/>
          <w:lang w:val="en-US" w:eastAsia="en-US" w:bidi="ar-SA"/>
        </w:rPr>
        <w:t>Rhyolite Resources Inc. v. Canquest Resources Corp</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(1999) 64 B.C.L.R. (3d) 80</w:t>
        </w:r>
      </w:hyperlink>
      <w:r>
        <w:rPr>
          <w:rFonts w:ascii="arial" w:eastAsia="arial" w:hAnsi="arial" w:cs="arial"/>
          <w:color w:val="000000"/>
          <w:sz w:val="20"/>
          <w:lang w:val="en-US" w:eastAsia="en-US" w:bidi="ar-SA"/>
        </w:rPr>
        <w:t xml:space="preserve"> (C.A.), at para. 24 and </w:t>
      </w:r>
      <w:r>
        <w:rPr>
          <w:rFonts w:ascii="arial" w:eastAsia="arial" w:hAnsi="arial" w:cs="arial"/>
          <w:b/>
          <w:i/>
          <w:color w:val="000000"/>
          <w:sz w:val="20"/>
          <w:lang w:val="en-US" w:eastAsia="en-US" w:bidi="ar-SA"/>
        </w:rPr>
        <w:t>Thore v. Sliva</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2001 BCSC 899</w:t>
        </w:r>
      </w:hyperlink>
      <w:r>
        <w:rPr>
          <w:rFonts w:ascii="arial" w:eastAsia="arial" w:hAnsi="arial" w:cs="arial"/>
          <w:color w:val="000000"/>
          <w:sz w:val="20"/>
          <w:lang w:val="en-US" w:eastAsia="en-US" w:bidi="ar-SA"/>
        </w:rPr>
        <w:t>,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All of the submissions of defence counsel point to the significant time that has elapsed since the foreclosure that is at the root of Mr. Shingler's claims, which is some 16 years ago. They note the lack of any steps by Mr. Shingler to advance his action. They note the lack of response to their demands for particulars and documents, which were provided to him soon after this action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Mr. Butcher for the Esquimalt Police Department and John James also raised the issue that the Esquimalt Police Department is not a legal entity and cannot sue or be sued. He relied on various cases in support: </w:t>
      </w:r>
      <w:r>
        <w:rPr>
          <w:rFonts w:ascii="arial" w:eastAsia="arial" w:hAnsi="arial" w:cs="arial"/>
          <w:b/>
          <w:i/>
          <w:color w:val="000000"/>
          <w:sz w:val="20"/>
          <w:lang w:val="en-US" w:eastAsia="en-US" w:bidi="ar-SA"/>
        </w:rPr>
        <w:t>Haeck v. Attorney General of British Columbia et al.</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2005 BCSC 139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Goodhead v. Law Society of British Columbia,</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[1997] B.C.J. No. 1779</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Dixon v. Dean,</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[1989] B.C.J. No. 1471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applicants also referred to the prejudice in the delay. The Province points out that several of the named persons relating to the claims against the Province are retired or that their whereabouts are unknown. Further, at least one defendant can no longer recall the event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Province also moved under Rule 19(24) to strike paragraphs 23, 28 and 33 from the statement of claim, on the basis that it is plain and obvious that no reasonable cause of action can be found. With respect to crown counsel, the Province raised the principle of "prosecutorial discretion" and the inexistence of a private duty of law by Crown Counsel to individual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respect to the claim against the judges, the Province raised the principle of judicial immunity and that no facts had been pleaded that establish that the judges were acting outside the ambit of judicial immunity. The Province also raised collateral attack and absolute privilege in it submission regarding the claims against the judges.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respect to the claim against the Residential Tenancy Branch, the Province again raised the collateral attack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the Land Title Assurance Fund, the Province submitted that no action in tort is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Attorney General of Canada pointed out that the RCMP members are retired and no longer employed by the RCMP and that they have no current contact information for three of the named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Attorney General of Canada also submitted that the RCMP is not a legal entity and cannot sue and be sued and relies upon the same cases as Mr. Butcher.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Attorney General of Canada also submits that the failure by Mr. Shingler to obtain leave of the court to amend his writ to add parties renders the writ a nullity. Support for this proposition is found in a judgment of Madam Justice Boyd in </w:t>
      </w:r>
      <w:r>
        <w:rPr>
          <w:rFonts w:ascii="arial" w:eastAsia="arial" w:hAnsi="arial" w:cs="arial"/>
          <w:b/>
          <w:i/>
          <w:color w:val="000000"/>
          <w:sz w:val="20"/>
          <w:lang w:val="en-US" w:eastAsia="en-US" w:bidi="ar-SA"/>
        </w:rPr>
        <w:t>Skrastins v. Kelowna (City) et al.</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[1992] B.C.J. No. 525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his response, Mr. Shingler deposed in his affidavit of March 7, 2008 that: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now been advised and verily believe that in the absence of legal advice I have added improper parties, confounded too many allegations, and made the matter unnecessarily complicated which was a result of the stress, anxiety and depression which I have suffered since 1992 as a result of these events previously mentioned.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 the following parties should be dropped from my lawsuit, namely: Regional Crown Counsel, The Royal Canadian Mounted Police, Inspector Swan, Sergeant Bruce Brown, Constable Rod McKenzie, Constable Stack, Constable Mielke, Crown Counsel, the Esquimalt Police Department, Constable John James, the Residential Tenancy Branch and Carol Roberts.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 now realize I should not have named or claimed against specific judges since the Court of Appeal overruled their decisions to the extent possible and naming them was not necessary.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 now realize naming those named in paragraph 23, Don Laughton, Bob Gillan, Judges Hutchinson, Gow, Murphy, Melvin and Master Wilson was unnecessary and extraneous to the issue of the unlawful foreclosure and seizure of my property both real and personal which is the core of this dispute since the Court of Appeal ruling of August 2, 1994.</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realize now my state of anxiety and depression and inability to retain or instruct counsel which resulted from my mental state made my prosecution of this claim delayed. I specifically agree now having had benefit of advice of counsel to allow dismissal of the aforesaid irrelevant parts in paragraphs 23(a), 23(b), 23(c), 23(d), 23(e), 23(f), 23(g), 24, 25, 26, 27 and 28 hereof, to amend my statement of claim within 90 days and to set a trial date within 90 days, or failing this, I agree the entire action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Given the above statement of Mr. Shingler, and the absence of an allegation of any independent wrong against the Attorney General of British Columbia or the Land Title Assurance Fund the plaintiff's action against the following are dismissed:</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Royal Canadian Mounted Police;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Inspector Swann;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Sgt. Bruce Brown;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Cst. Rod McKenzie;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Cst. Stack;</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Cst. Mielke;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Esquimalt Police Department;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Cst. John James;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Residential Tenancy Branch;</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Carol Roberts;</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 Title Assurance Fund;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Attorney General of British Columbia;</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Counsel; and</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Regional Crown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Further, I find that:</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against the RCMP and Esquimalt Police are not actionable as they are not legal entities.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writ is a nullity.</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Province's application under Rule 19(24), demonstrates that, it is plain and obvious that paragraphs 23(a) to (g) inclusive, 24, 26, 27, 28 and 33 of this statement of claim disclose no reasonable cause of action and constitute an abuse of process. Accordingly, these paragraphs in their entirety are struck from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respect to the remaining defendants, Mr. Shingler deposes that he will amend his statement of claim and set the matter down for trial within 90 days "or failing this, I agree the entire actions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Simmons in her response maintains that the plaintiff's delay has been inordinate, inexcusable and the plaintiff has not rebutted the presumption of prejudice. Alternatively she states:</w:t>
      </w:r>
      <w:r>
        <w:rPr>
          <w:rFonts w:ascii="arial" w:eastAsia="arial" w:hAnsi="arial" w:cs="arial"/>
          <w:sz w:val="20"/>
          <w:lang w:val="en-US" w:eastAsia="en-US" w:bidi="ar-SA"/>
        </w:rPr>
        <w:cr/>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event that the court is prepared to Mr. Shingler one last chance to pursue his action, his proposed 90-day period for action is too long in all the circumstances of this action. At best, he is entitled to 30 days to file amended pleadings and deliver the particulars of conspiracy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requested by these defendants seven years ago, failing which the action should be automatically dismissed upon these Defendants filing an affidavit attesting to the fact that no amended pleadings have been filed and no particulars have be delivered.</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if Mr. Shingler does comply with that step, he will have a further 30 days from the date of filing the amended pleadings and delivery of the requested particulars to file a Notice of Trial and deliver a List of Documents of the Plaintiff, failing which the action should be automatically dismissed upon these Defendants filing an affidavit attesting to the fact.</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Mr. Shingler take these steps, the action could be considered reasonably on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of the view that given Mr. Shingler's response and his agreement to the dismissal of this entire action if he fails to meet certain conditions I am disposed to permit him "one last chance". However, the terms will be as follows:</w:t>
      </w:r>
      <w:r>
        <w:rPr>
          <w:rFonts w:ascii="arial" w:eastAsia="arial" w:hAnsi="arial" w:cs="arial"/>
          <w:sz w:val="20"/>
          <w:lang w:val="en-US" w:eastAsia="en-US" w:bidi="ar-SA"/>
        </w:rPr>
        <w:cr/>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Shingler must file and serve his amended statement of claim not later than April 30, 2008.</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Shingler must deliver the particulars of conspiracy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demanded by the defendants Sihota &amp; Starkey, Noel P. Lenaghan, and Marlene Russo some 7 years ago; not later than April 30,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Failure to file and deliver the above two items will lead to the dismissal of Mr. Shingler's action upon the filing of a motion supported by an affidavit attesting that the deadline has not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If Mr. Shingler meets the above deadlines then he is required to file a Notice of Trial and deliver the List of Documents of the plaintiff to all of the remaining defendants not later than May 30, 2008. Failure to meet the May 30, 2008 deadline will lead to the dismissal of Mr. Shingler's action upon the filing of a motion supported by an affidavit attesting that the deadline has not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will remain seized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16,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the following has been brought to my attention:</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first page, counsel's name for the Defendant Attorney General of Canada should read M.F. Volk and counsel's name for Defendants Attorney General of British Columbia, Regional Crown Counsel, Crown Counsel, The Residential Tenancy Branch, and the Land Title Assurance Fund should read E.L. Ross; and</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page 12, paragraph 39, the following names should be added to the list of persons of whom the action is dismissed: Crown Counsel and Regional Crown Counsel.</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6"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Stewart v. Dueck, [2012] B.C.J. No. 2429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Dardi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27-29,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M130303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2429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2012 BCSC 1729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Leah Christine Stewart, Plaintiff, and Daniel Dueck, Sumas Transport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7"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9" w:name="Keywords_29"/>
      <w:bookmarkEnd w:id="31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Motor vehicles — Liability of driver — Evidence and proof — Action by plaintiff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arising from motor vehicle accident dismissed — Plaintiff proceeded toward intersection behind defendant, who was driving 72-foot unit with 14 flashing lights — Defendant entered intersection and was executing turn when accident occurred — Preponderance of probabilities supported defendant's version of how accident happened — Defendant met standard of care of reasonably careful driver — Plaintiff failed to exercise due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0" w:name="Case Summary_27"/>
            <w:bookmarkEnd w:id="3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a motor vehicle accident. The plaintiff proceeded toward an intersection behind the defendant, who was driving a 72-foot highway tractor-trailer unit with 14 flashing lights. The defendant entered the intersection and was executing a right-hand turn while travelling at 15 kilometres per hour when the accident occurred. The plaintiff entered the intersection at a speed of 30-40 kilometres per hour. Approximately 60 feet of the unit crossed through the intersection prior to the accident. The plaintiff's essential argument was that the defendant should have slowed down or stopped before making his turn in order to ascertain her position.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1" w:name="Holdings of Court_22"/>
            <w:bookmarkEnd w:id="32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entirely at fault for the accident. The preponderance of the probabilities supported the defendant's version of how the accident happened. The defendant's evidence was credible, reliable, clear and straightforward. The plaintiff's evidence was rambling, occasionally inconsistent and difficult to follow. The defendant met the standard of care of a reasonably careful driver. At his speed, he would have cleared the plaintiff's line of travel after another second. The plaintiff failed to exercise due care. The defendant was there to be seen.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2" w:name="Counsel_30"/>
      <w:bookmarkEnd w:id="3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8"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J.C. Moulton.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J.C. McKechnie.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3" w:name="Judgment_30"/>
      <w:bookmarkEnd w:id="323"/>
      <w:r>
        <w:pict>
          <v:line id="_x0000_s1179" style="position:absolute;z-index:2517923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4" w:name="D.J. DARDI J."/>
            <w:bookmarkEnd w:id="324"/>
            <w:r>
              <w:rPr>
                <w:rFonts w:ascii="arial" w:eastAsia="arial" w:hAnsi="arial" w:cs="arial"/>
                <w:b/>
                <w:color w:val="000000"/>
                <w:sz w:val="30"/>
                <w:lang w:val="en-US" w:eastAsia="en-US" w:bidi="ar-SA"/>
              </w:rPr>
              <w:t>D.J. DARDI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31-year-old plaintiff, Leah Christine Stewart, seeks damages from the defendants, Daniel Dueck and Sumas Transport Inc., arising from a motor vehicle accident that occurred on June 2, 2010, at the intersection of 176th Street and 16th Avenue in Surrey, British Columbia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Dueck was driving a highway tractor-trailer unit pulling two trailers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liability and the assessment of damages, potentially recoverable, are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 Scene - Uncontroversial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following facts are not in contention. Some of the facts are established through photographs tendered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16th Avenue and 176th Street, which is also known as the Pacific Highway, is a major intersection which connects the Canadian-American border to the south and the Trans Canada Highway to the north. At the Intersection, in both the northbound and southbound direction, there are two through lanes, a dedicated left turn lane, and a paved shoulder. On 16th Avenue, there is a through lane and a dedicated turn lane running in each direction. The Intersection is controlled by traffic lights. The speed limit on this stretch of 176th Street is 70 kph. It is a designated truck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day of the accident, Ms. Stewart was driving from her home in White Rock to Langley. She had no passengers in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Dueck is a professional driver. For the past 20 years he has been licenced and qualified to drive highway trucks that pull multiple trailers. For the past seven years, he has been employed on a full-time basis by the defendant Sumas Transport Inc., hauling shale between Sumas Mountain and Richmond. On the day of the accident, Mr. Dueck was returning to Sumas Mountain after having completed a shale delivery in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key to appreciate that the Unit is a very large commercial vehicle; it is 72-feet in length. It is known as a Super-B train. The Unit consisted of a tractor unit, a lead trailer and a rear trailer. The uncontroverted evidence shows that this particular vehicle is the longest commercial vehicle that can be operated legally on the roadways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are a total of 14 signal lights on Mr. Dueck's truck: seven signals on each side. There is a set of signals located by the headlights and a set on each side of the driver's mirrors. The back of the tractor also has signals. Both the lead trailer and the rear trailer are equipped with signals on the rear bumper; there is another set located in the middle about four feet above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June 2, 2010, the Unit was in good working order. As was his routine, in the morning before starting his workday, Mr. Dueck had checked that the turn signal indicators were operational. He also checked that the signal lights were operational part-way through the day and again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Prior to the accident, both Ms. Stewart and Mr. Dueck were proceeding northbound on 176th Street, towards the Intersection. Mr. Dueck, who had entered the Intersection on a green light, was executing a right-hand turn when the collision occurred. The impact of Ms. Stewart's vehicle and Mr. Dueck's truck occurred at or near the south side of the Intersection. The accident occurred between 3:00 p.m. and 3:30 p.m. It was raining. The traffic was moderate, in that there was some traffic, but it was not heavy.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damage to Ms. Stewart's vehicle was largely to the driver's side door and front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common ground that when Mr. Dueck was making his turn, his speed was about 15 kph and that Ms. Stewart entered the Intersection travelling at a speed of 30-40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was no evidence as to the dimensions of the pertinent roadways or the Intersection. There was no accident reconstruction evidence tendered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were no witnesses to the accident who were called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Stewart's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Stewart travelled from 8th Avenue to 16th Avenue on 176th Street in the fast lane. She was travelling at between 70 and 80 kph. According to Ms. Stewart, she observed Mr. Dueck's Unit travelling in the fast lane when she was about a block and a half from the Intersection. She never saw his Unit travelling in the slow lane. She testified that when she was approximately two car lengths behind his Unit, she observed Mr. Dueck activate his left signal light and move the entire length of his Unit from the fast lane into the left turn lane. As she was approaching the Intersection, she was travelling beside his Unit. She assumed that Mr. Dueck was making a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Stewart maintains that as she was approaching the Intersection, she was looking at the traffic around and ahead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Stewart first observed the Unit making a right turn when her vehicle was one car-length from the southern white line in the Intersection; her vehicle was beside the rear trailer of the Unit. She slammed on her brakes to avoid the collision. The impact occurred just as she was "crossing the white lines" of the Intersection. She skidded to a stop on the north side of the crosswalk. Her vehicle was not pushed out of the fast lane but it did move closer to the centre line. She stated at trial that the driver's side of her vehicle collided with the rear tires of the lead trailer of Mr. Dueck's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Stewart never observed any four-way flashers or a right-turn signal having been activated on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Within a minute of the first impact, the Unit pushed her vehicle backwards, behind the most southern white line in the Intersection. According to Ms. Stewart, the first impact was more severe than the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airbags in her vehicle did not deploy but the driver's window shattered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Emergency health personnel attended to her at the scene and she was taken to the hospital by ambulance.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Dueck's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Dueck estimates that he negotiates the right turn at this Intersection on average between 10 and 12 times per week. He is therefore very familiar with the right-hand turn manoeuvre that is the subject of this dispute. From a trucker's perspective, he explained that this particular turn is "a very tight corner" to negotiate.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Dueck's account of the accident differs significantly from that of Ms. Stewart. He maintains that he travelled in the curb lane - as was his usual routine - until he began his manoeuvre to make his turn onto 16th Avenue. He was travelling at 70 kph. He denies that he was travelling in the fast lane of traffic as is alleged by Ms.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Prior to initiating his turn, Mr. Dueck described that he first checked the traffic. He was satisfied that he could safely initiate his manoeuvre, as the traffic was a safe distance behind him. He then signaled a left turn and moved from the slow or curb lane into the fast lane. He blocked the lanes by crossing the dotted dividing line. He then turned his Unit into and through the left turn lane to make his turn. He says he never had his Unit entirely in the left turn lane but rather, he turned his Unit through the lane in "an arc". He described his turning manoeuvre, which he says he executes routinely, as being designed to discourage other drivers from passing him on either side while he is executing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Once he moved from the curb lane, Mr. Dueck continued to reduce his speed and by the time he entered the Intersection he was travelling at approximately 15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His manoeuvre included the execution of a continuous fluid signal sequence: first his left turn signal, then his four-way flashers or hazard lights, then his right turn signal. According to Mr. Dueck, he activated his left turn signal before he moved his Unit over from the slow lane and he activated his four-way flashers before he moved his Unit into the left turn lane. As I understood his evidence, the four-way flashers or hazard lights activate both the right and left signals at the same time. He explained that when these four-way flashers are activated all 14 signal lights on the Unit are flashing. Before he initiated the right turn, he turned on his right turn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order to ensure he could safely execute his turn, Mr. Dueck checked his mirrors and performed a shoulder check before moving from the slow lane into the fast lane. Prior to moving from the fast lane to the left turn lane, he double checked both his side mirrors to make sure there was no traffic to the left or right of his Unit. He specifically recalls double checking his mirrors on the day of the accident because of the rainy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Dueck saw Ms. Stewart's vehicle both times he checked his mirrors. When he first saw her vehicle, he estimated that she was travelling approximately half a block behind him. He proceeded with the turn because, in his judgment, she was a safe distance behind him and he could safely execute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Once he was in the turn, due to the trajectory of his Unit, he could only see his trailers out of his mirrors. However, he confirmed that he had checked his mirrors immediately prior to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Dueck first became aware that there had been a collision when the cab of his Unit was facing down 16th Avenue in the curb lane and he was close to the sidewalk. He checked his mirror, looked out his side window, and observed that there was a car "right up tight" to the rear most set of axles of his Unit. He then disembarked from his cab and stood between the cab and the lead trailer. He observed that there had been a collision. His tractor and lead trailer were blocking all north and eastbound traffic in the Intersection. At that point, he backed up his Unit to clear the Intersection so that traffic could proceed in a northbound direction. He then drove straight ahead and parked his Unit along the curb lane, north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was no damage to the Unit- only a scuff mark on the lead tire of the rear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Dueck flagged down an ambulance and walked over to speak to Ms. Stewart, whose vehicle was located at the south end of the Intersection. He was present when the ambulance attendants approached Ms. Stewart. Mr. Dueck also spoke to the police officer who attended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Ms. Stewart's position that because he was driving in a negligent manner Mr. Dueck should be found entirely at fault or, in the alternative, primarily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Stewart does not take issue with Mr. Dueck's assertion that the turning manoeuvre he undertook was appropriate for executing a right-turn at this particular Intersection. Rather, Ms. Stewart's essential contention is that Mr. Dueck should have slowed down or stopped before initiating his right turn so that he could have first ascertained Ms. Stewart's position. Her counsel disputes that Mr. Dueck activated his four-way flashers. In any case, if it is found that Mr. Dueck did activate his four-way flashers Ms. Stewart argues that this did not constitute sufficient warning of his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deny that Mr. Dueck was negligent and submit that Ms. Stewart bears the entire responsibility for the accident. Their primary contention is that the accident can only be explained by Ms. Stewart's lack of due care and attention. The defence vigorously challenges the reliability of Ms. Stewart's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legal principles which govern this dispute are uncontroversial.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authorities establish that all motorists have an overarching common law duty to exercise what constitutes, in all the circumstances, reasonable and due care. All motorists have a general duty to keep a proper look-out and to take reasonable precautions in response to apparent potential hazards: </w:t>
      </w:r>
      <w:r>
        <w:rPr>
          <w:rFonts w:ascii="arial" w:eastAsia="arial" w:hAnsi="arial" w:cs="arial"/>
          <w:i/>
          <w:color w:val="000000"/>
          <w:sz w:val="20"/>
          <w:lang w:val="en-US" w:eastAsia="en-US" w:bidi="ar-SA"/>
        </w:rPr>
        <w:t>Hmaied v. Wilkinson</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It is a well-settled proposition that drivers in this province are entitled to assume, within reason, that the other users of the roads in British Columbia will obey the law: </w:t>
      </w:r>
      <w:r>
        <w:rPr>
          <w:rFonts w:ascii="arial" w:eastAsia="arial" w:hAnsi="arial" w:cs="arial"/>
          <w:i/>
          <w:color w:val="000000"/>
          <w:sz w:val="20"/>
          <w:lang w:val="en-US" w:eastAsia="en-US" w:bidi="ar-SA"/>
        </w:rPr>
        <w:t>Mills v. Siefred</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2010 BCCA 404</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Court's task is to determine whether each of the parties in an accident met their common law duties of care. The analysis of the standard of care, which is relevant to the particular circumstances, is informed by both the reasonableness of the parties' actions and by the rules of the road;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Kilian v. Valentin</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2012 BCSC 1434</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While these general propositions are endorsed by the authorities, ultimately, the determination of liability turns on the particular facts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Stewart bears the burden of proving on a balance of probabilities that Mr. Dueck was negligent. Thus, the essential question is this: did Mr. Dueck fail to exercise the standard of care required by a reasonably careful driver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trial, the testimony of the parties diverged significantly in relation to important facts, and it is appropriate therefore, as a starting point in the analysis, to comment on the evidence of the two principal witnesses: Ms. Stewart and Mr. Dueck.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For the reasons that follow, I have concluded that Ms. Stewart's evidence must be rejected as being unreliable where it conflicts with Mr. Dueck's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Overall, I found Ms. Stewart testified in a rambling manner. Her evidence on occasion was inconsistent and difficult to follow; she left the Court with the impression that, to a large measure, she was reconstructing her evidence. For example, when challenged in cross-examination on her testimony regarding where Mr. Dueck's Unit came to a stop after the accident, she conceded that in her prior testimony, she had made a deduction as to its location and in fact she had no actual recollection. She also admitted in cross-examination that although she had testified in chief as to the location of her vehicle after the collision, she had no actual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occasion, Ms. Stewart's testimony at trial was inconsistent with her evidence from her examination for discovery without any satisfactory explanation. The following examples are illustrative:</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testified in her examination in chief that she first observed Mr. Dueck's Unit when it was a block and a half away. At her examination for discovery, she testified that she first became aware of the Unit when it was two car lengths ahead of her in the fast lane.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trial, she asserted that she collided with the lead trailer of the Unit but at her examination for discovery she stated that it was the rear trailer.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trial, she maintained that she was one car length from the Intersection when she first noticed the Unit turning right but at her examination for discovery she testified that she was just passing the stop line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My assessment of Ms. Stewart's evidence as a whole compels the conclusion that her evidence is unreliable. I make my assessment of her evidence keeping in mind that she was recalling the details of what was a sudden and traumatic event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contrast to the deficiencies of Ms. Stewart's evidence, I found Mr. Dueck's evidence to be credible and reliable. His evidence was clear and straightforward. He testified in a forthright and responsive manner and endeavoured to carefully give an accurate account of the material events. In my view, the substance of his evidence was not shaken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Stewart's counsel points to what he alleges is an inconsistency in Mr. Dueck's evidence with respect to the timing of the activation of his right-turn signal. Mr. Dueck emphasized in his evidence that the manoeuvre included a signal sequence. He operates the signal lights with one lever in a continuous motion. I accept his explanation at trial that after activating his left turn signal, he activated his four-way flashers and then activated his right turn signal before initiating his right turn. I am not persuaded that his evidence at his examination for discovery on this point can properly be characterized as being inconsistent. Even if it were found to be inconsistent, I do not find the alleged inconsistency significant in the context of Mr. Dueck's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the preponderance of the probabilities supports Mr. Dueck's version of how the accident happened; I accept his evidence regarding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Common sense would suggest that Mr. Dueck was required to act reasonably in alerting other drivers on the road of his intention to turn right. He had a responsibility to ensure that his right turn manoeuvre did not endanger other users of the road. It is important to keep in mind, however, that the standard of care is not one of perfection but whether Mr. Dueck acted in a manner in which an ordinarily prudent driver would act: </w:t>
      </w:r>
      <w:r>
        <w:rPr>
          <w:rFonts w:ascii="arial" w:eastAsia="arial" w:hAnsi="arial" w:cs="arial"/>
          <w:i/>
          <w:color w:val="000000"/>
          <w:sz w:val="20"/>
          <w:lang w:val="en-US" w:eastAsia="en-US" w:bidi="ar-SA"/>
        </w:rPr>
        <w:t>Haddon v. Lynch,</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at para.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find on the totality of the evidence, that Mr. Dueck met the standard of care of a reasonably careful driver in the circumstances that were pertinent at the relevant time. In my view, he exercised a reasonable level of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contrary to Ms. Stewart's assertions, that Mr. Dueck's entire Unit was never fully in the left turn lane at the same time. He explained that by travelling in an arc, his express objective was to prevent drivers from passing him while he was making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When it was safe to do so, Mr. Dueck moved his Unit from the right lane into the fast lane and arced through the left lane. He initiated his signal sequence - left turn signal, flashing hazards, right turn signal. He acknowledged seeing Ms. Stewart behind him but testified that, in his judgment, she was a sufficient distance away that it was safe to make his turn. At 15 kilometres per hour, Mr. Dueck would have been travelling 13.67 feet per second. At this speed, Mr. Dueck's Unit would have successfully cleared Ms. Stewart's line of travel after another second. Taking into account the fact that he had almost cleared the turn and avoided a collision, I am not persuaded that he was negligent. Ms. Stewart was a sufficient distance behind him that, had she been looking ahead, she would have seen the Unit and his turn would have been safely executed. He was entitled to assume that other drivers would be paying attention to his signal lights and would proceed with the requisite degree of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view, the preponderance of the evidence supports a finding that Ms. Stewart failed to exercise due care in all of the circumstances. A reasonable driver in her position would have been put on notice that she should proceed with caution. Mr. Dueck's 72-foot Unit with 14 flashing lights proceeding at 15 kph was clearly there to be seen. Contrary to the assertions of Ms. Stewart's counsel, such a large vehicle "does not turn suddenly." Ms. Stewart did not testify that she was watching the Unit and that Mr. Dueck failed to activate his four-way flashers or the right turn signal. She merely says that she did not observe his four-way flashers or the right turn signal. Had she been paying due care and attention to the roadway ahead of her, the operational flashing signals of his Unit - seven signal lights located at intervals down the length of each side of the Unit - would have been clearly visible to her. The four-way flashers and right turn signal would have been fully visible from the rear and passenger side of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Swartz Bros. Limited v. Wills,</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[1935] S.C.R. 628</w:t>
        </w:r>
      </w:hyperlink>
      <w:r>
        <w:rPr>
          <w:rFonts w:ascii="arial" w:eastAsia="arial" w:hAnsi="arial" w:cs="arial"/>
          <w:color w:val="000000"/>
          <w:sz w:val="20"/>
          <w:lang w:val="en-US" w:eastAsia="en-US" w:bidi="ar-SA"/>
        </w:rPr>
        <w:t xml:space="preserve"> at 634, endorsed the notion that: "[W]here there is nothing to obstruct the vision and there is a duty to look, it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to see what is clearly visible." See also </w:t>
      </w:r>
      <w:r>
        <w:rPr>
          <w:rFonts w:ascii="arial" w:eastAsia="arial" w:hAnsi="arial" w:cs="arial"/>
          <w:i/>
          <w:color w:val="000000"/>
          <w:sz w:val="20"/>
          <w:lang w:val="en-US" w:eastAsia="en-US" w:bidi="ar-SA"/>
        </w:rPr>
        <w:t>Millot Estate v. Reinhard,</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2001 ABQB 1100</w:t>
        </w:r>
      </w:hyperlink>
      <w:r>
        <w:rPr>
          <w:rFonts w:ascii="arial" w:eastAsia="arial" w:hAnsi="arial" w:cs="arial"/>
          <w:color w:val="000000"/>
          <w:sz w:val="20"/>
          <w:lang w:val="en-US" w:eastAsia="en-US" w:bidi="ar-SA"/>
        </w:rPr>
        <w:t xml:space="preserve"> at para. 46. This principle has application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the moment of impact, Ms. Stewart was travelling in a northerly direction on 176th Street. I find that the front of Ms. Stewart's vehicle collided with the front wheels of the rear trailer of the Unit. The rear trailer of the Unit was moving across her direction of travel in a north-easterly direction. When Mr. Dueck stopped after the collision, his Unit had already crossed the Intersection and had reached the 16th Avenue crosswalk; the tractor and lead trailer of the Unit were well through the right turn. Based upon the photographs of the Unit, it can reasonably be inferred that, prior to the collision with the rear trailer, approximately 60 feet of Mr. Dueck's 72-foot Unit would have had to have passed right in front of Ms. Stewart from left to right. On her own evidence, Ms. Stewart did not notice the Unit turning right until she was a car length from the Intersection. By that time, Mr. Dueck had been executing the turn for several seconds and she was too late to avoid a collision. She suddenly saw what she should have seen earlier and it was too late to take any evasive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have reviewed the cases relied upon by Ms. Stewart's counsel, including </w:t>
      </w:r>
      <w:r>
        <w:rPr>
          <w:rFonts w:ascii="arial" w:eastAsia="arial" w:hAnsi="arial" w:cs="arial"/>
          <w:i/>
          <w:color w:val="000000"/>
          <w:sz w:val="20"/>
          <w:lang w:val="en-US" w:eastAsia="en-US" w:bidi="ar-SA"/>
        </w:rPr>
        <w:t>Millot Estate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Conklin v. Smith and Phil Hall Ltd.</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(1977), 4 B.C.L.R. 302</w:t>
        </w:r>
      </w:hyperlink>
      <w:r>
        <w:rPr>
          <w:rFonts w:ascii="arial" w:eastAsia="arial" w:hAnsi="arial" w:cs="arial"/>
          <w:color w:val="000000"/>
          <w:sz w:val="20"/>
          <w:lang w:val="en-US" w:eastAsia="en-US" w:bidi="ar-SA"/>
        </w:rPr>
        <w:t xml:space="preserve"> (C.A.) (var'd on other grounds, </w:t>
      </w:r>
      <w:hyperlink r:id="rId695" w:history="1">
        <w:r>
          <w:rPr>
            <w:rFonts w:ascii="arial" w:eastAsia="arial" w:hAnsi="arial" w:cs="arial"/>
            <w:i/>
            <w:color w:val="0077CC"/>
            <w:sz w:val="20"/>
            <w:u w:val="single"/>
            <w:shd w:val="clear" w:color="auto" w:fill="FFFFFF"/>
            <w:lang w:val="en-US" w:eastAsia="en-US" w:bidi="ar-SA"/>
          </w:rPr>
          <w:t>[1978] 2 S.C.R. 1107</w:t>
        </w:r>
      </w:hyperlink>
      <w:r>
        <w:rPr>
          <w:rFonts w:ascii="arial" w:eastAsia="arial" w:hAnsi="arial" w:cs="arial"/>
          <w:color w:val="000000"/>
          <w:sz w:val="20"/>
          <w:lang w:val="en-US" w:eastAsia="en-US" w:bidi="ar-SA"/>
        </w:rPr>
        <w:t>). The cases involved collisions with trucks making wide right hand turns and motorcycles travelling in the curb lane. In my view, however, there is a distinction of some significance: those collisions occurred with the front end of the trucks, not the rear of the truck as in this case. In the result I find the analysis in those cases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must be kept in mind that Ms. Stewart professed familiarity with the Intersection which is a designated truck route which requires large trucks to make particularly wide turns. She was aware that large trucks often make wide right turns at this Intersection. The tenor of her own evidence was that, had she seen Mr. Dueck's four-way flashers, this would have alerted her to proceed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note, parenthetically, that I am not persuaded that this case turns on the precise timing of the transition from the four-way flashers to the right turn signals. Ms. Stewart failed to observe the activation of either the four-way flashers or the right turn signal on the Unit. Had Mr. Dueck turned on the right turn signal earlier, Ms. Stewart would not have seen it in any event. It cannot be said that there is any nexus between this faulty conduct as alleged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have concluded that a reasonably careful driver in Ms. Stewart's circumstances would have seen the four-way flashers and right turn signal on the Unit and been alerted to Mr. Dueck's manoeuvre . It follows that a reasonably prudent driver would have seen the Unit ahead of her in the Intersection in sufficient time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am fortified in my conclusions by defence counsel's postulations on the dynamics of the collision which he has based upon the relative speeds of each of the parties' vehicles. This is factual information of which I am entitled to take judicial notice. I find the following analysis compelling.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I mentioned earlier, at 15 kilometres per hour, Mr. Dueck would have been travelling 13.67 feet per second. Ms. Stewart was travelling between 30 and 40 kilometres per hour - from 27.3 to 36.4 feet per second, immediately before the Intersection, when she first observed Mr. Dueck turning right. As I mentioned earlier, approximately 60 feet of his 72-foot Unit had crossed through the Intersection prior to the collision. At his speed of 15 kilometres per hour, 60 feet would have taken him approximately four and a half seconds, during which time, even at 30 kilometres per hour, Ms. Stewart would have travelled approximately 122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defence counsel states in his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tractor began its turn across in front of her, when she was 122 feet from the point of impact, yet she does not notice him until she was about a dozen feet from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only reasonable inference is that Ms. Stewart was not paying due care and attention as she was approaching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find that Ms. Stewart bears the onus of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my view, she has failed to discharge her burden of proof. I am not persuaded on a balance of probabilities that the accident was attributable to any want of care on Mr. Dueck's part. I find Ms. Stewart entirely at fault for the accident. Moreover, Ms. Stewart has failed to prove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Mr. Dueck's part for the second impact she says occurred as Mr. Dueck backed up his Unit to clear the Intersection. I find that Mr. Dueck acted reasonably in the circumstances. In reaching my conclusions, I have considered the entire body of evidence and, in my view, it best harmonizes with the preponderance of the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view of my findings, it is not necessary to address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conclusion, I am not satisfied that Ms. Stewart has proven that Mr. Dueck was negligent. The action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are entitled to the costs of their action unless there are any pertinent circumstances that should be brought to the Court's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DARDI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0"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Strata Plan BCS 3206 v. KBK No. 11 Ventures Ltd., [2019] B.C.J. No. 1193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L. Muir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S1510419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1193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1033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BCS 3206, Plaintiff, and KBK No. 11 Ventures Ltd., 1100 Georgia Partnership, Peterson Investment (Georgia) Limited Partnership, Abbey Adelaide Holdings Inc., LJV Georgia Investments Inc. and No. 274 Cathedral Ventures Ltd., Defendants, and IGA/AGS Joint Venture Inc., Garibaldi Glass Industries Inc.,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1"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5" w:name="Keywords_30"/>
      <w:bookmarkEnd w:id="325"/>
      <w:r>
        <w:rPr>
          <w:rFonts w:ascii="arial" w:eastAsia="arial" w:hAnsi="arial" w:cs="arial"/>
          <w:b/>
          <w:color w:val="000000"/>
          <w:sz w:val="20"/>
          <w:lang w:val="en-US" w:eastAsia="en-US" w:bidi="ar-SA"/>
        </w:rPr>
        <w:t xml:space="preserve">Civil litigation — Civil procedure — Parties — Adding or substituting — Pleadings — Amendment of — Statement of claim — Adding new cause of action — Application by the plaintiff Strata Corporation to add several proposed defendants and to amend its notice of civil claim allowed — The action was for breach of warranty and breach of contract regarding alleged defects in the insulating glass units used in a building — The plaintiff sought to add a claim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proposed defendants were all defendants in an action commenced by another strata corporation occupying floors of the same building — The plaintiffs wanted the actions tried together — The amendments were to be without prejudice to the proposed defendants' right to advance limitation defences.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Construction law — Proceedings — Practice and procedure — Parties — Pleadings — Application by the plaintiff Strata Corporation to add several proposed defendants and to amend its notice of civil claim allowed — The action was for breach of warranty and breach of contract regarding alleged defects in the insulating glass units used in a building — The plaintiff sought to add a claim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proposed defendants were all defendants in an action commenced by another strata corporation occupying floors of the same building — The plaintiffs wanted the actions tried together — The amendments were to be without prejudice to the proposed defendants' right to advance limitation defences.</w:t>
      </w:r>
    </w:p>
    <w:p>
      <w:pPr>
        <w:jc w:val="both"/>
        <w:rPr>
          <w:rFonts w:ascii="arial" w:eastAsia="arial" w:hAnsi="arial" w:cs="arial"/>
          <w:sz w:val="20"/>
          <w:lang w:val="en-US" w:eastAsia="en-US" w:bidi="ar-SA"/>
        </w:rPr>
      </w:pPr>
      <w:bookmarkStart w:id="326" w:name="Legislation Cited_25"/>
      <w:bookmarkEnd w:id="3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2"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6-1, Rule 6-2(7)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7" w:name="Counsel_31"/>
      <w:bookmarkEnd w:id="32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3"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K.A. Maw.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Application Respondents, Ledcor Construction Limited and Tidball Projects (2005) Ltd.: D. Lucas.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IGA/AGS Joint Venture Inc.: D. Lehrer.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Garibaldi Glass Industries Inc.: M.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Application Respondent, RDH Building Science Inc.: T. Rastin.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Application Respondent, James KM Cheng Architects Inc.: A. Visser.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8" w:name="Judgment_31"/>
      <w:bookmarkEnd w:id="328"/>
      <w:r>
        <w:pict>
          <v:line id="_x0000_s1184"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9" w:name="MASTER L. MUIR"/>
            <w:bookmarkEnd w:id="329"/>
            <w:r>
              <w:rPr>
                <w:rFonts w:ascii="arial" w:eastAsia="arial" w:hAnsi="arial" w:cs="arial"/>
                <w:b/>
                <w:color w:val="000000"/>
                <w:sz w:val="30"/>
                <w:lang w:val="en-US" w:eastAsia="en-US" w:bidi="ar-SA"/>
              </w:rPr>
              <w:t>MASTER L. MUIR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an order that Ledcor Construction Limited, Tidball Projects (2005) Ltd., IGA/AGS Joint Ventures Inc., Garibaldi Glass Industries Inc., James KM Cheng Architects Inc., and RDH Building Science Inc. be added as defendants to this action (collectively,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also seeks to amend its notice of civil claim pursuant to Rule 6-1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in the form attached to the notice of application filed May 22,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present action is one for breach of warranty and breach of contract in respect of alleged defects in the insulating glass units ("IGUs") used in the construction of the Shangri-La building, located at 1128 West Georgia Street, Vancouver, British Columbia (the "Shangri-La").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proposed amendments to the notice of civil claim seek to add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the plaintiff says that it learned in January 2019 that the defects in the IGUs were resulting in breakage to the external glazing, which is alleged to be a danger or potential danger to the occupants of the building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Shangri-La is composed of three air space parcels including: (1) the hotel air space parcel; (2) the live/work air space parcel; and (3) the residential estates air space parcel.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in this action is the strata corporation occupying floors 44 to 62 of the Shangri-La building, known as the "residential estates air space parcel".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strata corporation occupying portions of the 5th and 6th floors, as well as the 16th to 43rd floors of the Shangri-La, known as the "live/work air space parcel". The live/work strata corporation has also commenced an action regarding the alleged defects in the IGUs: The Owners, Strata Plan 3165 v. KBK No. 11 Ventures Ltd. et al (Vancouver Registry Action S1510431) (the "live/work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proposed defendants are all defendants in the live/work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both this action and the live/work action, notices of civil claim were filed on December 15, 2015. The plaintiffs in this action and the live/work action have advised of their intention to seek an order that the two actions be tried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the live/work action, however,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failure to warn, and negligent misrepresentation are pleaded in addition to breaches of warranty and contract. In particular, in para. 7 of the notice of civil claim in the live/work action the plaintiff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Strata Complex was constructed in a deficient and substandard manner and with a number of latent or, as the case may be, patent building deficiencies and construction defects, including defects and deficiencies that have given rise to conditions which pose substantial danger to person and property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live/work notice of civil claim was amended as of right in February 2018 and particulars of the dangerous defects were provided, which included a new allegation of spontaneous breaking of the IGUs.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herein now seeks to amend to plead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proposed defendants and to allege,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dangerous defects, as follows:</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Additionally, a number of the inner and outer lites on the IGUs are spontaneously breaking, cracking and/or failing which has caused the IGUs and Shangri-La building to be unsafe, hazardous and to pose a substantial risk of physical danger, including to the health and safety of any person or property in the vicinity of the Shangri-La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evidence relied upon by the plaintiff in support of this change is not sworn, but comes in the form of counsel's submissions at the case planning conference held in both this action and the live/work action on May 7, 2019. There, Mr. McEwan, for the plaintiff in this action,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MCEWAN: It's my submission obviously these should be heard together. The claim, you will see a difference in the parties. The asymmetry is caused by up until now we had seen this as a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-driven case down the contractual chain, so we were focused on the developer. But as Mr. Tatchell has indicated, windows are starting to fragment and shatter, such that you will see in our case plan proposal that we have proposed to add defendants in relation to a straight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as well. ... [p.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Secondly, just in terms of the pleading, just to be clear, My Lord, what's causing us now to reconsider not doing this as a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pure economic loss-style case is a matter of external windows cracking, not falling to the ground, but creating an issue of a dangerous defect. And from my client's perspective, my knowledge of that comes to me in January of this year. ... [p.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Based on the submissions of counsel, I conclude that the plaintiff was initially of the view that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not be advanced, as the defects caused unrecoverable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However, on learning of the spontaneous breakage of the IGUs, counsel re-evaluated and considered the law stated in </w:t>
      </w:r>
      <w:r>
        <w:rPr>
          <w:rFonts w:ascii="arial" w:eastAsia="arial" w:hAnsi="arial" w:cs="arial"/>
          <w:i/>
          <w:color w:val="000000"/>
          <w:sz w:val="20"/>
          <w:lang w:val="en-US" w:eastAsia="en-US" w:bidi="ar-SA"/>
        </w:rPr>
        <w:t>Winnipeg Condominium Corporation No. 36 v. Bird Construction Co.</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regarding recovery of economic loss stemming from dangerous defects would be applicable. The court held at para. 54 of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then, that no adequate policy considerations exist to negate a contractor's duty in tort to subsequent purchasers of a building to take reasonable care in constructing the building, and to ensure that the building does not contain defects that pose foreseeable and substantial danger to the health and safety of the occupants. In my view, the Manitoba Court of Appeal erred in deciding that Bird could not, in principle, be held liable in tort to the Condominium Corporation for the reasonable cost of repairing the defects and putting the building back into a non-dangerous state. These costs are recoverable economic loss under the law of tort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application to amend the notice of civil claim is authorized by Rule 6-1(1)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pleadings may be amended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Rules 6-2(7) and (10) and 7-7(5), a party may amend the whole or any part of a pleading filed by the party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without leave of the court, at any time before service of the notice of trial,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notice of trial is served, only with</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of the court, or</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consent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application to add defendants is founded in Rule 6-2(7),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Adding, removing or substituting parties by order</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cease to be party if that person is not, or has ceased to be, a proper or necessary party,</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Meade v. Armstrong (City)</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2011 BCSC 1591</w:t>
        </w:r>
      </w:hyperlink>
      <w:r>
        <w:rPr>
          <w:rFonts w:ascii="arial" w:eastAsia="arial" w:hAnsi="arial" w:cs="arial"/>
          <w:color w:val="000000"/>
          <w:sz w:val="20"/>
          <w:lang w:val="en-US" w:eastAsia="en-US" w:bidi="ar-SA"/>
        </w:rPr>
        <w:t xml:space="preserve"> at para. 16 for the proposition that the discretion to add parties ought to be generously exercised and that amendments to an existing claim generally ought to be permitted in the absence of specific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principles to be considered are summarized in </w:t>
      </w:r>
      <w:r>
        <w:rPr>
          <w:rFonts w:ascii="arial" w:eastAsia="arial" w:hAnsi="arial" w:cs="arial"/>
          <w:i/>
          <w:color w:val="000000"/>
          <w:sz w:val="20"/>
          <w:lang w:val="en-US" w:eastAsia="en-US" w:bidi="ar-SA"/>
        </w:rPr>
        <w:t>Byrd v. Cariboo (Regional District)</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2016 BCCA 69</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and the Standard of Review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Whether to permit a party to be added involves the exercise of judicial discretion. As reflected in the chambers judge's reasons, the approach to be taken on such an application is set out in this Court's judgments in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Products (1977) Ltd. v. Dale Intermediaries Ltd</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Fenwick</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In the latter case, Mr. Justice Esson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My understanding of the phrase "completely unfettered": in this context is that the discretion is not fettered by the relevant legislation, i.e., the Rule and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It is, however, fettered to the extent that, as was held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it must be exercised judicially, in accordance with the evidence adduced and such guidelines as may appear from the authorities. It was held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that the guidelines to which the chambers judge is required to have regard include these:</w:t>
      </w:r>
    </w:p>
    <w:p>
      <w:pPr>
        <w:numPr>
          <w:numId w:val="1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1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1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19"/>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delay; and</w:t>
      </w:r>
    </w:p>
    <w:p>
      <w:pPr>
        <w:numPr>
          <w:numId w:val="20"/>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connection, if any, between the existing claims and the proposed new cause of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w:t>
      </w:r>
      <w:r>
        <w:rPr>
          <w:rFonts w:ascii="arial" w:eastAsia="arial" w:hAnsi="arial" w:cs="arial"/>
          <w:i/>
          <w:color w:val="000000"/>
          <w:sz w:val="20"/>
          <w:lang w:val="en-US" w:eastAsia="en-US" w:bidi="ar-SA"/>
        </w:rPr>
        <w:t>Chouinard v. O'Connor</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2011 BCCA 161</w:t>
        </w:r>
      </w:hyperlink>
      <w:r>
        <w:rPr>
          <w:rFonts w:ascii="arial" w:eastAsia="arial" w:hAnsi="arial" w:cs="arial"/>
          <w:color w:val="000000"/>
          <w:sz w:val="20"/>
          <w:lang w:val="en-US" w:eastAsia="en-US" w:bidi="ar-SA"/>
        </w:rPr>
        <w:t xml:space="preserve"> at para. 21, </w:t>
      </w:r>
      <w:hyperlink r:id="rId707" w:history="1">
        <w:r>
          <w:rPr>
            <w:rFonts w:ascii="arial" w:eastAsia="arial" w:hAnsi="arial" w:cs="arial"/>
            <w:i/>
            <w:color w:val="0077CC"/>
            <w:sz w:val="20"/>
            <w:u w:val="single"/>
            <w:shd w:val="clear" w:color="auto" w:fill="FFFFFF"/>
            <w:lang w:val="en-US" w:eastAsia="en-US" w:bidi="ar-SA"/>
          </w:rPr>
          <w:t>16 B.C.L.R. (5th) 272</w:t>
        </w:r>
      </w:hyperlink>
      <w:r>
        <w:rPr>
          <w:rFonts w:ascii="arial" w:eastAsia="arial" w:hAnsi="arial" w:cs="arial"/>
          <w:color w:val="000000"/>
          <w:sz w:val="20"/>
          <w:lang w:val="en-US" w:eastAsia="en-US" w:bidi="ar-SA"/>
        </w:rPr>
        <w:t xml:space="preserve"> [(C.A.)], Mr. Justice Groberman, after quoting the above paragraph from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list of factors has come to be seen as a checklist in applications to add a cause of action or a party after the expiry of the limitation period. It is sometimes forgotten that the list of factors is not an exhaustive one, and that the overriding concern is whether the proposed amendment will be "just and convenient". The factors listed in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will typically be important factors to be considered by a chambers judge, but the decision is ultimately a discretionary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Limitation Periods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There was some discussion at the hearing of this appeal with respect to the limitation periods applicable to the various claims Mr. Byrd seeks to bring against the Province. While not conceding that all those claims are subject to a six-year limitation period, the Province stated it is content, for present purposes, to proceed on that basis. In other words, this appeal was argued on the basis that the limitation period expired in November 2011, and, therefore, had Mr. Byrd commenced his action by November 2011, he would, by reason of Rule 3-2(1), have had until November 2012 to serve the Province. As a result, the relevant period with respect to assessing prejudice is two years: </w:t>
      </w:r>
      <w:r>
        <w:rPr>
          <w:rFonts w:ascii="arial" w:eastAsia="arial" w:hAnsi="arial" w:cs="arial"/>
          <w:i/>
          <w:color w:val="000000"/>
          <w:sz w:val="20"/>
          <w:lang w:val="en-US" w:eastAsia="en-US" w:bidi="ar-SA"/>
        </w:rPr>
        <w:t>Amezcua v. Taylor</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2010 BCCA 128</w:t>
        </w:r>
      </w:hyperlink>
      <w:r>
        <w:rPr>
          <w:rFonts w:ascii="arial" w:eastAsia="arial" w:hAnsi="arial" w:cs="arial"/>
          <w:color w:val="000000"/>
          <w:sz w:val="20"/>
          <w:lang w:val="en-US" w:eastAsia="en-US" w:bidi="ar-SA"/>
        </w:rPr>
        <w:t xml:space="preserve"> at para. 34, </w:t>
      </w:r>
      <w:hyperlink r:id="rId708" w:history="1">
        <w:r>
          <w:rPr>
            <w:rFonts w:ascii="arial" w:eastAsia="arial" w:hAnsi="arial" w:cs="arial"/>
            <w:i/>
            <w:color w:val="0077CC"/>
            <w:sz w:val="20"/>
            <w:u w:val="single"/>
            <w:shd w:val="clear" w:color="auto" w:fill="FFFFFF"/>
            <w:lang w:val="en-US" w:eastAsia="en-US" w:bidi="ar-SA"/>
          </w:rPr>
          <w:t>317 D.L.R. (4th) 547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points out the close relationship between the proposed amendments to its notice of civil claim and the initial claim regarding the IGUs. The plaintiff also points out the close relationship of the proposed claims in this action with the claims in the live/work action. Both those factors, they submit, militate in favour of the joinder and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proposed defendants all take the position that the amendments should not be allowed. They say the limitation period has clearly expired long ago and there is no explanation for the delay. They argue that the plaintiff in this action has no explanation for its failure to plead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the outset, when the plaintiff in the live/work action did. They submit that the relationship of the proposed claims in this action to the claims in the live/work action is not a proper basis for concluding that the proposed amendments should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agree that the relationship between the proposed claims in this action and the present claims in this action, as they both rely on defects to the IGUs, are sufficient to warrant the addition of the proposed defendants. While I agree that the circumstances of the live/work action are not determinative of anything in this action, they are a factor to be considered as the action deals with the same building and the same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argues that the relevant time for assessment of delay in this case commences in 2019, relying on the decision in </w:t>
      </w:r>
      <w:r>
        <w:rPr>
          <w:rFonts w:ascii="arial" w:eastAsia="arial" w:hAnsi="arial" w:cs="arial"/>
          <w:i/>
          <w:color w:val="000000"/>
          <w:sz w:val="20"/>
          <w:lang w:val="en-US" w:eastAsia="en-US" w:bidi="ar-SA"/>
        </w:rPr>
        <w:t>Brandt v. Volkswagen Group Canada Inc.</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2014 BCSC 2380</w:t>
        </w:r>
      </w:hyperlink>
      <w:r>
        <w:rPr>
          <w:rFonts w:ascii="arial" w:eastAsia="arial" w:hAnsi="arial" w:cs="arial"/>
          <w:color w:val="000000"/>
          <w:sz w:val="20"/>
          <w:lang w:val="en-US" w:eastAsia="en-US" w:bidi="ar-SA"/>
        </w:rPr>
        <w:t>, which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In my view, the period to be examined in determining the extent of the delay in the context of the first of the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factors is the period from the date that the plaintiff (or plaintiff's counsel) became aware of the need for the joinder application and the date of the joinder application. The court examines the period between the expiration of the limitation period plus the one year available for perfecting an action and the joinder application when considering the fourth of the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factors, namely whether a proposed defendant has been prejudiced by the delay: </w:t>
      </w:r>
      <w:r>
        <w:rPr>
          <w:rFonts w:ascii="arial" w:eastAsia="arial" w:hAnsi="arial" w:cs="arial"/>
          <w:i/>
          <w:color w:val="000000"/>
          <w:sz w:val="20"/>
          <w:lang w:val="en-US" w:eastAsia="en-US" w:bidi="ar-SA"/>
        </w:rPr>
        <w:t>McIntosh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Nilsson Bros. Inc.</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no evidence before me, other than the submissions of counsel at the case planning conference, that these breakage issues first came to the plaintiff's or its counsel's attention in January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proposed defendants point to the evidence that the IGUs were spontaneously cracking as early as in November 2013, although they appear to concede that external breakage was only discovered in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to prejudice, the proposed defendants submit that the expiry of the limitation period and the one-year thereafter results in a presumption of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argues that there is no prejudice to the proposed defendants, as they are all defendants in the live/work action and have been aware of the proposed claims since that action was commenced on December 15,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issue of prejudice was addressed in </w:t>
      </w:r>
      <w:r>
        <w:rPr>
          <w:rFonts w:ascii="arial" w:eastAsia="arial" w:hAnsi="arial" w:cs="arial"/>
          <w:i/>
          <w:color w:val="000000"/>
          <w:sz w:val="20"/>
          <w:lang w:val="en-US" w:eastAsia="en-US" w:bidi="ar-SA"/>
        </w:rPr>
        <w:t>Chouinard v. O'Connor</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2011 BCCA 161</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 agree that in considering the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factors, a chambers judge should consider only those matters that affect a defendant's ability to defend the case under the rubric "prejudice". Mere inconvenience or annoyance will not necessarily amount to prejudice.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the case before us, the chambers judge correctly identified certain factors that constituted genuine prejudice to the defendants - the disappearance of documents and the unavailability of witnesses. These factors, however, do not appear, in and of themselves, to have convinced the chambers judge to exercise his discretion against the plaintiff. The prejudice was not overwhelming. There was no finding that the witnesses who were unavailable were critical to the defence case. The documents that had been disposed of were of greater concern, but the defendants did not provide definitive evidence as to when the documents had been destroyed, nor was it clear that documents that were in the possession of the defendants would be incapable of filling the void left by documents that had been disposed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chambers judge was also troubled by the fact that the amendments would result in the defendants unfairly losing their trial date and having the litigation prolonged. The defendants had been diligent in pressing the matter on for trial, and presented considerable evidence of difficulties that would be caused by an adjournment. I agree with the appellant that none of these factors constituted "prejudice" in the narrow sense of that term.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 do not, however, agree with the appellant's contention that these various factors should have been ignored by the trial judge. Where a defendant has expended considerable effort to advance the litigation, and has taken steps to ensure that a trial will go ahead, it would be unfair to ignore hardship that the defendant would face as a result of additional delays and as a result of the addition of new causes of action after the expiry of the limitation period. This is particularly true when no compensation will be available to the defendant to mitigate the personal hardships that he or she must endure. While these factors do not constitute "prejudice" as that term is used in Teal Cedar, they are factors that the judge can take into account in determining whether it is "just and convenient" to allow a cause of action to be added after the expiry of the limitation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 do not wish to suggest that hardship and inconvenience for a defendant will be critical factors in deciding whether to allow a new cause of action to be pleaded after the expiry of the limitation period. In cases where these factors are present, however, they may play some role in considering the importance of the length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affidavit evidence from any of the proposed defendants. The prejudice they allege stems solely from the fact that they would be forced to participate in this action and face the claims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to the limitation period, if it is the breakage of the IGUs that founds the allegation of dangerous defect, arguably that could have been realized in November 2013 with the first spontaneous interior breakages.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relevant period would therefore be the two-year limitation and one year for service of the notice of civil claim, hence, November of 2016, and the limitation period would have expired and prejudice presumed.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If it is the external spontaneous breakage of the IGUs, and that came to counsel's attention in January 2019, then arguably the limitation period was postponed and no prejudice could be presumed.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note that all the proposed defendants have pleaded limitation defences in their responses to the notice of civil claim in the live/work action. All the proposed defendants were of the view that, if this application was allowed, their limitation defences should be preserved. That was also the alternative submission of the plaintiff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law in that regard is set out in </w:t>
      </w:r>
      <w:r>
        <w:rPr>
          <w:rFonts w:ascii="arial" w:eastAsia="arial" w:hAnsi="arial" w:cs="arial"/>
          <w:i/>
          <w:color w:val="000000"/>
          <w:sz w:val="20"/>
          <w:lang w:val="en-US" w:eastAsia="en-US" w:bidi="ar-SA"/>
        </w:rPr>
        <w:t>KPMG Inc. v. IMO Industries (Canada) Inc</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2008 BCCA 317</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Accordingly, I conclude that a chambers judge faced with an application to amend (which is otherwise proper), under Rule 24(1), and the </w:t>
      </w:r>
      <w:r>
        <w:rPr>
          <w:rFonts w:ascii="arial" w:eastAsia="arial" w:hAnsi="arial" w:cs="arial"/>
          <w:color w:val="000000"/>
          <w:sz w:val="20"/>
          <w:u w:val="single"/>
          <w:lang w:val="en-US" w:eastAsia="en-US" w:bidi="ar-SA"/>
        </w:rPr>
        <w:t>possible</w:t>
      </w:r>
      <w:r>
        <w:rPr>
          <w:rFonts w:ascii="arial" w:eastAsia="arial" w:hAnsi="arial" w:cs="arial"/>
          <w:color w:val="000000"/>
          <w:sz w:val="20"/>
          <w:lang w:val="en-US" w:eastAsia="en-US" w:bidi="ar-SA"/>
        </w:rPr>
        <w:t xml:space="preserve"> expiration of a limitation period in respect of the cause of action raised in the new pleading in circumstances where it would be inappropriate to decide that issue summarily, should ask herself this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Assuming that the limitation period has expired, in the exercise of my discretion under s. 4(4)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would I nevertheless permit the amendment?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If the answer is "yes", the proposed amendment should be allowed, pursuant to the reasoning in </w:t>
      </w:r>
      <w:r>
        <w:rPr>
          <w:rFonts w:ascii="arial" w:eastAsia="arial" w:hAnsi="arial" w:cs="arial"/>
          <w:i/>
          <w:color w:val="000000"/>
          <w:sz w:val="20"/>
          <w:lang w:val="en-US" w:eastAsia="en-US" w:bidi="ar-SA"/>
        </w:rPr>
        <w:t>Brito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(Guardian ad litem of) v. Wooley (1997)</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15 C.P.C. (4th) 255</w:t>
        </w:r>
      </w:hyperlink>
      <w:r>
        <w:rPr>
          <w:rFonts w:ascii="arial" w:eastAsia="arial" w:hAnsi="arial" w:cs="arial"/>
          <w:color w:val="000000"/>
          <w:sz w:val="20"/>
          <w:lang w:val="en-US" w:eastAsia="en-US" w:bidi="ar-SA"/>
        </w:rPr>
        <w:t xml:space="preserve"> (B.C.S.C.)]. If the answer is "no" (i.e. the loss of a limitation defence would cause such prejudice as would not permit the exercise of the s. 4(4) discretion in favour of the amendment) then the amendment should be allowed without prejudice to the defendant raising the limitation defence at trial. Such was the order in </w:t>
      </w:r>
      <w:r>
        <w:rPr>
          <w:rFonts w:ascii="arial" w:eastAsia="arial" w:hAnsi="arial" w:cs="arial"/>
          <w:i/>
          <w:color w:val="000000"/>
          <w:sz w:val="20"/>
          <w:lang w:val="en-US" w:eastAsia="en-US" w:bidi="ar-SA"/>
        </w:rPr>
        <w:t>287993 B.C. Ltd. v. Nanaimo (Regional District)</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2006 BCSC 1231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Strata Plan VR2000 v. Shaw</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(1998), 39 C.L.R. (2d) 87</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This process protects the interests of both parties in a case where it is not possible to resolve the limitations issue on the Rule 24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not possible on this application for me to determine if the limitation period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appropriate question then becomes, would the loss of the limitation defence cause such prejudice that I would not allow the amendment? If I allow the plaintiff's application, the proposed defendants will be in the anomalous position of having limitation defences pleaded in the live/work action that are not available to them in this action. That would place this plaintiff, which delayed in raising this cause of action, in a better position than the live/work plaintiff, which pleaded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original notice of civil claim. That, in my view, could lead to serious mischief in the litigation process and would prejudice the proposed defendants to the extent that I would not allow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After a consideration of all these factors, I conclude that it is just and convenient to allow the plaintiff's application, on condition that the amendments to the notice of civil claim are without prejudice to the proposed defendants' right to advance limitation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Given the somewhat mixed result, costs of this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L. MUIR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5"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Strata Plan LMS 4443 v. Travelers Guarantee Co. of Canada, [2013] B.C.J. No. 326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19-21,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S061301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326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2013 BCSC 296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[2013] I.L.R. I-5402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4443, Plaintiff, and Travelers Guarantee Company of Canada La Compagnie Travelers Garanite du Canada, Seagate Properties Ltd., 0599202 B.C. Ltd., Universal Polymers Inc., 0113426 B.C. Ltd., Atis Group Inc., John Doe No. 1, Metro-Can Construction Ltd. and 0600006 B.C. Ltd., Defendants, and Travelers Guarantee Company of Canada La Compagnie Travelers Garanite du Canada, Seagate Properties Ltd., 0600006 B.C. Ltd., formerly known as Metro-Can Construction (PV) Ltd., Buttjes Architecture Inc., Dirk Buttjes, 67219 B.C. Ltd., formerly known as Gordon Spratt &amp; Associates Ltd., MCW Consultants Ltd., Alba Installations Inc., 0113426 B.C. Ltd., formerly known as A.A.P. Windows Ltd., Allied Windows doing business as Allied Windows and Doors, a Division of Atis Group Inc., Concord Painting &amp; Wall Covering Ltd., East &amp; West Alumcraft Ltd., 0599202 B.C. Ltd., Sentrax Mechanical Contracting Ltd., Universal Polymers Inc., Southwest Rebar Inc., John Doe No. 2 ("Concrete Trade"), John Doe No. 3 ("Traffic Coating Trade"), Layton Consulting Ltd., Mark S. Layton, and The City of North Vancouver,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6"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0" w:name="Keywords_31"/>
      <w:bookmarkEnd w:id="330"/>
      <w:r>
        <w:rPr>
          <w:rFonts w:ascii="arial" w:eastAsia="arial" w:hAnsi="arial" w:cs="arial"/>
          <w:b/>
          <w:color w:val="000000"/>
          <w:sz w:val="20"/>
          <w:lang w:val="en-US" w:eastAsia="en-US" w:bidi="ar-SA"/>
        </w:rPr>
        <w:t>Civil litigation — Civil procedure — Trials — Summary trials — Availability — Application by plaintiff condominium owners for summary trial to determine whether proof of water penetration into building envelope by five-year anniversary of Warranty issued by defendant Travelers Guarantee was necessary for coverage dismissed — Plaintiff sued various defendants for building defect in condominium building — Court should not be asked to determine coverage under Warranty without all facts relating to application of Warranty to specific claims made by plaintiff — Determination of issue raised was unlikely to materially reduce trial time.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New home warranty plans — Warranty periods — Major structural defects — Application by plaintiff condominium owners for summary trial to determine whether proof of water penetration into building envelope by five-year anniversary of Warranty issued by defendant Travelers Guarantee was necessary for coverage dismissed — Plaintiff sued various defendants for building defect in condominium building — Court should not be asked to determine coverage under Warranty without all facts relating to application of Warranty to specific claims made by plaintiff — Determination of issue raised was unlikely to materially reduce trial time.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1" w:name="Case Summary_28"/>
            <w:bookmarkEnd w:id="33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condominium owners for summary trial to determine whether coverage for building envelope defects under the Warranty issued by the defendant Travelers Guarantee to the plaintiff was conditional on proof of water penetration into or through the building envelope of the plaintiff's condominium building by the five-year anniversary of the Warranty. The plaintiff alleged that the strata lots, common property, common facilities and other assets of the condominium had numerous building envelope defects resulting from faulty or improper materials, workmanship or design. In addition to claiming against Travelers as a warranty provider, the plaintiff also sought damages for breaches of warranties provided by other defendants and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multiple defendants involved in the design, construction, oversight and inspection of condominium building. The plaintiff argued that a summary determination of whether proof of water penetration into or through the building envelope by the five-year anniversary of the Warranty was necessary would assist in the resolution of this litigation by addressing an important coverage issue.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2" w:name="Holdings of Court_23"/>
            <w:bookmarkEnd w:id="33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seeking a partial interpretation of one of several warranties in issue in this litigation. A full appreciation of the building envelope performance requirements, and their interrelationship, as understood by the experts, would assist the court in interpreting the Warranty. Resolution of this conflict between the experts required the court to hear the experts' evidence tested by cross-examination. The issue raised on this application was intertwined with the interpretation and application of the Warranty as a whole, including its notice requirements. The Court should not be asked to make a determination regarding coverage under the Warranty in the absence of all of the facts relating to the application of the Warranty to the specific claims made by the plaintiff. The determination of the narrow issue raised on this application was unlikely to materially reduce the time required for the trial of this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3" w:name="Legislation Cited_26"/>
      <w:bookmarkEnd w:id="3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7"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Home Owner Protection Act, </w:t>
      </w:r>
      <w:hyperlink r:id="rId723" w:history="1">
        <w:r>
          <w:rPr>
            <w:rFonts w:ascii="arial" w:eastAsia="arial" w:hAnsi="arial" w:cs="arial"/>
            <w:i/>
            <w:color w:val="0077CC"/>
            <w:sz w:val="20"/>
            <w:u w:val="single"/>
            <w:shd w:val="clear" w:color="auto" w:fill="FFFFFF"/>
            <w:lang w:val="en-US" w:eastAsia="en-US" w:bidi="ar-SA"/>
          </w:rPr>
          <w:t>SBC 1998, CHAPTER 31, s. 22</w:t>
        </w:r>
      </w:hyperlink>
      <w:r>
        <w:rPr>
          <w:rFonts w:ascii="arial" w:eastAsia="arial" w:hAnsi="arial" w:cs="arial"/>
          <w:color w:val="000000"/>
          <w:sz w:val="20"/>
          <w:lang w:val="en-US" w:eastAsia="en-US" w:bidi="ar-SA"/>
        </w:rPr>
        <w:t>(2)(b)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Home Owner Protection Act Regulation, B.C. Reg. 24/99, s. 1(1) (d),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Act, RSBC 1996, CHAPTER 226, s. 189.1(3)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4" w:name="Counsel_32"/>
      <w:bookmarkEnd w:id="33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8"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John G. Mendes &amp; Sat D. Harwood.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Travelers Guarantee Company of Canada: D.L. Miachika.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5" w:name="Judgment_32"/>
      <w:bookmarkEnd w:id="335"/>
      <w:r>
        <w:pict>
          <v:line id="_x0000_s1189" style="position:absolute;z-index:25184563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6, 2013;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6" w:name="P.J. PEARLMAN J."/>
            <w:bookmarkEnd w:id="336"/>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the Owners, Strata Plan LMS 4443, applies pursuant to Rule 9-7 for an order declaring that coverage for building envelope defects under Part A, paragraph 2.1 of Home Warranty Insurance Certificate No. 75006691 (the "Warranty"), issued by the defendant, Travelers Guarantee Company of Canada ("Travelers") to the plaintiff is not conditional on proof of water penetration into or through the assemblies, components and materials comprising the building envelope of the plaintiff's condominium building by the five-year anniversary of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alternative, the plaintiff seeks an order declaring that, if coverage for building envelope defects under the Warranty issued by Travelers to the plaintiff is conditional on proof of water penetration into or through the building envelope of the plaintiff's condominium building by the five-year anniversary of the Warranty, then Travelers' duty to provide coverage extends to all areas of the building envelope where the defect is present, even if these other areas are not shown to be leaking by the five-year anniversary of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this "leaky condo" litigation, the plaintiff, in addition to claiming against Travelers as a warranty provider, also claim damages for breaches of warranties provided by other defendants and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multiple defendants involved in the design, construction, oversight and inspection of The Q condominium building. The plaintiff alleges that the strata lots, common property, common facilities and other assets of the condominium have numerous building envelope defects, including defects to the ducts, walls, concrete canopies, windows, glazed doors, balconies, decks and roofs, resulting from faulty or improper materials, workmanship and/or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paragraph 33 of its consolidated Notice of Civil Claim, the plaintiff pleads that the building envelope defects have caused property damage to the condominium and loss of use of the property to the owners due to structural deterioration and water ingress through and within the building envelope, as well as ongoing potential for such water ingress and structural deterioration. Particulars of property damage include:</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corrosion and damage to the reinforcing steel and steel studs;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staining and damage to the gypsum, drywall and drywall fasteners;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staining and damage to the ceilings, carpets, wood and interior walls and finishes;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corrosion and damage to the window fasteners roof drainage ring fasteners and parapet bolts;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door assemblies and balcony slab soffits;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the concrete wall assemblies and cold joints;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the sealant at the interfaces between balcony edges and window wall assemblies;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the self-adhered membrane at the window sills;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the assemblies within the brick clad walls;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the concrete slabs and base coat of the urethane membrane on the balconies;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and decreased life expectancy of the roofs and assemblies low-slope concrete assemblies, podium, water feature and other areas;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UV damage to the at-grade assembly membranes.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alleges that Travelers breached its 2-5-10 Warranty (which includes the five year building envelope warranty) by,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failing to repair the building envelope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claims that the defendant Metro-Can has breached the warranty it provided for construction defects, including defects that give rise to water leaks and/or mechanical failures, and that the defendants Universal Polymers Inc. and Peter Ross have breached their five-year warranty on the roofing and waterproof membrane installed on the roof decks and other low-slope surfaces of the condominium. In addition, the plaintiff pleads that the defendants Atis Group Inc. and Allied Windows have breached the warranty they provided for insulating glass units they manufactured, supplied or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also pleads that the defendants, including Travelers, knew or ought to have known before and after occupancy of the condominium that the building envelope defects and resulting damage would cause or contribute to a real and substantial danger to the condominium and that they breached the duty they owed to the plaintiff and owners to warn of the real and substantial danger posed by the building envelope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paragraph 86, the plaintiff pleads the following loss and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and Owners have suffered loss and damage by reason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duty of care, breach of the 2-5-10 warranty, breach of warranties, breach of the Contracts and breach of duty to warn, including: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investigating and repairing the Building Envelope Defects and Resultant Damage;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maintenance costs;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property management costs;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damage to the Owners' strata lots;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full use and enjoyment of the of the strata lots, common property, common facilities and other assets of the Condominium as a result of the Building Envelope Defects and Resultant Damage;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rental income as a result of the Building Envelope Defects and Resultant Damage;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living out expenses, calculated in accordance with the Regulation, Schedule 3, Section 7;</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financing costs;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depreciation in the market value of the Owners' interest in the strata lots, common property, common facilities and other assets of the Plaintiff;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loss and damage as may be proven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relief sought by the plaintiff in this action is as follows:</w:t>
      </w:r>
      <w:r>
        <w:rPr>
          <w:rFonts w:ascii="arial" w:eastAsia="arial" w:hAnsi="arial" w:cs="arial"/>
          <w:sz w:val="20"/>
          <w:lang w:val="en-US" w:eastAsia="en-US" w:bidi="ar-SA"/>
        </w:rPr>
        <w:cr/>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against the Defendants and each of them as follows for breach of warranty:</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Defendants are obligated to pay and make good to the Plaintiff and the Owners the loss and damage sustained by the Plaintiff and the Owners in accordance with the provisions of the 2-5-10 Warranty, Metro-Can (PV) Warranty, the UR-103 Warranty, the UR 5000-6000 Warranty, the 4000 HT Warranty, the Allied Five Year Warranty, the Allied One Year Warranty and the Allied Technical Specifications Warranty;</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 performance of the 2-5-10 Warranty, the Metro-Can (PV) Warranty, the UR-103 Warranty, the UR 5000-6000 Warranty, the 4000 HT Warranty, the Allied Five Year Warranty, the Allied One Year Warranty and the Allied Technical Specifications Warranty and general and special damages;</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general and special damages in lieu of specific performance; and</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general and special damages for breach of contract.</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against the Defendants and each of them for breach of contract and in tort for general and special damages.</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against the Defendants and each of them for:</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Court deems jus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submits that a summary determination of whether proof of water penetration into or through the building envelope by the five-year anniversary of the Warranty is necessary would assist in the resolution of this litigation by addressing an important coverage issue. Further, the plaintiff argues that the summary trial of this issue will have no impact on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against the other defendants. The plaintiff says if the issue is resolved in its favour, there will be some reduction in the time required for the trial of this action, and in the attendant costs of trial because the plaintiff will not be required to prove wide-spread water penetration throughout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submits there is no material conflict in the evidence that would prevent the court from making the findings of fact necessary to determine the issue arising on this application. According to the plaintiff, a summary disposition of the point of interpretation of the Warranty it has raised may assist settlement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merits, the plaintiff submits that coverage for defects to the building envelope under the Warranty should be interpreted broadly, in favour of the insured. The plaintiff says that defects in the building envelope include defects which permit unintended water penetration that causes, or is likely in the future to cause material damage to the new home. The plaintiff submits that coverage is not conditional upon proof of water penetration into the interior of the condominium building or into the building envelope by the expiry of the five-year deadline under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Travelers opposes the plaintiff's application on three grounds: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raised involves "litigating in slices" and is unsuitable for determination by summary trial;</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declaratory relief sought cannot be determined without consideration of the relevant factual matrix, which includes the actual claims submitted by the Owners and the resolution of disputed material facts, all of which requires a conventional trial;</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building envelope Warranty, properly construed, requires actual water penetration of the building envelope within the five- year term of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facts giving rise to this application are fairly summarized in the plaintiff's Notice of Application and the defendant's written submissions, both of which I have drawn upon in setting out the following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is a strata corporation whose members own a 13-storey concrete condominium building known as "The Q" located at 124 West 1st Street, in North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Seagate Properties Ltd. was the builder of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Travelers is a warranty provider under the </w:t>
      </w:r>
      <w:r>
        <w:rPr>
          <w:rFonts w:ascii="arial" w:eastAsia="arial" w:hAnsi="arial" w:cs="arial"/>
          <w:i/>
          <w:color w:val="000000"/>
          <w:sz w:val="20"/>
          <w:lang w:val="en-US" w:eastAsia="en-US" w:bidi="ar-SA"/>
        </w:rPr>
        <w:t>Home Owner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31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Home Owner Protection Act Regulation</w:t>
      </w:r>
      <w:r>
        <w:rPr>
          <w:rFonts w:ascii="arial" w:eastAsia="arial" w:hAnsi="arial" w:cs="arial"/>
          <w:color w:val="000000"/>
          <w:sz w:val="20"/>
          <w:lang w:val="en-US" w:eastAsia="en-US" w:bidi="ar-SA"/>
        </w:rPr>
        <w:t>, B.C. Reg. 24/99 (the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22(2)(b)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home warranty insurance for a new home must provide coverage for "defects in the building envelope, including defects resulting in water penetration, for a period of at least five years after the date on which the warranty begins".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Section of 8 of the Regulation provides that for the purposes of s. 189.1(3)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 home warranty insurance must provide the minimum standard of coverage set out in Schedule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Section 2 of Schedule 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year building envelope warranty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minimum coverage for the building envelope warranty is five years for defects in the building envelope of the new home including a defect which permits unintended water penetration such that it causes, or is likely to cause, material damage to the new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Under s. 1(1) of the Regulation,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Regulation, the following definitions apply: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"building envelope"</w:t>
      </w:r>
      <w:r>
        <w:rPr>
          <w:rFonts w:ascii="arial" w:eastAsia="arial" w:hAnsi="arial" w:cs="arial"/>
          <w:color w:val="000000"/>
          <w:sz w:val="20"/>
          <w:lang w:val="en-US" w:eastAsia="en-US" w:bidi="ar-SA"/>
        </w:rPr>
        <w:t xml:space="preserve"> means the assemblies, components and materials of a new home which are intended to separate and protect the interior space of the new home from the adverse affects of any exterior climatic conditions;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"defect"</w:t>
      </w:r>
      <w:r>
        <w:rPr>
          <w:rFonts w:ascii="arial" w:eastAsia="arial" w:hAnsi="arial" w:cs="arial"/>
          <w:color w:val="000000"/>
          <w:sz w:val="20"/>
          <w:lang w:val="en-US" w:eastAsia="en-US" w:bidi="ar-SA"/>
        </w:rPr>
        <w:t xml:space="preserve"> means any design or construction, that is contrary to the building code or that requires repair or replacement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residential builder or person for whom the residential builder is responsible at law;</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"defects in the building envelope"</w:t>
      </w:r>
      <w:r>
        <w:rPr>
          <w:rFonts w:ascii="arial" w:eastAsia="arial" w:hAnsi="arial" w:cs="arial"/>
          <w:color w:val="000000"/>
          <w:sz w:val="20"/>
          <w:lang w:val="en-US" w:eastAsia="en-US" w:bidi="ar-SA"/>
        </w:rPr>
        <w:t xml:space="preserve"> means defects that result in the failure of the building envelope to perform its intended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Section 189.1(3)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mandates home warranty insurance coverage at least equal to the minimum standards set out in the Regulation and provides that if the home warranty insurance does not meet the prescribed minimum coverage, the coverage provided in the relevant provisions of the contract is deemed to be replaced by the prescribed minimum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June 1, 2001, following completion of the construction of The Q, Allied Windows issued a 2/5/12 warranty for the exterior windows, doors and related components manufactured and supplied by Allied.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June 30, 2001, Universal and Peter Ross issued a five-year joint warranty on the roofing, deck and balcony waterproof membranes of The 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July 5, 2001, Travelers issued a 2/5/10 Home Warranty Certificate (the "Warranty") covering common property at The Q. The Warranty covered certain building envelope defects from July 5, 2001 to July 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Paragraph 2.1 of the Warranty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This Warranty provides coverage for the Building Envelope for up to five years for </w:t>
      </w:r>
      <w:r>
        <w:rPr>
          <w:rFonts w:ascii="arial" w:eastAsia="arial" w:hAnsi="arial" w:cs="arial"/>
          <w:i/>
          <w:color w:val="000000"/>
          <w:sz w:val="20"/>
          <w:lang w:val="en-US" w:eastAsia="en-US" w:bidi="ar-SA"/>
        </w:rPr>
        <w:t>Defects</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Building Envelope</w:t>
      </w:r>
      <w:r>
        <w:rPr>
          <w:rFonts w:ascii="arial" w:eastAsia="arial" w:hAnsi="arial" w:cs="arial"/>
          <w:color w:val="000000"/>
          <w:sz w:val="20"/>
          <w:lang w:val="en-US" w:eastAsia="en-US" w:bidi="ar-SA"/>
        </w:rPr>
        <w:t xml:space="preserve"> of a New Home including a Defect which permits unintended water penetration such that it causes or is likely to cause, Material Damage to the New Home.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following terms of the Warranty are also relevant to the plaintiffs' claims for alleged defects in the building envelope: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NOTICE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Within a reasonable time after the discovery of a Defect an before the Expiry Date of the applicable Warranty coverage, an Owner must give </w:t>
            </w:r>
            <w:r>
              <w:rPr>
                <w:rFonts w:ascii="arial" w:eastAsia="arial" w:hAnsi="arial" w:cs="arial"/>
                <w:i/>
                <w:color w:val="000000"/>
                <w:sz w:val="18"/>
                <w:lang w:val="en-US" w:eastAsia="en-US" w:bidi="ar-SA"/>
              </w:rPr>
              <w:t>St. Paul Guarantee</w:t>
            </w:r>
            <w:r>
              <w:rPr>
                <w:rFonts w:ascii="arial" w:eastAsia="arial" w:hAnsi="arial" w:cs="arial"/>
                <w:color w:val="000000"/>
                <w:sz w:val="18"/>
                <w:lang w:val="en-US" w:eastAsia="en-US" w:bidi="ar-SA"/>
              </w:rPr>
              <w:t xml:space="preserve"> and the Builder written notice in reasonable detail that provides particulars of any specific alleged Defects which may be covered by the Warranty.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obligations of St. Paul Guarantee absolutely cease unless: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 notice is given to St. Paul Guarantee of a claim prior to the Expiry date.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 DEFINITIONS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941"/>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92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"Building Envelope"</w:t>
            </w:r>
            <w:r>
              <w:rPr>
                <w:rFonts w:ascii="arial" w:eastAsia="arial" w:hAnsi="arial" w:cs="arial"/>
                <w:color w:val="000000"/>
                <w:sz w:val="18"/>
                <w:lang w:val="en-US" w:eastAsia="en-US" w:bidi="ar-SA"/>
              </w:rPr>
              <w:t xml:space="preserve"> means the assemblies, components and materials of a new home which are intended to separate and protect the interior space of the New Home from the adverse affects of exterior climatic conditions. Interior space of the new home includes all material not directly exposed to exterior climatic conditions. Exterior climatic conditions means the direct affect of weather on the above-grade portion of the New Home.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92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"Defect"</w:t>
            </w:r>
            <w:r>
              <w:rPr>
                <w:rFonts w:ascii="arial" w:eastAsia="arial" w:hAnsi="arial" w:cs="arial"/>
                <w:color w:val="000000"/>
                <w:sz w:val="18"/>
                <w:lang w:val="en-US" w:eastAsia="en-US" w:bidi="ar-SA"/>
              </w:rPr>
              <w:t xml:space="preserve"> means any design or construction that is contrary to the Building Code or that requires repair or replacement due to the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of a Builder or person for whom the Builder is responsible at law;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732"/>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1.16</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"Material Damage"</w:t>
            </w:r>
            <w:r>
              <w:rPr>
                <w:rFonts w:ascii="arial" w:eastAsia="arial" w:hAnsi="arial" w:cs="arial"/>
                <w:color w:val="000000"/>
                <w:sz w:val="18"/>
                <w:lang w:val="en-US" w:eastAsia="en-US" w:bidi="ar-SA"/>
              </w:rPr>
              <w:t xml:space="preserve"> means damage which materially and adversely affects the use of the New Home for residential occupancy;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the plaintiff submits that the building envelope Warranty should be construed on the principles of interpretation applicable to insurance policies, Travelers contends that where, as here, the terms of the contract are mandated by legislation, the Warranty should be interpreted by application of the rules of statutory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October 4, 2002, the 15-month coverage in the Warranty for defects and materials and labour expired without the plaintiff having delivered any prior Notices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July 4, 2003, two-year coverage for defects and materials and labour for exterior cladding, caulking, windows and doors expired. Again, the plaintiff had delivered no Notices of Claim prior to the expiry of this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June 8, 2005, the plaintiff and owners delivered a Request for Claims Adjustment to Travelers ("2005 Notice of Claim") by which they advised of alleged defects in the building envelope at 10 locations that "have permitted water to enter to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July 11, 2005, Travelers, after conducting an inspection at The Q, issued a Claims Adjustment Report in response to the 2005 Notice of Claim by which it undertook to effect repairs at the five locations where Travelers identified active water penetration. Those repairs were completed by March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February 26, 2006, the plaintiff filed a Writ of Summons to commence this action against the defendants Seagate Properties Ltd., Metro-Can Construction Ltd. and Travelers.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July 4, 2006, the plaintiff and owners delivered a second Request for Claims Adjustment to Travelers (the "2006 Notice of Claim") advising of claimed defects in the building envelope which "are permitting water penetration of the building envelope which is causing and has caused damage to the common property and strata lots ...". By their 2006 Notice of Claim, the Owners advised Travelers that further particulars of the defects were set out in two reports of RDH Building Engineering Ltd. dated October 28, 2005 and June 27,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five-year coverage for the building envelope warranty expired on July 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November 2006, Travelers conducted inspections of The Q in response to the 2006 Notice of Claim but determined that it did not have sufficient particulars of the alleged water penetration to complete its investigations. Between February 20, 2007 and August 14, 2007, Travelers wrote to the plaintiff's lawyer requesting particulars of any actual water penetration, including a description, particular locations and supporting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September 7, 2007, Travelers received correspondence from the plaintiff's lawyer advising of water penetration at the penthouse unit of The Q. Travelers received no further particulars of actual water penetration.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October 22, 2007, after conducting a further inspection of The Q, Travelers wrote to the plaintiff's lawyer to advise that one of the alleged water damaged defects of the penthouse was due to faulty mechanical equipment, which was excluded from coverage under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December 7, 2007, Travelers issued a Claims Adjustment Report in response to the 2006 Notice of Claim. Travelers acknowledged that there were two areas of water penetration at the penthouse covered under the Warranty but maintained that none of the defects alleged in the 2006 Notice of Claim fell within the building envelope or structural defects warranty coverage. In its Claims Adjustment Report, Travelers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Travelers Guarantee was unable to identify any Defects in the Building Envelope, including Defects permitting unintended water penetration causing or likely to cause Material Damage to the New Home. Some of the items in the RDH reports may have been considered under the 15-month coverage for Materials and Labour Warranty, but that coverage expired well in advance of the Strata's notice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February 2009, Travelers repaired the areas of water ingress identified in the penthouse and performed flood testing to confirm no further water penetration.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July 4, 2011, the plaintiff delivered a Notice of Warranty claim to Travelers alleging Structural Defects accompanied by an RDH report dated June 30, 2011 which provided particulars of the alleged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October 24, 2011, the plaintiff filed its consolidated Notice of Civil Claim in this action against all defendants it had named in two prior actions for damages and other relief relating to the design and construction of The 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June 15, 2012, the plaintiff delivered an RDH Roof Review report to Travelers alleging extensive defects in all waterproof membranes and estimating repair costs of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has delivered expert reports from RDH estimating the total cost for all of the repair and remediation work recommended by RDH at $1.87 million, of which $1.75 million is for the alleged building envelope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yet, the plaintiff has not undertaken any of the maintenance or repair work recommended by RDH in the reports it has provided since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This action is scheduled for trial for 59 days commencing March 11,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SUITABILITY FOR DISPOSITION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applicable provisions of Rule 9-7 are as follows:</w:t>
      </w:r>
      <w:r>
        <w:rPr>
          <w:rFonts w:ascii="arial" w:eastAsia="arial" w:hAnsi="arial" w:cs="arial"/>
          <w:sz w:val="20"/>
          <w:lang w:val="en-US" w:eastAsia="en-US" w:bidi="ar-SA"/>
        </w:rPr>
        <w:cr/>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heard before or at the same time as the hearing of a summary trial application, the court may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adjourn the summary trial application, or</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summary trial application on the ground that</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summary trial application are not suitable for disposition under this rule, or</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summary trial application will not assist the efficient resolution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impose terms respecting enforcement of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judgment, including a stay of execution, and</w:t>
      </w:r>
      <w:r>
        <w:rPr>
          <w:rFonts w:ascii="arial" w:eastAsia="arial" w:hAnsi="arial" w:cs="arial"/>
          <w:sz w:val="20"/>
          <w:lang w:val="en-US" w:eastAsia="en-US" w:bidi="ar-SA"/>
        </w:rPr>
        <w:cr/>
      </w:r>
    </w:p>
    <w:p>
      <w:pPr>
        <w:numPr>
          <w:numId w:val="4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factors for the court to consider in determining whether a summary trial is suitable were summarized by Mr. Justice Masuhara in </w:t>
      </w:r>
      <w:r>
        <w:rPr>
          <w:rFonts w:ascii="arial" w:eastAsia="arial" w:hAnsi="arial" w:cs="arial"/>
          <w:i/>
          <w:color w:val="000000"/>
          <w:sz w:val="20"/>
          <w:lang w:val="en-US" w:eastAsia="en-US" w:bidi="ar-SA"/>
        </w:rPr>
        <w:t>RC Hotel Ventures Ltd. v. Meristar Sub 2C, L.L.C.</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2008 BCSC 918</w:t>
        </w:r>
      </w:hyperlink>
      <w:r>
        <w:rPr>
          <w:rFonts w:ascii="arial" w:eastAsia="arial" w:hAnsi="arial" w:cs="arial"/>
          <w:color w:val="000000"/>
          <w:sz w:val="20"/>
          <w:lang w:val="en-US" w:eastAsia="en-US" w:bidi="ar-SA"/>
        </w:rPr>
        <w:t xml:space="preserve">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There are various factors in the authorities that have been considered as to whether a summary trial is suitable. They include: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should be reluctant to decide isolated issues in the absence of a full factual matrix and should not decide issues on the basis of assumed facts.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court may in certain circumstances resolve issues and find facts in the face of conflicting evidence, it should be reluctant to do so where there are direct conflicts in affidavit evidence, the resolution of which will require findings with respect to credibility.</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should be reluctant to resolve factual issues in the absence of admissible evidence where such evidence may well be tendered in admissible form at a subsequent trial.</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should be reluctant to "slice off" and decide isolated issues and circumstances where resolution of those issues will not resolve the litigation or will only resolve the litigation if answered in a particular way. In such circumstances, the 18A applicant will be required to demonstrate and the court expected to decide that the administration of justice including the orderly and effective use of court time will be enhanced by dealing with the separate issue brought forth by the applicant.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will not suitable for resolution by Rule 18A where resolution of a particular issue or issues in the summary trial will require that the court make findings or rulings which will impact on parties or issues which are not before the court on the application. In particular, the court hearing the summary trial must not decide the issues on the basis of facts which might be inconsistent with the findings of the judge at trial.</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some cases, the complexity of the issues raised or the volume of the material before the court may be such that the matter is unsuitable for resolution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Owners, Strata Plan VIS 3815 v. Polo Pacific</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2003 BCSC 1811</w:t>
        </w:r>
      </w:hyperlink>
      <w:r>
        <w:rPr>
          <w:rFonts w:ascii="arial" w:eastAsia="arial" w:hAnsi="arial" w:cs="arial"/>
          <w:color w:val="000000"/>
          <w:sz w:val="20"/>
          <w:lang w:val="en-US" w:eastAsia="en-US" w:bidi="ar-SA"/>
        </w:rPr>
        <w:t>, Mr. Justice Macaulay dismissed the summary trial application of one of several defendants for dismissal of a "leaky condo" claim. Even though there were no material conflicts in the affidavit evidence, the court concluded that it would unjust to summarily determine the issue without a conventional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paras. 33, 34 and 40,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It would be dangerous, in my opinion, to form final conclusions about the specific nature of the alleged involvement of Swiftsure in the project without hearing viva voce evidence from as many of the significant players as possible. To this point, there is no evidence from James Duncan, Dave Vidalin or Bruce McLay.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full factual matrix will assist in determining what role, if any, each defendant played in relation to the design, construction and marketing of the project. To decide the role of one defendant relative to the others as a slice of the litigation would be to walk uncharted territory without a map. The danger is heightened in the present case because Mr. Young would probably be required to testify at the trial involving the remaining defendants even if he succeeded on the Rule 18A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Even where the summary judgment application involves an apparently discrete issue such as the interpretation of a written agreement, there may be a need to consider the factual matrix which formed the background to the agreement that can only be explored at a full trial. This is another indication that factually complex cases are often not well suited to the summary trial procedure. In my view, this is particularly so where the applicant is one of several defendants. The Court of Appeal affirmed these principles some time ago in </w:t>
      </w:r>
      <w:r>
        <w:rPr>
          <w:rFonts w:ascii="arial" w:eastAsia="arial" w:hAnsi="arial" w:cs="arial"/>
          <w:i/>
          <w:color w:val="000000"/>
          <w:sz w:val="20"/>
          <w:lang w:val="en-US" w:eastAsia="en-US" w:bidi="ar-SA"/>
        </w:rPr>
        <w:t>Cannaday v. Sun Peaks Resort Corp.</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[1998] B.C.J. No. 85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Polo Pacific</w:t>
      </w:r>
      <w:r>
        <w:rPr>
          <w:rFonts w:ascii="arial" w:eastAsia="arial" w:hAnsi="arial" w:cs="arial"/>
          <w:color w:val="000000"/>
          <w:sz w:val="20"/>
          <w:lang w:val="en-US" w:eastAsia="en-US" w:bidi="ar-SA"/>
        </w:rPr>
        <w:t xml:space="preserve"> claimed against Swiftsure as the promoter of the condominium project. Those claims included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construction and development of the condominium and negligent misrepresentation in marketing the project that were similar to the plaintiff's claims made against the developer. Swiftsure had also raised legal issues relating to the entitlement of the owners to sue in a representative capacity which affected other parties who did not participate in the summary trial hearing. Mr. Justice Macaulay concluded that it would be wrong to decide those issues without hearing from all parties and that it would be unjust to make the findings of fact necessary to resolve Swiftsure's application for summary dismissal of the plaintiff's claim without the full factual matrix.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Polo Pacific</w:t>
      </w:r>
      <w:r>
        <w:rPr>
          <w:rFonts w:ascii="arial" w:eastAsia="arial" w:hAnsi="arial" w:cs="arial"/>
          <w:color w:val="000000"/>
          <w:sz w:val="20"/>
          <w:lang w:val="en-US" w:eastAsia="en-US" w:bidi="ar-SA"/>
        </w:rPr>
        <w:t>, the court concluded that a conventional trial and the presentation of the full factual matrix would assist the court in understanding the role of each defendant in the project and that it would be dangerous to make a final determination by summary trial about the alleged involvement of one defendant without a full understanding of the respective roles of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Coast Foundation v. Currie</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the defendant architects applied for summary trial on the issue of whether a contractual limitation clause barred some of the plaintiff's claims against them. At paras. 13 through 18, Mr. Justice Groberman, as he then was, discussed factors for the court to take into account when considering whether to give judgment by summary trial on a single issue. The court referred to the need for caution, particularly where the issue on a summary trial application is intertwined with other issues left for determination at trial. Although the primary purpose of Rule 9-7 is the efficient resolution of disputes, where the summary determination of an issue will not assist in the efficient resolution of the dispute, the court ought not to proceed by summary trial (at paras. 15 and 16). Gauging the efficiency of the summary trial process involves both a consideration of the allocation of the court's own resources and the efficiency of "piece-meal decision-making" which raises the possibility of appeals on individual issues that may impede rather than advance the orderly determination of the action (at paras. 17 and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Coast Foundation v. Currie</w:t>
      </w:r>
      <w:r>
        <w:rPr>
          <w:rFonts w:ascii="arial" w:eastAsia="arial" w:hAnsi="arial" w:cs="arial"/>
          <w:color w:val="000000"/>
          <w:sz w:val="20"/>
          <w:lang w:val="en-US" w:eastAsia="en-US" w:bidi="ar-SA"/>
        </w:rPr>
        <w:t xml:space="preserve">, although the court concluded it had sufficient evidence to determine the limitation issue presented by the architects and that the issue was not so closely related to other issues that it could not be decided in isolation, it was not convinced that the summary determination of the limitation issue would assist in the efficient resolution of the dispute. The court found there would be no reduction in the evidence presented at trial. Further, due to the importance of the limitation issue it was highly likely there would be an appeal resulting in postponement of the trial. Nor was the court persuaded that summary determination of the limitation issue would facilitate settlement. In the result, the court concluded that determination of the limitation issue by summary trial would not assist in the efficient resolution of the proceeding and that it would unjust to decide the limitation issue under Rule 18A of the former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Conversely, in </w:t>
      </w:r>
      <w:r>
        <w:rPr>
          <w:rFonts w:ascii="arial" w:eastAsia="arial" w:hAnsi="arial" w:cs="arial"/>
          <w:i/>
          <w:color w:val="000000"/>
          <w:sz w:val="20"/>
          <w:lang w:val="en-US" w:eastAsia="en-US" w:bidi="ar-SA"/>
        </w:rPr>
        <w:t>Board of School Trustees et al v. Killick Metz Bowen Rose Architects and Planners et al</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2007 BCSC 28</w:t>
        </w:r>
      </w:hyperlink>
      <w:r>
        <w:rPr>
          <w:rFonts w:ascii="arial" w:eastAsia="arial" w:hAnsi="arial" w:cs="arial"/>
          <w:color w:val="000000"/>
          <w:sz w:val="20"/>
          <w:lang w:val="en-US" w:eastAsia="en-US" w:bidi="ar-SA"/>
        </w:rPr>
        <w:t xml:space="preserve">, where the defendant architects applied for summary trial on the issue of whether the plaintiff School Board's claim was barred by the limitation period in the contract made between the School Board and the architects, the court found that it would not be unjust to resolve that issue by summary trial. The litigation was still in its early stages. If the court found that the architect was not liable to the School Board, fewer issues would proceed to trial. The court distinguished </w:t>
      </w:r>
      <w:r>
        <w:rPr>
          <w:rFonts w:ascii="arial" w:eastAsia="arial" w:hAnsi="arial" w:cs="arial"/>
          <w:i/>
          <w:color w:val="000000"/>
          <w:sz w:val="20"/>
          <w:lang w:val="en-US" w:eastAsia="en-US" w:bidi="ar-SA"/>
        </w:rPr>
        <w:t>Coast Foundation</w:t>
      </w:r>
      <w:r>
        <w:rPr>
          <w:rFonts w:ascii="arial" w:eastAsia="arial" w:hAnsi="arial" w:cs="arial"/>
          <w:color w:val="000000"/>
          <w:sz w:val="20"/>
          <w:lang w:val="en-US" w:eastAsia="en-US" w:bidi="ar-SA"/>
        </w:rPr>
        <w:t xml:space="preserve">, where resolution of the limitation issue was likely to result in the postponement of the trial. In </w:t>
      </w:r>
      <w:r>
        <w:rPr>
          <w:rFonts w:ascii="arial" w:eastAsia="arial" w:hAnsi="arial" w:cs="arial"/>
          <w:i/>
          <w:color w:val="000000"/>
          <w:sz w:val="20"/>
          <w:lang w:val="en-US" w:eastAsia="en-US" w:bidi="ar-SA"/>
        </w:rPr>
        <w:t>Board of School Trustees v. Killick Metz Bowen Rose Architects and Planners Inc.</w:t>
      </w:r>
      <w:r>
        <w:rPr>
          <w:rFonts w:ascii="arial" w:eastAsia="arial" w:hAnsi="arial" w:cs="arial"/>
          <w:color w:val="000000"/>
          <w:sz w:val="20"/>
          <w:lang w:val="en-US" w:eastAsia="en-US" w:bidi="ar-SA"/>
        </w:rPr>
        <w:t xml:space="preserve">, no trial date had been scheduled and it was likely that any appeals could be resolved before the trial date. Further, in </w:t>
      </w:r>
      <w:r>
        <w:rPr>
          <w:rFonts w:ascii="arial" w:eastAsia="arial" w:hAnsi="arial" w:cs="arial"/>
          <w:i/>
          <w:color w:val="000000"/>
          <w:sz w:val="20"/>
          <w:lang w:val="en-US" w:eastAsia="en-US" w:bidi="ar-SA"/>
        </w:rPr>
        <w:t>Board of School Trustees</w:t>
      </w:r>
      <w:r>
        <w:rPr>
          <w:rFonts w:ascii="arial" w:eastAsia="arial" w:hAnsi="arial" w:cs="arial"/>
          <w:color w:val="000000"/>
          <w:sz w:val="20"/>
          <w:lang w:val="en-US" w:eastAsia="en-US" w:bidi="ar-SA"/>
        </w:rPr>
        <w:t xml:space="preserve">, the plaintiff's claims against the defendant architects were based solely on the contract between those parties. In </w:t>
      </w:r>
      <w:r>
        <w:rPr>
          <w:rFonts w:ascii="arial" w:eastAsia="arial" w:hAnsi="arial" w:cs="arial"/>
          <w:i/>
          <w:color w:val="000000"/>
          <w:sz w:val="20"/>
          <w:lang w:val="en-US" w:eastAsia="en-US" w:bidi="ar-SA"/>
        </w:rPr>
        <w:t>Coast Foundation</w:t>
      </w:r>
      <w:r>
        <w:rPr>
          <w:rFonts w:ascii="arial" w:eastAsia="arial" w:hAnsi="arial" w:cs="arial"/>
          <w:color w:val="000000"/>
          <w:sz w:val="20"/>
          <w:lang w:val="en-US" w:eastAsia="en-US" w:bidi="ar-SA"/>
        </w:rPr>
        <w:t xml:space="preserve">, the plaintiff, in addition to claiming against the architects for breach of contract, also alleged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a duty to inspect that were entirely independent of the architect's contractual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Here, the application is brought by the plaintiff, rather than by a single defendant seeking to extricate itself from multi party litigation, as was the case in </w:t>
      </w:r>
      <w:r>
        <w:rPr>
          <w:rFonts w:ascii="arial" w:eastAsia="arial" w:hAnsi="arial" w:cs="arial"/>
          <w:i/>
          <w:color w:val="000000"/>
          <w:sz w:val="20"/>
          <w:lang w:val="en-US" w:eastAsia="en-US" w:bidi="ar-SA"/>
        </w:rPr>
        <w:t>Polo Pacific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Coast Foundation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Board of School Trustees</w:t>
      </w:r>
      <w:r>
        <w:rPr>
          <w:rFonts w:ascii="arial" w:eastAsia="arial" w:hAnsi="arial" w:cs="arial"/>
          <w:color w:val="000000"/>
          <w:sz w:val="20"/>
          <w:lang w:val="en-US" w:eastAsia="en-US" w:bidi="ar-SA"/>
        </w:rPr>
        <w:t>. However, caution is still required in determining whether the single issue raised on this application is suitable for summary disposition. The plaintiff is seeking a partial interpretation of one of several warranties in issue in this litigation. It asks the court to determine one aspect of coverage under the Warranty without hearing all of the evidence relating to the defects alleged, and without making any findings about whether the plaintiff has satisfied the reporting requirements of the Warranty for the various defects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Conflicts in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expert, Mr. Knowles, and the defendant's expert, Mr. Gallant, have given conflicting affidavit evidence on the scope and cost of the investigation required to determine the extent of water penetration into The Q's building envelope. Mr. Knowles has deposed that it would cost $400,000 to identify and document every location where water has penetrated into or through the building envelope. For his part, Mr. Gallant has opined that a prudent building envelope professional would be able to document and identify water penetration and resulting damage into or through the building envelope by a reasonably representative program of testing for under $35,000. Mr. Knowles has provided an estimate based on comprehensive testing throughout the building, while Mr. Gallant's estimate is based on selective sampling. This conflict is one the court could resolve on the material filed, and would not preclude the summary determination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experts also disagree on whether cracking in the exterior concrete walls constitutes a defect in the building envelope. Resolution of that conflict is not required in order to determine the issue raised on this application - whether the plaintiff must prove before the expiry of the five year term of the Warranty that water has penetrated through the building envelope and into a home as a necessary condition for coverage under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As we have seen, under Part K of the Warranty, "defect" means "any design or construction that is contrary to the Building Code or that requires repair or replacement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builder or person for whom the Builder is responsible at law." Mr. Gallant has deposed that in order for the Building Code provisions relating to the adverse affects of precipitation to be breached, there must be actual water penetration into or through the building envelope:</w:t>
      </w:r>
      <w:r>
        <w:rPr>
          <w:rFonts w:ascii="arial" w:eastAsia="arial" w:hAnsi="arial" w:cs="arial"/>
          <w:sz w:val="20"/>
          <w:lang w:val="en-US" w:eastAsia="en-US" w:bidi="ar-SA"/>
        </w:rPr>
        <w:cr/>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Overall, when addressing concerns about the adverse affects of precipitation, the Building Code requires there to be actual water penetration into or through the building envelope assemblies or components before there is a potential contravention of the Code. Further, the Building Code anticipates and permits some degree of water ingress into or through the building envelope, provided that the extent of damage is not significant and it does not adversely affect the health and safety of the occupants nor the intended use/operation of the building.</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example, Building Code Section 5.6.1.1 sets out the required protection from precipitation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5.6.1.1.(1) Except as provided in Sentence (2), where a </w:t>
      </w:r>
      <w:r>
        <w:rPr>
          <w:rFonts w:ascii="arial" w:eastAsia="arial" w:hAnsi="arial" w:cs="arial"/>
          <w:i/>
          <w:color w:val="000000"/>
          <w:sz w:val="20"/>
          <w:lang w:val="en-US" w:eastAsia="en-US" w:bidi="ar-SA"/>
        </w:rPr>
        <w:t>building</w:t>
      </w:r>
      <w:r>
        <w:rPr>
          <w:rFonts w:ascii="arial" w:eastAsia="arial" w:hAnsi="arial" w:cs="arial"/>
          <w:color w:val="000000"/>
          <w:sz w:val="20"/>
          <w:lang w:val="en-US" w:eastAsia="en-US" w:bidi="ar-SA"/>
        </w:rPr>
        <w:t xml:space="preserve"> component or assembly is exposed to precipitation, the component or assembly shall:</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minimize ingress of precipitation into the component or assembly; and</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 ingress of precipitation into interior space.</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Protection from ingress of precipitation is not required where it can be shown that such ingress will not adversely affect any of:</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health or safety of </w:t>
      </w:r>
      <w:r>
        <w:rPr>
          <w:rFonts w:ascii="arial" w:eastAsia="arial" w:hAnsi="arial" w:cs="arial"/>
          <w:i/>
          <w:color w:val="000000"/>
          <w:sz w:val="20"/>
          <w:lang w:val="en-US" w:eastAsia="en-US" w:bidi="ar-SA"/>
        </w:rPr>
        <w:t>building</w:t>
      </w:r>
      <w:r>
        <w:rPr>
          <w:rFonts w:ascii="arial" w:eastAsia="arial" w:hAnsi="arial" w:cs="arial"/>
          <w:color w:val="000000"/>
          <w:sz w:val="20"/>
          <w:lang w:val="en-US" w:eastAsia="en-US" w:bidi="ar-SA"/>
        </w:rPr>
        <w:t xml:space="preserve"> users,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intended use of the </w:t>
      </w:r>
      <w:r>
        <w:rPr>
          <w:rFonts w:ascii="arial" w:eastAsia="arial" w:hAnsi="arial" w:cs="arial"/>
          <w:i/>
          <w:color w:val="000000"/>
          <w:sz w:val="20"/>
          <w:lang w:val="en-US" w:eastAsia="en-US" w:bidi="ar-SA"/>
        </w:rPr>
        <w:t>building</w:t>
      </w:r>
      <w:r>
        <w:rPr>
          <w:rFonts w:ascii="arial" w:eastAsia="arial" w:hAnsi="arial" w:cs="arial"/>
          <w:color w:val="000000"/>
          <w:sz w:val="20"/>
          <w:lang w:val="en-US" w:eastAsia="en-US" w:bidi="ar-SA"/>
        </w:rPr>
        <w:t>, or;</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operation of </w:t>
      </w:r>
      <w:r>
        <w:rPr>
          <w:rFonts w:ascii="arial" w:eastAsia="arial" w:hAnsi="arial" w:cs="arial"/>
          <w:i/>
          <w:color w:val="000000"/>
          <w:sz w:val="20"/>
          <w:lang w:val="en-US" w:eastAsia="en-US" w:bidi="ar-SA"/>
        </w:rPr>
        <w:t>building</w:t>
      </w:r>
      <w:r>
        <w:rPr>
          <w:rFonts w:ascii="arial" w:eastAsia="arial" w:hAnsi="arial" w:cs="arial"/>
          <w:color w:val="000000"/>
          <w:sz w:val="20"/>
          <w:lang w:val="en-US" w:eastAsia="en-US" w:bidi="ar-SA"/>
        </w:rPr>
        <w:t xml:space="preserve">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noted above, the provisions in the Building Code which deal with moisture or water penetration from exterior sources, all require at a minimum that there be actual water penetration into or through the building envelope assemblies or components. Even in that circumstance, some degree of water penetration is anticipated and permissible without being a breach of the Building Code. Absent actual water ingress or penetration into or through the building envelope assemblies coupled with material damage, in my opinion, there cannot be a breach of the corresponding Building Code provisions and the building envelope is meeting its intended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submit that Mr. Gallant failed to take into account the durability provisions of the Building Code, which are addressed by the plaintiff's expert, Mr. Knowles, at paragraphs 55 and 56 of his affidavit:</w:t>
      </w:r>
      <w:r>
        <w:rPr>
          <w:rFonts w:ascii="arial" w:eastAsia="arial" w:hAnsi="arial" w:cs="arial"/>
          <w:sz w:val="20"/>
          <w:lang w:val="en-US" w:eastAsia="en-US" w:bidi="ar-SA"/>
        </w:rPr>
        <w:cr/>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both the costs of repair along with the risks to health and safety, building envelopes, such as those at The Q, should be designed and constructed in accordance with the building code and in a durable manner. Premature water ingress commencing after five years can result in damage and adversely affect durability.</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meet its intended function, a building envelope must be able to meet a variety of performance requirements. Those performance requirements include the control of rain penetration, condensation, vapour flow, heat flow and air flow. In addition, the performance requirements include durability. The performance requirements originate from the need to provide environmental separation. Therefore, the building envelope may not be performing its intended function or comply with the building code even if there is no unintended water penetration.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 full appreciation of the building envelope performance requirements, and their interrelationship, as understood by the experts, will assist the court in interpreting the Warranty. In my view, resolution of this conflict between the experts requires the court to hear the experts' evidence tested by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Whether it would be unjust to decide the issue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Factors for the Court to consider in determining whether it would be unjust to grant relief by summary trial include the amount involved, the complexity of the matter, its urgency, any prejudice likely to arise by reason of delay, the cost of taking the case forward to a conventional trial in relation to the amount involved, the course of the proceedings and any other matters arising for consideration: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at para. 48. Rule 9-7 permits the court to grant judgment "either on an issue or generally." However, there are numerous judgments of this Court and the Court of Appeal emphasizing that the Court must exercise caution in determining whether it ought to give judgment on a single issue. Litigating "in slices" should be avoided, particularly where the issue raised on a summary trial application is intertwined with other issues that will be left for determination at trial: </w:t>
      </w:r>
      <w:r>
        <w:rPr>
          <w:rFonts w:ascii="arial" w:eastAsia="arial" w:hAnsi="arial" w:cs="arial"/>
          <w:i/>
          <w:color w:val="000000"/>
          <w:sz w:val="20"/>
          <w:lang w:val="en-US" w:eastAsia="en-US" w:bidi="ar-SA"/>
        </w:rPr>
        <w:t>Coast Foundation v. Currie</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xml:space="preserve"> at paras. 13-18; </w:t>
      </w:r>
      <w:r>
        <w:rPr>
          <w:rFonts w:ascii="arial" w:eastAsia="arial" w:hAnsi="arial" w:cs="arial"/>
          <w:i/>
          <w:color w:val="000000"/>
          <w:sz w:val="20"/>
          <w:lang w:val="en-US" w:eastAsia="en-US" w:bidi="ar-SA"/>
        </w:rPr>
        <w:t>Bacchus Agents (1981) Ltd. v. Phillipe Dandurand Wines Ltd.</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Prevost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Here, the Owners apply for a declaration that would provide a partial interpretation of the Warranty. The relief sought will not resolve the litigation, nor will it determine Travelers' liability to the plaintiff. By embarking upon a partial determination of one aspect of coverage, the court would be "litigating in slices". The issue raised on this application is intertwined with the interpretation and application of the Warranty as a whole, including its notice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Court should not be asked to make a determination regarding coverage under the Warranty in the absence of all of the facts relating to the application of the Warranty to the specific claims made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determination of the narrow issue raised on this application is unlikely to materially reduce the time required for the trial of this action. Regardless of the result, the Owners will still be required to present their expert and lay evidence relating to the condition of the building envelope, its alleged defects, proof of material damage, the interpretation and application of the Warranty, the damages they claim from Travelers and their claims against all of the other defendants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case planning deadline for the delivery of the plaintiff's expert reports expired before the hearing of the summary trial application. The plaintiff has delivered the reports of its building envelope expert, Mr. Knowles. Accordingly, a summary determination of the issue of whether coverage for building envelope defects requires proof of water penetration into or through the building envelope by the five-year anniversary of the Warranty is unlikely to substantially affect the plaintiffs' preparation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no prior judicial decision interpreting the requirements for coverage under the Warranty. Determination of this issue will affect not only the plaintiff, but potentially, thousands of homeowners throughout British Columbia. Travelers' interest transcends the outcome in this particular case because, as a home warranty provider, it has issued many policies containing identical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Given the significance of the issue raised on this application to both parties, it is virtually certain that the unsuccessful party on a summary trial would appeal, resulting in loss of the current trial date. In these circumstances, resolution of the issue by summary trial would be unlikely to promote or assist the settlement of this litigation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amount involved of $1.87 million as between the plaintiff and Travelers is significant, although the amount alone would not be a bar a summary trial. This matter involves complex claims for the repair of the plaintiff's building advanced against multiple defendants. The cost of taking this case forward to a conventional trial will be substantial in relation to the amount involved, whether or not this summary trial application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March 11, 2013 trial date means that neither party to this application will suffer prejudice by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my view, the Court should have the benefit of the full factual matrix of the specific claims advanced by the plaintiffs, the nature of the alleged defects, and a full understanding of the extent to which the interpretation of the Warranty and its application are intertwined with the plaintiffs' claims against other defendants, and the third party claims, before deciding the issue raised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summary determination of the issue raised on this application will not assist in the efficient resolution of this litigation. It is unlikely to shorten the trial. The plaintiff must still lead evidence to prove that its claims meet the conditions of the Warranty, and that it has satisfied the reporting requirements under the Warranty. Further, the plaintiff also has multiple claims against the defendants other than Travelers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against all of the defendants, including Travelers, for breach of a duty to warn. A summary determination of the question of whether the plaintiff must establish water penetration into or through the building envelope within the five year term of the Warranty will almost certainly be appealed, resulting in the loss of the current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Accordingly, weighing all of these factors, I find that it would be unjust to determine this matter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application under Rule 9-7 is dismissed, with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6,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It my Reasons for Judgment issued February 25, 2013, there was an error regarding the names of Counsel for the Plaintiff on page 2. This has now been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0"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Suran v. Auluck, [2017] I.L.R. para. M-2983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Burke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March 24,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File Nos. M100690, M103794</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[2017] I.L.R. para. M-2983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[2017] B.C.J. No. 564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2017 BCSC 472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Daljeet Kaur Suran v. Gurnam Singh Auluck, Sukjinder Singh Auluck, John Doe One, John Doe Two, Gurbinder Marwaha and Insurance Corporation of British Columbia; Insurance Corporation of British Columbia (Third Party); Gurnam Singh Auluck v. Daljeet Kaur Suran, as representative of the estate of Jasvinder Singh Suran, deceased, Sukjinder Singh Auluck, John Doe One, and John Doe Two</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7" w:name="Keywords_32"/>
      <w:bookmarkEnd w:id="337"/>
      <w:r>
        <w:rPr>
          <w:rFonts w:ascii="arial" w:eastAsia="arial" w:hAnsi="arial" w:cs="arial"/>
          <w:b/>
          <w:color w:val="000000"/>
          <w:sz w:val="20"/>
          <w:lang w:val="en-US" w:eastAsia="en-US" w:bidi="ar-SA"/>
        </w:rPr>
        <w:t xml:space="preserve">Tort, motor vehicle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Unknown driver — Suran and defendant Auluck were involved in high-speed motor vehicle accident — Vehicle Suran and Auluck were in crashed through guardrail and fell in ravine, killing Suran — Minutes earlier, vehicle had been stopped by police for street racing and fled — Other vehicle stopped for street racing was driven by defendant Marwaha — Suran's widow brought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for damages against Auluck and Marwaha — Marwaha claimed Suran was driver — Auluck brought claim for damages against Suran — Auluck's admission to paramedic that he was driver was not unreliable - - Only evidence that Suran was driver came from Marwaha, whose evidence was unreliable — Expert reports indicated Auluck was driver — Court concluded Auluck was driver — Suran's judgment was impaired by alcohol and he was not wearing seatbelt — Suran's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25 per cent — It was reasonably foreseeable by Marwaha that street race would attract police attention and that Auluck would flee police — Marwaha was 10 per cent liable for accident — Suran's widow's action was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8" w:name="Case Summary_29"/>
            <w:bookmarkEnd w:id="338"/>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August 2008, Mr. Suran and the defendant Mr. Auluck were involved in a high-speed motor vehicle accident when the Chrysler they were in collided with the rear wheel of a Nissan while attempting to change lanes. The Chrysler lost control, crashed through a steel guardrail, dropped over a retaining wall, and caught fire. Mr. Suran died in the accident and was found trapped in the passenger's seat. Minutes earlier, the Chrysler and another vehicle had been stopped by a police officer for street racing but the Chrysler had fled from the scene. Mr. Suran's widow and representative of his estate brought an action against Mr. Auluck, maintaining that he was the driver, and his father, who was the owner of the Chrysler. She also brought an action against the defendant Mr. Marwaha, who was the driver of the other vehicle stopped by the police officer for street racing. Mr. Marwaha was charged with dangerous driving causing death. He identified Mr. Suran as the driver at the time the police stopped the Chrysler. Mr. Auluck brought a claim for damages against Mr. Suran, alleging that Mr. Suran was the driver of the Chrysler. The Court had to determine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9" w:name="Holdings of Court_24"/>
            <w:bookmarkEnd w:id="339"/>
            <w:r>
              <w:rPr>
                <w:rFonts w:ascii="arial" w:eastAsia="arial" w:hAnsi="arial" w:cs="arial"/>
                <w:color w:val="000000"/>
                <w:sz w:val="20"/>
                <w:lang w:val="en-US" w:eastAsia="en-US" w:bidi="ar-SA"/>
              </w:rPr>
              <w:t>HELD: Ms.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Suran's action was allowed. The Court found that an adverse inference should be drawn against Mr. Auluck for his failure to testify. No medical evidence was presented to establish the nature of his injuries and its impact on his ability to remember events and testify. Although Mr. Auluck's admission to a paramedic that he was the driver did not have as much weight due to the fact that Mr. Auluck sustained a brain injury, was in pain, and had consumed alcohol and drugs, it was not unreliable. The only evidence that Mr. Suran was driving came from Mr. Marwaha, whose evidence was generally unreliable. Mr. Marwaha's only consistent evidence was that Mr. Auluck's behaviour that evening was erratic and aggressive. The expert reports indicated that Mr. Auluck was the driver. The Court concluded that Mr. Auluck was the driver. The evidence was that Mr. Suran and Mr. Auluck were significantly intoxicated. Mr. Suran's judgment in participating in Mr. Auluck's behaviour was impaired by alcohol. Reports also indicated that he was not wearing a seatbelt. The Court found Mr. Suran's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25 per cent. The Court found that Mr. Marwaha and Mr. Auluck engaged in a common course of action that precipitated the accident and the death of Mr. Suran. It was reasonably foreseeable by Mr. Marwaha that participation in a street race would attract police attention and that Mr. Auluck would flee the police. The Court found Mr. Marwaha 10 per cent liable for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0" w:name="Counsel_33"/>
      <w:bookmarkEnd w:id="3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 Thomas and S.L. Herra for the plaintiff Suran; J.S. Malik for the defendant G.S. Auluck; E.C. Carruthers for the defendant S.S. Auluck; D.A. Cave and P.J. Armstrong, QC, for the defendant and third party Insurance Corporation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1" w:name="Judgment_33"/>
      <w:bookmarkEnd w:id="341"/>
      <w:r>
        <w:pict>
          <v:line id="_x0000_s1193" style="position:absolute;z-index:2517954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One: Can the driver be identified?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Parties' Positions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Police Evidence at the Time of 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Medical Evidence at the Time of 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Marwaha's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Police Interview of Mr. Auluck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Auluck's Failure to Testify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Preliminary Analysis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Expert Accident Reconstruction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Parties' Positions on the 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Two: Was the passenger contributory negligent?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Parties' Positons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Three: Is Mr. Marwaha also liable for 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Parties' Positions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AND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 Two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2" w:name="E. BURKE J."/>
            <w:bookmarkEnd w:id="342"/>
            <w:r>
              <w:rPr>
                <w:rFonts w:ascii="arial" w:eastAsia="arial" w:hAnsi="arial" w:cs="arial"/>
                <w:b/>
                <w:color w:val="000000"/>
                <w:sz w:val="30"/>
                <w:lang w:val="en-US" w:eastAsia="en-US" w:bidi="ar-SA"/>
              </w:rPr>
              <w:t>E. BURKE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Late in the evening of August 4, 2008, while travelling westbound at high speed in a black 2008 Chrysler 300 (the "Chrysler 300"), Jasvinder Singh Suran and Gurnam Singh Auluck were involved in a catastrophic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when the Chrysler 300 collided with the rear wheel of a Nissan Xterra while attempting to change lanes on Nordel Way, near the intersection of Shepherd Way in Delta, British Columbia. The collision caused the Chrysler 300 to lose control and crash through a steel guardrail. It proceeded down a steep embankment and dropped over a retaining wall, before finally coming to rest at the bottom of a ravine.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Auluck was ejected from the vehicle as it traveled down the embankment. He was found approximately 50 yards from the guardrail.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Suran perished in the accident. He was unable to extricate himself from the vehicle when it caught fire. His body was found partially seated on the right front passenger's seat area with his feet trapped between the right front passenger's door and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Minutes prior to the accident, Cst. R. Johnston, who at the time, was a constable with the Delta Police force, observed the Chrysler 300 and a white Cadillac four-door sedan engaged in what he described as a street race going southbound on Scott Road. He eventually caught up with them at the intersection of Nordel Way as the two vehicles stopped for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Cst. Johnston pulled his police vehicle in front of the two vehicles to block and apprehend them. The Chrysler 300, however, in the right southbound lane, backed up, moved to the right and accelerated west on Nordel Way. At this time Cst. Johnston arrested Gurbinder Marwaha, the driver of the Cadillac, for dangerous operation of a motor vehicle. Later, after it was determined an individual from the Chrysler 300 had died following the subsequent accident, Mr. Marwaha was charged with dangerous operation of a motor vehicle causing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Daljeet Kaur Suran is the widow of Mr. Suran. She is 48 years old and has two children who are 19 and 16. They were 11 and 8 years old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Ms. Suran has brought two actions pursuant to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for the loss of her husband. The first action is brought against Mr. Auluck. She maintains Mr. Auluck was the driver of the Chrysler 300 and his negligent operation of the vehicle resulted in the death of Mr. Suran.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Chrysler 300 was owned by Sukhwinder Singh Auluck, the father of Gurnam Auluck, even though Gurnam Auluck was its principal operator. Ms. Suran also named Sukhwinder Auluck as a defendant in the action brought against his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Suran has brought a second action against Mr. Marwaha for his alleged dangerous actions which contributed to the accident that caused the death of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Auluck, however, has brought his own claim against Mr. Suran for personal injuries suffered as a result of the accident. He alleges Mr. Suran was the driver of the Chrysler 300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These proceedings deal only with the question of liability in each of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issues for determination are:</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was the driver of the Chrysler 300 at the time of the accident?</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passenger of the Chrysler 300 contributorily negligent?</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Marwaha also liable for the accident as an alleged participant in the street race?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One: Can the driver be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identification of the driver of the Chrysler 300 at the time of the accident is the main issue in this case. The majority of the evidence centered on that question. The evidence is extensive, complex and multi-factorial. While I have considered it all, I only note those parts that assist in outlining the circumstances, and where needed, resolve contradictory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Mr. Marwaha and Mr. Sukjinder Auluck, argue it is not possible to identify the driver on the evidence and therefore both claims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They add this court is under no obligation to determine the identity of the driver if there is insufficient or inadequate evidence to make that finding. The evidence must be sufficiently compelling and reliable to satisfy this court on a balance of probabilities that either Mr. Auluck or Mr. Suran has satisfied the burden of proof in their respective cases. If not, both claims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These defendants, Mr. Marwaha and Mr. Sukjinder Auluck, argue the lay witnesses and the expert opinions in this case amount to little more than guesswork. As a result, they say each plaintiff, Ms. Suran and Mr. Gurnam Auluck, has failed to satisfy their respective burdens of proof with respect to proving the identity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Suran submits Mr. Auluck was the driver of the Chrysler 300 at the time of the accident and as such is liable for the accident. She submits there is sufficient evidence before the court to make that determination and it would be a serious injustice to both parties making a claim -- Ms. Suran and Mr. Auluck -- if a decision was not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This case, Ms. Suran says, is unlike cases where there is no evidence on this issue: see, for instance, </w:t>
      </w:r>
      <w:r>
        <w:rPr>
          <w:rFonts w:ascii="arial" w:eastAsia="arial" w:hAnsi="arial" w:cs="arial"/>
          <w:i/>
          <w:color w:val="000000"/>
          <w:sz w:val="20"/>
          <w:lang w:val="en-US" w:eastAsia="en-US" w:bidi="ar-SA"/>
        </w:rPr>
        <w:t>Robertson v. Statton,</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1997 CanLII 1260</w:t>
        </w:r>
      </w:hyperlink>
      <w:r>
        <w:rPr>
          <w:rFonts w:ascii="arial" w:eastAsia="arial" w:hAnsi="arial" w:cs="arial"/>
          <w:color w:val="000000"/>
          <w:sz w:val="20"/>
          <w:lang w:val="en-US" w:eastAsia="en-US" w:bidi="ar-SA"/>
        </w:rPr>
        <w:t xml:space="preserve"> (B.C.S.C.). She maintains this is also not a situation where both parties are to blame as may occur in a head-on collision. Rather, Mr. Auluck is to blame, and the court should make up its mind on that matter: see </w:t>
      </w:r>
      <w:r>
        <w:rPr>
          <w:rFonts w:ascii="arial" w:eastAsia="arial" w:hAnsi="arial" w:cs="arial"/>
          <w:i/>
          <w:color w:val="000000"/>
          <w:sz w:val="20"/>
          <w:lang w:val="en-US" w:eastAsia="en-US" w:bidi="ar-SA"/>
        </w:rPr>
        <w:t>Cicuto v. Gardiner,</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2007 BCSC 255</w:t>
        </w:r>
      </w:hyperlink>
      <w:r>
        <w:rPr>
          <w:rFonts w:ascii="arial" w:eastAsia="arial" w:hAnsi="arial" w:cs="arial"/>
          <w:color w:val="000000"/>
          <w:sz w:val="20"/>
          <w:lang w:val="en-US" w:eastAsia="en-US" w:bidi="ar-SA"/>
        </w:rPr>
        <w:t xml:space="preserve"> at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Suran argues an adverse inference should be drawn against Mr. Auluck for his failure to testify in his defence. She says he also failed to testify in support of his own action, where he is required to prove his case against the estate of Mr. Suran, which should reflect adversely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contrast, Mr. Auluck says the evidence establishes on a balance of probabilities that Mr. Suran was driving the Chrysler 300 at the time of the accident. He says there is no reliable expert evidence and the only eye witness, Mr. Marwaha, has identified Mr. Suran as the driver. While Mr. Auluck agrees Mr. Marwaha's evidence should be approached with caution, he says it is reliable as to who was the driver of the Chrysler 300 moments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Belleperch v. Budget Rent-A-Car of Edmonton Ltd.</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2009 ABQB 620</w:t>
        </w:r>
      </w:hyperlink>
      <w:r>
        <w:rPr>
          <w:rFonts w:ascii="arial" w:eastAsia="arial" w:hAnsi="arial" w:cs="arial"/>
          <w:color w:val="000000"/>
          <w:sz w:val="20"/>
          <w:lang w:val="en-US" w:eastAsia="en-US" w:bidi="ar-SA"/>
        </w:rPr>
        <w:t xml:space="preserve">, is of assistance in assessing the fractured state of the evidence. It noted the decision of the British Columbia Court of Appeal, </w:t>
      </w:r>
      <w:r>
        <w:rPr>
          <w:rFonts w:ascii="arial" w:eastAsia="arial" w:hAnsi="arial" w:cs="arial"/>
          <w:i/>
          <w:color w:val="000000"/>
          <w:sz w:val="20"/>
          <w:lang w:val="en-US" w:eastAsia="en-US" w:bidi="ar-SA"/>
        </w:rPr>
        <w:t>R. v. McDonald</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(1951) 105 C.C.C. 16</w:t>
        </w:r>
      </w:hyperlink>
      <w:r>
        <w:rPr>
          <w:rFonts w:ascii="arial" w:eastAsia="arial" w:hAnsi="arial" w:cs="arial"/>
          <w:color w:val="000000"/>
          <w:sz w:val="20"/>
          <w:lang w:val="en-US" w:eastAsia="en-US" w:bidi="ar-SA"/>
        </w:rPr>
        <w:t xml:space="preserve"> (B.C.C.A.), referencing a jury instruction by Mr. Justice Darling,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must not convict a man on one suspicion. You must not convict him on a thousand suspicions; you must not add a thousand suspicious circumstances together and say 'that is proof'. No, you must find somewhere a solid anchorage upon which you can say... 'I'm secure of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question in this case is whether there a solid enough "anchor" (i.e. a sufficient evidentiary basis) to identify on a balance of probabilities the driver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turn to that question now.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Police Evidence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Shortly before 11:00 p.m. on August 4, 2008, Cst. Johnston, while on duty in an unmarked police vehicle, observed two vehicles -- a white Cadillac and a black Chrysler 300 -- travelling southbound on Scott Road in excess of 140 km/h. He made a U-turn south to follow and accelerated towards them. The vehicles continued to pull away and appeared to jockey for position. This led him to believe they were street 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Cst. Johnston was able to catch up with the vehicles when the traffic lights at the 8900 block turned red. He drove up behind them and observed the driver's window of each vehicle rolling down as if they were going to have a conversation. He drove into the left turn lane, placing his vehicle in front of both vehicles and activated his emergency lights. As he exited his vehicle, however, the Chrysler 300 backed up 6-10 feet and accelerated west on Nordel Way. The Cadillac then backed up and began to turn into the left turn lane moving towards the Constable. Cst. Johnston drew his firearm and the Cadillac slammed on its brakes. It came to a stop with the Constable's leg on the front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Cst. Johnston arrested and handcuffed the driver of the Cadillac, Mr. Marwaha. He estimated it took him 30-60 seconds to make the arrest, including handcuffing and patting the individual down. As another constable -- Cst. S. Cormier - - arrived to assist, Cst. Johnston heard a radio broadcast of a motor vehicle accident on Nordel. As Cst. Johnston had a canine partner with him and thought the driver might flee, he left Mr. Marwaha with Cst. Cormier and proceeded to the accident scene to provide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Cst. Johnston estimated his speed as 100-120 km/h. He arrived at the accident scene within one minute. He estimated the distance between the intersection and the accident scene at 9-11 long blocks or perhaps two kms. He joined two other constables, Cst. M. Whiteley and Cst. J. Martens (officers in the Delta Police traffic section), already at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Cst. Whiteley and Cst. Martens followed the accident debris down the embankment. One hundred feet from where the vehicle left the roadway, they discovered an adult male lying on his back, with his head in a northwest direction, down the embankment and his feet pointing back to the roadway. This male was Mr. Auluck. He was not conscious and was making a gurgling noise. Cst. Whiteley was tasked with attending to Mr. Auluck, while Cst. Martens continued down the slope to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Cst. Whiteley noted Mr. Auluck regained consciousness once he had been transported to the side of the road and fire and ambulance were assisting him. As he was trying to move, Cst. Whiteley restrained his legs for safety reasons as the extent of his injuries were unknown. Cst. Whiteley did not agree that Mr. Auluck was combative.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Meanwhile, Cst. Martens and Cst. Johnston came to the retaining wall, and heard a male voice screaming. They could see the tail lights of a black 300 Chrysler and someone in the passenger seat moving around. This person was Mr. Suran. The car was on fire. It quickly became fully engulfed, exploded and the screaming ended. As it was no longer safe, Cst. Martens and Cst. Johnston retreated to the roadway to complete other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11:45 p.m. Cst. R. Heppell of the RCMP commenced a search of the area with his canine partner Karo for any other individuals at the scene. Karo, who is trained to identify objects foreign to the environment that contain human scent, identified a car headrest in the upper vehicle debris field, a shoe and a slipper near the vehicle, and the deceased individual in the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Medical Evidence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first medical witness, Stephen Shipman, is an experienced advanced life support paramedic of the B.C. Ambulance Service. He testified about his attendance at the scene of the accident and particularly, his care and conversations with Mr. Auluck. While some of his testimony was from memory, he referred to the patient care report he filled out for specifics, while treating Mr. Auluck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reflected in his patient care report, Mr. Shipman was dispatched at 11:22 p.m. in the evening of August 4, 2008, and arrived at the scene at 11:40 p.m. He attended to Mr. Auluck at 11:41 p.m. He transported Mr. Auluck to Royal Columbia Hospital in New Westminster, British Columbia, arriving at 11:55 p.m. Throughout his duties, he filled out a patient care report recording various symptoms observed including the alertness of Mr. Auluck (about which there is much debate).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11:49 p.m. Mr. Shipman utilized the Glasgow Coma Score ("GCS") scale to assess Mr. Auluck's level of consciousness. The GCS scale is designed to assess and score signs of alertness including eyes, verbal, and motor abilities, and is routinely undertaken on patients. Mr. Auluck had a GCS of 14 out of 15. His verbal component score was assessed with a score of 4 out of 5. Mr. Auluck's neurological assessment was also indicated to be normal at this time. Mr. Shipman said these results indicated someone who is confused but still able to answer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Shipman said the location of Mr. Auluck in the vehicle was important to assist him in assessing whether Mr. Auluck had sustained certain injuries, including a chest injury from the steering wheel. Accordingly, he asked Mr. Auluck questions in the course of treating him. He specifically asked if Mr. Auluck "knew what was happening," "was he the driver" and "where did it hurt." Mr. Auluck indicated his head hurt and affirmed he was the driver in a verbal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12:05 a.m. Mr. Auluck's GCS plummeted to 6 out of 15, indicating a seriously diminished level of consciousness. This, Mr. Shipman testified, was because he had administered medication to Mr. Auluck in order to intubate him because of his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Navraj Heran, a neurosurgeon, testified as an expert (on behalf of Mr. Auluck) on the reliability of Mr. Auluck's admission that he was the driver of the vehicle. He examined Mr. Auluck the day after the accident, after his admission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his expert report of March 9, 2012, Dr. Heran concluded that Mr. Auluck's admission to Mr. Shipman was not medically reliable. He based this opinion on his examination of Mr. Auluck and his review of hospital and police documentation.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response to question #7, it is clear that Mr. Auluck had sustained a significant craniocerebral injury with an initial Glasgow Coma Scale score of 14, losing a point for confusional state. He was agitated, confused and noted to likely have deterioration in his level of consciousness and/or agitation state requiring sedation and intubation. Furthermore he has been demonstrated to have alcohol consumption with high blood alcohol levels. In addition he has been demonstrated during his hospital course to have multiple other injuries involving multiple organs. In this context Mr. Auluck's admission to Mr. Shipman as to whether he was the driver, for which Mr. Shipman concludes that Mr. Auleck admitted to, cannot be deemed reliable. He has major distracting injuries, a craniocerebral injury as well as cognition altering medications including alcohol amongst potential others such as cannabinoids and benzodiazepines on board. I should note that the benzodiazepines measured in the hospital may be as a result of his intubation although it could be as a result of his own personal use. A CT scan of his head also demonstrates structural injury suggesting a complicated brain injury. Furthermore, although I am not an expert in this field, there is minimal evidence to suggest steering column injury to Mr. Auluck's upper torso suggestive of him being the driver as is often seen in patients with unrestrained motor vehicle collisions. This will likely require further comment by an expert in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Heran, however, examined Mr. Auluck after Mr. Shipman had administered Mr. Auluck a sedative. As noted by Mr. Shipman (and agreed by Dr. Heran), this directly impacted on his GCS. When Dr. Heran examined Mr. Auluck a second time the day after the accident, Mr. Auluck was in a coma and intubated. Dr. Heran never did discuss the accident with Mr. Auluck and/or what he could recall. Dr. Heran also agreed in cross-examination that people with brain injuries have varying speeds of deterioration of consciousness. This can occur over minutes or over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view of these pitfalls, the more reliable evidence on this point is that of Mr. Shipman. Mr. Shipman was present at the scene of the accident within minutes. He made specific notes at the time on his patient care report as to the GCS score of Mr. Auluck and whether it appeared Mr. Auluck understood and answered the questions posed. Mr. Shipman was clear Mr. Auluck was capable of answering questions and understood the question as to whether he was the driver. Ultimately, Dr. Heran did not dispute Mr. Shipman's expertise as a paramedic and his ability to administer the GCS.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will further deal with this evidence later as part of my analysis proper.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Marwaha's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Marwaha's description of the events surrounding his arrest is in stark contrast to that of the police officers involved. His testimony generally is riddled with inconsistencies and not credible on critical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Essentially, while Mr. Marwaha agrees he spent some time with Mr. Suran and Mr. Auluck earlier on the evening of the accident "at Mr. Suran's insistence," he denies street racing with the Chrysler 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some point in the early evening, Mr. Marwaha said, he and Mr. Suran saw Mr. Auluck in his new Chrysler 300. They drove to Mr. Marwaha's house, where the three met to take a drive in Mr. Auluck's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Marwaha described an evening of drinking and drug consumption. The group visited a Mac's Convenience Store, consuming vodka in the parking lot and a "crack shack" where both Mr. Suran and Mr. Auluck consumed drugs. A 26 ounce (750 ml) bottle of vodka was consumed and the group then drove to the liquor store at the Central City Pub adjacent to the Surrey Place mall, in Surrey, British Columbia, to purchase more vodka.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Marwaha said at some point the group pulled into a Shell gas station both to investigate a gas leak from a gas container in the trunk of the vehicle and because he and Mr. Suran were yelling at Mr. Auluck to slow down as he was "driving like a lunatic." After some erratic behaviour by Mr. Auluck, they left to visit the residence of Mohamed Moustarzak, who was dating Mr. Auluck's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Marwaha says he stood outside Mr. Moustarzak's residence and consumed a beer while the others were inside drinking rum and smoking crack. At some point, he says Mr. Moustarzak took the keys to the Chrysler 300 from Mr. Auluck and gave them to Mr. Suran to let him drive. Mr. Marwaha said Mr. Auluck had been hyper and aggressive throughout the evening, driving too fast and like a lunatic, and was too drunk to drive. Mr. Marwaha says Mr. Suran then drove the Chrysler 300 to his house and dropped him off as he was meeting "Sharon", an acquaintance, at Boston Pizza.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Once he was dropped off by Mr. Suran, Mr. Marwaha said the Chrysler 300 drove off. Mr. Marwaha says he then got into his own vehicle and proceeded to drive to 96 Avenue and Scott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significant dispute as to how long Mr. Marwaha spent at his house (a few seconds, a minute or 5-10 minutes) and whether he went into his house or just to his car. These matters are important because they are relevant to whether he could have seen who was driving the Chrysler 300 when it left his house. Initially, he said he was at his house 5-10 minutes, then he said for 1 minute, and finally then agreed in cross-examination that the Chrysler 300 left his house within a few seconds -- i.e. not enough time for someone to change seats.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Marwaha's description of the time immediately leading up to his arrest is markedly different from that of Cst. Johnston. He says after he left his house in his own vehicle, and once he turned onto Scott Road, he could see the Chrysler 300 10-15 feet or 5 blocks in front. He sped up, now driving between 80-90 km/h, and at some point caught up to the Chrysler 300. He said he then turned into the left turning lane of the intersection at Scott and Nordel while the light was red, preparing to go to the Boston Pizza. The Chrysler 300, he says, slammed on its brakes and turned into the right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Marwaha said there was no intent to street race. He was going to the restaurant and the Chrysler 300 was going its own separate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Marwaha denied Cst. Johnston's description of the events. He said when he arrived at the red light, there were "probably 4 or 5 police cars" and a dozen police officers already blocking off the road. He denied being blocked by a police vehicle and said he was arrested by a Sikh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Cst. Johnston testified one of the tinted windows of the Chrysler 300 rolled down while the vehicles were at the light. There is significant dispute as to whether Mr. Marwaha could see the driver at this time. Mr. Marwaha initially said he did not see the driver at that time. His testimony changed at trial, however, and Mr. Marwaha is now adamant he could see Mr. Suran as the driver. He referred to "the Delta Police notes" in cross-examination which he said he had recently reviewed two weeks ago which refreshed his memory. The police interview notes of Mr. Marwaha, however, says at one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Who was driving the car then?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say from the top of my head, seriously.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his, because his windows were fully tinted.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Marwaha denied many of the comments attributed to him as recorded in Cst. Cormier's notebook as a result of his arrest that evening. These comments included his remarks that he had taken anti-depressants and anxiety pills that day. He said he was not supposed to drink alcohol with those pills and when he does, the pills "mess with his head". He said, however, he told the sergeants investigating the accident later that evening that Mr. Suran had been the driver of the Chrysler 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 while later, in April 2011, Mr. Marwaha gave evidence at a preliminary inquiry dealing with the criminal charges laid against Mr. Auluck. Called by the Crown as a witness, he testified in that preceding that Mr. Auluck was the driver of the Chrysler 300. When asked in this proceeding why he testified under oath that Mr. Auluck was the driver, he said he did so out of sympathy for the Suran family and wanted to help them. He said he had lied in the earlier proceeding but was now telling the truth in this court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Marwaha also denied being afraid of Mr. Auluck. This is in contrast to the evidence of Acting Sgt. L. Schemenauer. At the time of the accident the Sergeant was a Detective Constable in the Major Crimes section of the Delta Police. She was involved in planning and conducting Mr. Auluck's arrest in this matter. She said she first contacted Mr. Marwaha on January 12, 2009 to follow up on the statement he gave to the police the morning after the accident. In that telephone conversation, she testified, Mr. Marwaha advised that Mr. Auluck had threatened him. He also said Mr. Auluck was bragging to friends about not being charged. Mr. Marwaha was upset he had been charged but Mr. Auluck was not, because he had stopped driving and Mr. Auluck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December 21, 2009, Sgt. Schemenauer telephoned Mr. Marwaha advising the police had arrested Mr. Auluck and a no contact order between Mr. Auluck and Mr. Marwaha had been issued. Sgt. Schemenauer said Mr. Marwaha told her he now had to be worried about the threats he had received and "Mr. Auluck and his friends were crazy". He also noted if the police had not charged him initially maybe he would have been more cooperative.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Marwaha said he only recalled one conversation with Sgt. Schemenauer during which he did not tell her Mr. Auluck was the driver or that he was threatened by Mr. Auluck. He denied being advised in December 2009 there was a no contact order for Mr. Auluck concerning himself as a condition of Mr. Auluck's release after being arrested for charges arising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cross-examination, Mr. Marwaha was insistent the driver of the Chrysler 300 at the time of the accident was Mr. Suran. While acknowledging he initially said he did not know who the driver was in an interview with the Delta Police, he said he was groggy and confused and became more alert and remembered things as the interview progressed. Ultimately in cross-examination, when it was pointed out to him that in his examination for discovery in April of 2016 he said he did not remember who the driver was, he said his answer at that time was true but he received a copy of the police notes two weeks before the trial commenced and he now recalled Mr. Suran as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 review of Mr. Marwaha's testimony leads me to conclude his evidence on the identity of the driver of the Chrysler 300 is simply not reliable. He has told a different story at different times to different people about who that driver was. He may well be scared, confused, or simply lying, but in my view his evidence on this point is completely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To accept Mr. Marwaha's testimony on identity requires me to discount all the police evidence including references to notes taken contemporaneously of discussions he had with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would also require me to conclude Ms. Suran's testimony was not truthful, including, for instance, when Mr. Suran left home that day -- she indicated a much earlier time than Mr. Marwaha. Ms. Suran, however, testified in a straight forward manner and noted she had never met Mr. Auluck other than noting his attendance at her husband's memorial and at her home when with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would additionally require me to accept his testimony that the Suran family pressured Mr. Marwaha by asking him to help them, resulting in his testimony at the preliminary inquiry into charges against Mr. Auluck, where he testified Mr. Auluck was the driver. There is no evidence of this other than Mr. Marwaha's testimony on why he changed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Ultimately, to accept Mr. Marwaha's testimony, I must conclude multiple individuals whose stories are largely consistent have 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Marwaha's testimony concerning his consumption of alcohol was also inconsistent and unreliable. While insisting he only had a beer, I have no doubt he participated in drinking vodka in the vehicle, which he admitted to in his examination for discovery, consumed rum at the house of Mr. Moustarzak and had some rye at his house before leaving for the evening, which he said late in his cross-examination. This, in conjunction with the police breathalyser indicating he had a blood alcohol level of 140 (almost twice the legal limit), establishes he participated in the excessive pattern of drinking the evening of August 4,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Marwaha's testimony that he was going to Boston Pizza and not street racing is also not believable. While he says he was going to meet Sharon, a young female acquaintance, he admitted to not even contacting her that day to make plans in advance and said he was going to call her once he got to the restaurant. He agreed he had not seen her for some significant period of time making his story even less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Finally, in cross-examination, when it was put to him that there was no reason why he could not have taken the keys of the Chrysler 300 from Mr. Auluck, Mr. Marwaha was adamant that Mr. Auluck would let "no one touch his car; he loved his car; he would not share his car with anyone." He further agreed there was no chance Mr. Auluck would let anyone race his car. In contradiction, however, Mr. Marwaha reiterated his testimony that Mr. Suran was the last person he saw driving the car and even though he thought Mr. Auluck would not let anyone else drive his car, he did not know why Mr. Auluck would let Mr. Suran race his car at that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addition to the serious inconsistencies and weaknesses in his evidence, Mr. Marwaha was combative in cross-examination and I conclude likely has a motive to deceive. He is either afraid of Mr. Auluck, as evident by his earlier statements to the police, or is an interested party, in that he is a defendant in the claim by Ms. Suran, but not in the claim by Mr. Auluck. This makes his testimony even more questionable and ultimately unreliable at least on key points.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Police Interview of Mr. Auluck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Ultimately, in December 2009, Mr. Auluck was arrested on criminal charges associated with the death of Mr. Suran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Following his arrest, at the request of the Delta Police force, Insp. B. Dhillon of the RCMP, while a team leader of the RCMP's specialized Forensic Interview team, conducted an interview of Mr. Auluck on December 18,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Prior to the interview, Insp. Dhillon had been briefed on the circumstances. After the file evidence was collected, he reviewed the relevant information and developed an interview plan as per his normal practise. His goal was to secure admissible evidence. He ensured the individual was advised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 right to counsel and that the interview would be audio and video taped.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was some dispute between counsel as to the admissibility of this evidence. Ms. Suran sought to have it admitted for the truth of its contents as an admission against interest. Ultimately, the entire video of the interview was played and the parties argued as to the weight of statements made in this context. Insp. Dhillon also testified at trial with respect to the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this interview, Mr. Auluck said that Mr. Suran was the passenger in the vehicle. Mr. Auluck, however, also said he was a passenger in the backseat of the car and someone else was driving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Suran sought to rely upon the truth of Mr. Auluck's statement that Mr. Suran was the passenger in the vehicle. Mr. Auluck sought to rely upon the same statements to establish he was also a passenger and not driving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Auluck argued it was clear throughout the interview that he still suffered the effects of the brain injury. Mr. Auluck, in the interview, referenced his car being in Nanaimo and Port Alberni, British Columbia. This was obviously not true and makes evident his lack of memory and effect of the brain injury. He said he could not remember anything other than a 6-7 second clip of him "lying in the back of the car, while two individuals fought while one of them was driving at high speed." This he says should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cross-examination, Insp. Dhillon agreed that for the most part, Mr. Auluck said he did not have a clear memory of the events that day. He noted, however, Mr. Auluck was most adamant with respect to his position as being in the back seat of the vehicle and Mr. Suran as the passenger. When he was taken to a number of references of Mr. Auluck that he was "looking through the darkness," Insp. Dhillon said this reflected that Mr. Auluck was fabricating another driver and it was a struggle to do this. He noted it was much easier to truthfully describe something than to make it up. He was of the opinion Mr. Auluck was exhibiting a selective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is difficult to assess the statements given in this interview. Throughout the interview, Mr. Auluck continued to reference a third individual as the driver and Mr. Suran as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While Mr. Auluck seeks to rely upon the video interview with Insp. Dhillon as to his memory of the events, this is neither sufficient nor convincing. Mr. Auluck said he could not remember anything with a few exceptions: that a third occupant was the driver of the vehicle, Mr. Suran was the front passenger and he was lying in the back seat of the vehicle while Mr. Suran was yelling at the alleged driver asking him to slow down. This arrangement was set out in a diagram drafted by Insp. Dhillon to incorporate the described scenario and agreed to by Mr. Auluck.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 number of troubling factors impact on the veracity of this statement. First and foremost, the overwhelming evidence is that there were only two occupants of the vehicle at the time of the accident. Indeed, aside from Mr. Auluck's evidence, there was practically no evidence of a third person even at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police evidence substantiates this position. I note in particular the evidence of Cst. R. Semler and RCMP Cst. Heppell on this point. Cst. Heppell and his police dog Karo did an extensive methodical sweep of the scene for any persons in the vicinity. Aside from two shoes and the deceased Mr. Suran in the vehicle, neither the officer nor the dog found any evidence of a third occupant. During his search, Cst. Semler observed footprints of a cameraman with a high visibility vest cited by one of the firefighters who attended at the scene; he did not observe any other such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is also troubling that while Mr. Auluck said he could not remember anything about the accident, he insisted on his specific memory about a third occupant and driver of the vehicle. There is no real explanation in any of the evidence as to why that would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interview Mr. Auluck also references the vehicle being in Nanaimo and Port Alberni at the time of the accident; which is clearly not correct. All in all, I conclude his story was concocted.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Ultimately, in view of the circumstances, it is difficult to place much if any weight on Mr. Auluck's answers in this interview. Much of what was said cannot be considered to be reliable. As a result, neither the statement that Mr. Auluck was a passenger, and therefore not driving nor that Mr. Suran was the passenger can be given much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Auluck's Failure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conclude, however, that an adverse inference should be drawn against Mr. Auluck for his failure to testify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If Mr. Auluck does not remember anything about the accident it was incumbent upon him to testify to that effect so he could be cross-examined to test the veracity of that assertion among others. No medical evidence was presented to establish the nature of Mr. Auluck's injuries and its impact on his memory at this time. While Dr. Heran testified regarding his observations in 2008 while Mr. Auluck was in a coma the day after the accident, he did not interview Mr. Auluck about the accident at the time and has not done so more recently. Counsel's submission to the court that Mr. Auluck cannot remember anything is not sufficient to avoid an adverse inference in these circumstances either.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Preliminary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considering the evidence on the identity of the driver, I note first the admission of Mr. Auluck to Mr. Shipman that he was the driver of the vehicle in the immediate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is no dispute Mr. Shipman is a highly qualified advanced care paramedic. He is also an independent witness with no direct interest in the outcome of this proceeding who attended the accident scene to provide emergency medical care to Mr. Auluck. Mr. Shipman says that upon receiving Mr. Auluck under his care he asked him three questions, the most important being whether he was the driver, to which Mr. Auluck replied that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Auluck, however, provided the evidence of Dr. Heran, an expert neurosurgeon, that the answer is not reliable because of his complicated brain injury, his orthopedic injuries including broken pelvis and displaced ribs, and his alcohol and cannabis consumption. Furthermore, Mr. Auluck argues this is not reliable on the basis of the evidence of Carolyn Kirkwood, a toxicologist, that he had a blood alcohol level of 278 (the equivalent of 20.5 oz. of hard liquor or 20.5 glasses of beer) at the time in question which significantly impacts concentration and memory. Finally, Mr. Auluck points out that Mr. Shipman, in cross-examination, said he did not make a note that Mr. Auluck was drunk and could not smell alcohol on him, which goes to the veracity of his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the last point, however, I note there is a reference to "intoxication?" on the written report despite the fact Mr. Shipman could not recall ascertaining this as part of 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While I conclude the admission does not have as much weight due to the argued effects of a brain injury, significant pain, and drug and alcohol consumption, I do not find it wholly unreliable. Despite its pitfalls, Mr. Auluck's GCS score indicated an individual able to understand and respond to questions sufficiently, meaning his admission cannot be completely discounted.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reality is at no time has Mr. Auluck said Mr. Suran was the driver of the vehicle. Indeed, as Ms. Suran pointed out, there is no evidence to support a finding that Mr. Suran was driving other than the word of Mr. Marwaha. Yet as I have found, Mr. Marwaha's evidence is rife with inconsistencies and fabrications and is generally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Vetrovec v. the Queen</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[1982] 1 S.C.R. 811</w:t>
        </w:r>
      </w:hyperlink>
      <w:r>
        <w:rPr>
          <w:rFonts w:ascii="arial" w:eastAsia="arial" w:hAnsi="arial" w:cs="arial"/>
          <w:color w:val="000000"/>
          <w:sz w:val="20"/>
          <w:lang w:val="en-US" w:eastAsia="en-US" w:bidi="ar-SA"/>
        </w:rPr>
        <w:t>, while the evidence of an unreliable witness may be weighed, the trier of fact is required to seek out other evidence to substantiate the evidence being provided by the unreliable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was no evidence whatsoever to corroborate Mr. Marwaha's statement that Mr. Suran was the driver. As noted earlier, Ms. Suran was a straightforward witness who indicated she had never spoken to Mr. Marwaha, despite his having attended her husband's memorial and visiting the home along with others. As a result, his allegation that he felt pressured by the Suran family to identify Mr. Auluck as the driver at the preliminary inquiry in the criminal matter despite knowing the driver was actually Mr. Suran is simply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addition, it may be that Mr. Marwaha is afraid of Mr. Auluck. I heard evidence from Sgt. Schemenauer about her dealings with Mr. Marwaha. She indicated he advised her in January 2009 that Mr. Auluck had threatened him. His fear of Mr. Auluck may explain why he changed his evidence on the identity of the driver from Mr. Auluck at the preliminary inquiry to Mr. Suran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Sgt. Schemenauer said Mr. Marwaha had advised he was also upset that he was charged but Mr. Auluck was not, as he stopped and Mr. Auluck did not. It is noteworthy that in this conversation with the Sergeant, he did not indicate Mr. Suran was driving, but rather Mr. Auluck.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While Mr. Marwaha denied telling the Sergeant these statements, there is no reason for the Sergeant to fabricate this evidence. There does appear, however, to be reason for Mr. Marwaha to deny the contents of their conversation as it pertains to the threat and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pointing to Mr. Suran as the driver, Mr. Auluck seeks to rely on key aspects of Mr. Marwaha's testimony. First, that Mr. Moustarzak provided Mr. Auluck's keys to Mr. Suran as Mr. Auluck was too drunk to drive. Mr. Marwaha says Mr. Suran then drove the vehicle to drop him off at his house. While he did not see who drove away, Mr. Marwaha also says at the time the vehicles were stopped by the police he saw Mr. Suran driving the vehicle when the car window rolled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last comment is completely unreliable stemming as it does from what appears to be a reconstructed memory arising from Mr. Marwaha's recent review of Delta Police notes received a couple of weeks before the trial. Furthermore, it is completely contradicted by his earlier testimony in his examination for discovery that he could not see who the driver was as the windows were tinted.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more troubling aspect of his testimony concerns the events surrounding the turnover of the keys. There appears no doubt based on the toxicology reports that both Mr. Auluck and Mr. Suran had imbibed significant alcohol and drugs. This corroborates the suggestion of Mr. Marwaha that Mr. Auluck was very impaired. It also, however, establishes significant impairment of Mr. Suran, which belies the suggestion that the keys were turned over to Mr. Suran who was also significantly impaired. If there was a transfer of keys to a different driver due to Mr. Auluck's impairment, it would be more likely that Mr. Marwaha, who says he was not imbibing intoxicants in any significant amount, would have been the individual who was given the keys and then drove the vehicle to his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That being said, while Mr. Marwaha's testimony overall is unreliable, he has been consistent in describing Mr. Auluck's behaviour that evening. He noted Mr. Auluck was driving really fast, all over the place, in a hyper and aggressive manner, and acting in a bizarre fashion at the Shell gas station. Nowhere is there any reference to Mr. Suran behaving in such a fashion and he is even said to have attempted to calm these activities down. Such erratic behaviour on Mr. Auluck's behalf makes it more likely that Mr. Auluck was the driver in the street race observed by Cst.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Furthermore, another consistent aspect of Mr. Marwaha's testimony is Mr. Auluck's intense attachment to his vehicle. He refused to let others drive the vehicle earlier that evening and there is nothing to establish that changed. The only possible evidence to that effect is Mr. Marwaha's description of the turnover of keys which is not reliable and contradicts his description of Mr. Auluck's attachment to the vehicle and earlier conduct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am therefore unable to accept Mr. Marwaha's assertion that Mr. Suran was the driver of the vehicle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answer to the question of who was the driver cannot be determined by the analysis of the lay witness evidence alone. It is therefore necessary for me to consider the expert accident reconstruction testimony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turn to that now.</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Expert Accident Reconstruction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Parties' Positions on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defendants have argued the expert evidence of Robin Brown, a professional engineer with a speciality in accident reconstruction, does not take into account the violence of a highly complex accident. Furthermore, they say Cpl. S. Hilliard, the accident reconstruction analyst, made several mistakes in his analysis and did not have the requisite ability to take into consideration the occupants' movements within the vehicle after it left the roadway. As attested to by the engineers Dr. Amrit Toor and Bradley Heinrichs, they maintain too much about this accident is unknown to permit a compelling and reliable conclusion as to who was the driver at the start of this violent and complex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Suran points out that both Cpl. Hilliard and Mr. Brown opined Mr. Auluck was the probable driver. Mr. Brown, while acknowledging the difficulties involved, relied on certain key evidence: first, the left side exit portals that were created when the left (driver's) side roof edge struck the ground after the 270[degrees] roll; second, the significantly deformed driver's seat back; third, the driver's head restraint's separation and ejection along the debris path; and fourth, the final position of Mr. Suran found partially ejected in a seated position in the passenger side compartment.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Mr. Auluck argues that Mr. Brown appeared to be an advocate for Ms. Suran and as a result the court should place no weight on his report, citing </w:t>
      </w:r>
      <w:r>
        <w:rPr>
          <w:rFonts w:ascii="arial" w:eastAsia="arial" w:hAnsi="arial" w:cs="arial"/>
          <w:i/>
          <w:color w:val="000000"/>
          <w:sz w:val="20"/>
          <w:lang w:val="en-US" w:eastAsia="en-US" w:bidi="ar-SA"/>
        </w:rPr>
        <w:t>Henderson v. Bakken</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2010 BCSC 559</w:t>
        </w:r>
      </w:hyperlink>
      <w:r>
        <w:rPr>
          <w:rFonts w:ascii="arial" w:eastAsia="arial" w:hAnsi="arial" w:cs="arial"/>
          <w:color w:val="000000"/>
          <w:sz w:val="20"/>
          <w:lang w:val="en-US" w:eastAsia="en-US" w:bidi="ar-SA"/>
        </w:rPr>
        <w:t xml:space="preserve"> at paras. 67-69 in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He also points out that both Mr. Brown and Cpl. Hilliard agreed they did not reconstruct the accident from the first rollover to the final resting place of the vehicle. With this concession he maintains their evidence is merely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Auluck also argues the reliance on the driver's headrest being found in the debris trail along with an ejected individual is not corroborating evidence, given that one white sneaker was found in the debris trail and one found at the bottom of the ravine. There is no correlation, he says, between the ejected occupant and items in the car that were ejected.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is not unusual to have conflicting experts in ascertaining the probability or cause of a particular event. However difficult, that does not preclude a determination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note at the outset I do not conclude that Mr. Brown was acting as an advocate for Ms. Suran. No specifics were set out to support this allegation. Mr. Brown gave his testimony in a straightforward and clear manner. An expert does not necessarily become an advocate simply by disagreeing with another expert, which is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Brown tendered an expert report and testified in this matter (on behalf of Ms. Suran). A registered member of the B.C. Association of Professional Engineers and Geoscientists since 1981, he has worked on over 4,000 motor vehicle accident files, practising in the field of forensic engineering and specializing in motor vehicle accident reconstruction. He provided his testimony in a thoughtful, measured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Brown reviewed a number of documents describing the physical evidence at the accident scene including the vehicle damage to determine the likely seat positions of the two occupants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 concluded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review of the supplied police investigation material I submit the following analysis.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Chrysler 300C sedan departed the north side of Nordel Way, crossed the north sidewalk, traveled through a pedestrian barrier and descended into a ravine. The Chrysler rolled over during the descent into ravine coming to rest on its wheels with the right side surfaces against some trees.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Chrysler carried 2 occupants, Mr. Auluck and Mr. Suran. Mr. Auluck was ejected and found along the fluid trail leading to the rest location of the Chrysler. Mr. Suran was found with his torso and head area on the right front seat, his feet and ankles were outside the vehicle under the lower edge of the right front door.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most significant impact was to the left edge of the roof, the primary impact in the roll over. The occupants would have been displaced outward from their seat positions during the roll. The occupant seated in the driver seat was likely ejected through the openings on the left side or roof of the vehicle after the impact to the left edge of the roof. The reclined driver's seat back would permit the occupant in the driver's seat to move about the occupant compartment with little restriction.</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occupant seated in the driver' seat would be the first occupant to be ejected and this would likely occurred after the impact to the left edge of the roof. Mr. Auluck was found along the fluid trail leading to the rest location of the vehicle. In my opinion, it is most likely that the Mr. Auluck was ejected from the driver's seat position as the vehicle rolled.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front seat occupant would have likely remained in the right half of the front occupant area as the vehicle rolled. The only exit portals for the right front occupant would have occurred at the end of the roll after the vehicle contacted the trees at its rest location.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final position of Mr. Suran is most consistent with him being seated in the right front seat area during the rollover.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Brown explained that when referring to direction in the context of accident reconstruction, everything is oriented to the driver. That means a reference to the left side of the vehicle when reconstructing an accident would mean left from the driver's perspective and a counter clockwise rotation would mean a rotation to the left from the driver's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He noted there was little evidence to determine which way the vehicle rotated as the car travelled down the embankment. But, he said, it is known that it descended the embankment it rolled over, completing at least one complete revolution, perhaps up to three but this is unlikely. While the vehicle landed resting on its wheels, it suffered a significant -- and its greatest -- impact on the left edge of the roof line, on the driver's side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that side, the roof structure is heavily buckled and deformed. Mr. Brown testified this likely caused the sunroof glass to break. The left (driver's) side windows are absent and likely broke when the vehicle landed on the roof edge. The roof shifted to the right causing it to matchbox with increased height over the right passenger front seat area. This, Mr. Brown explained, created lots of openings on the left side of the vehicle and above the driver after the first impact and rollover.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Brown explained the photo of the vehicle from the perspective of the windshield shows remnants of the seat frame on the passenger's side but this is not evident on the driver's side. Furthermore, Mr. Brown explained the headrest of the driver's seat was found along the debris path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Brown explained when a vehicle begins to roll the centrifugal force pushes the occupants of the vehicle to the outside edges not unlike when clothes are spun in a clothes dryer. The driver is pushed to the driver's door and the passenger to the passenger's door. The force of the rollover would confine the occupants in these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 said that force, however, could be displaced by another force if great enough. Such a force would be evident from the damage resulting from the initial impact of the counter force; this is reflected by the damage on the driver's side of the vehicle in this case. This impact also produced significant exit portals on the driver's side due to destruction of the roof, the driver's windows and the rear of the vehicle. In addition, the collapsed driver's seat would provide the driver with little movement restriction and therefore the driver was likely displaced out of the vehicle through the left side openings, sunroof or rear window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Brown noted the location that Mr. Auluck was found, being along the path of debris of the vehicle, along with the driver's headrest being found in that area is most consistent with Mr. Auluck being ejected from the driver's seat area during the rollover. He described the headrest as a telling piece of evidence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He opined the vehicle impacted a tree at the end of the roll causing the right side doors to partially open. Mr. Brown said that would have displaced the occupants to the right. The upper torso of Mr. Suran was on the right front seat back and his feet and ankles extended out of the vehicle between the lower edge of the right front door and the door sill. This displacement and rest location of Mr. Suran, Mr. Brown concluded, was most consistent with him being seated in the right passenger front seat during the rollover.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Brown explained several features provided the driver with little movement restriction, ultimately contributing to his ejection from the vehicle; these included the exit portals, the space created by the destruction of the left side window, the sunroof or rear window area and the lack of a driver's seat back. Conversely, the right front (passenger's) seat back being in an upright position and the intact windows provided limited space for that occupant to move in the compartment and exit the vehicle, until the right side of the vehicle impacted the tree thereby likely resulting in the right door 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cross-examination, Mr. Brown agreed there was no sign of seatbelts being used by the occupants. He also agreed it was not possible to determine which way the vehicle rotated when it initially left the ground. He noted, however, that one can know the side upon which primary impact was made; that side being the left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He agreed while there may have been other impacts on the vehicle, the severity of the impacts would be indicated by their effects on the occupants. During a rollover the occupants are pushed to the outside of the vehicle and it would require a major force to exceed that force to have an impact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Essentially, he explained if the force of the collision within the rollover is greater than the force of the rollover, that will affect the occupants. Another outside force has to be great enough to overcome the tumbling force pinning the occupants to the each side of the vehicle. In this case, what is known is that the left (driver's) side experienced a significant impact which would have affected the occupants. The driver's seat on the left had very significant exit portals. Mr. Brown explained the deformed seat back, plus the physical evidence of the driver's headrest and Mr. Auluck being ejected, led him to conclude the person who was ejected was most likely ejected from the driver's seat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Brown also noted that if Mr. Suran had come from the driver's seat to the front passenger's seat as his final resting place in the vehicle, he would expect to find Mr. Suran in that position with his head and torso down, and feet up, which was not the case. He also pointed to the feet wells creating some confinement. He explained it would be necessary for Mr. Suran to come up and over the obstacles such as the steering wheel and the console to land in the passenger's seat. He also explained that his feet were found outside the door because the car had dropped out from underneath him and he was not properly restrained.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cross-examination, Mr. Brown disagreed that the driver's seat had not reclined. In response to a photo reflecting a portion of that, he pointed to the perspective of the photo taken, and referenced as a better source of information the photo taken from the windshield directly referencing the driver and passenger's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Brown agreed in cross-examination he would have preferred to have more data. He said, however, certain pieces of evidence were very telling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Toor, an expert in mechanical engineering and the forensic applications of engineering, testified on behalf of Mr. Auluck. He has been qualified as an expert in matters before the British Columbia Supreme Court many times and operated Intech Engineering Ltd. since 1990, undertaking the technical reconstruction of numerous types of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Toor assessed the collision dynamics of the Chrysler 300 and the initial seated positions of the occupants in the vehicle. While he was unable to assess the accident scene himself, he reviewed the data provided to him, including photographs of the accident scene, the collision reconstructionist investigation report of Cpl. Hilliard, and a number of other RCMP calculations and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Toor disagreed with Cpl. Hilliard's report describing the passenger's door as "partially open" on the basis of his review of photographs which, from his perspective, illustrated the passenger's door of the Chrysler 300 as fully open. He also disagreed with the reference in the RCMP report that "the upper torso and head were located on the right side of the passenger seat and lower door sill" and said rather "the deceased occupant's body was predominantly outside the Chrysler vehicle with both feet trapped under the open passenger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cross-examination he did agree that an actual observation of the body at the scene would likely be more accurate than photographs later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Toor indicated that his review of the tire marks recorded by the RCMP in the scene evidence indicate the Chrysler 300 was likely in "yaw", that is twisting around a vertical axis. The inference is that the initial contact of the Chrysler 300 with the right rear end of the Nissan Xterra likely resulted in some rotation and displacement of the Chrysler 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cross-examination, Dr. Toor indicated the damage to the Nissan Xterra appeared to be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Prior to rolling over, he said the Chrysler 300 was traveling partly sideways with the right side leading. As the Chrysler 300 approached the region of the furrow marks it began dropping down towards the ravine and likely experienced a rollover. The vehicle likely rolled multiple times with multiple ground contacts but the specific rollover sequence and contacts cannot be assessed from the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Toor said in rollover events, occupant motion is subject to centripetal forces and impact forces from ground contacts. During each phase between ground contacts, the motion must be considered cumulative, as the endpoint of one phase is the starting point of the next phase.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Essentially, Dr. Toor explained there are two forces operating which affect the motion of the occupants. In a rollover everything would go to the outside and stay there. Once a point of contact occurs, the occupants would fall in the direction of the impact and this would start a new point for the movement of the occupants.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order to accurately establish the occupants' kinematics, Dr. Toor said the collision severity must be separately analyzed for each of the impacts sustained. Dr. Toor said there is insufficient data to assess the damages or collision severities sustained by the vehicle. This, he said, precludes the possibility of assessing occupant motion with any reasonable degree of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Toor explained that with the initial impact on the curb and traveling through the guardrail, some displacement of the occupants from their seats would occur. When the vehicle began to rotate the occupants were already displaced from their normal seat areas. It would therefore not be possible to know the start location of the occupants at the time of the rollover.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the final phase of the accident, when the remaining occupant's feet left the vehicle but got trapped under the door, his body would be moving outside the vehicle. Dr. Toor said the position of his feet was a good indicator that the occupant was completely outside the vehicle with his lower limbs trapped under the passenger's now fully open door. This is also a good indicator, he explained, that the occupant's limbs arrived on the ground before the vehicle door landed on top and therefore a full ejection of the occupant most likely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Toor also notes that in some cases material deposited in the car can be an indicator of the ejection path of various occupants. In this case though, that data does not appear to be available as the vehicle was entirely burnt. He notes there is incomplete knowledge of the vehicle's dynamics along with the physical evidence in the vehicle which precludes the possibility of technically assessing where the occupants were seated prior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Ultimately, Dr. Toor concludes the vehicle dynamics cannot be quantified with any reasonable degree of accuracy. There is no reasonable means of accurately determining which of the Chrysler 300's occupants were operating the vehicle. If one of the occupants was ejected by the sunroof, he says it was most likely the passenger in the vehicle. In this case, he also says it is most likely that both occupants were fully ejected from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There were differences between what Cpl. Hilliard and Dr. Toor concluded with respect to the partially reclined passenger's seat and the fully reclined driver's seat. Dr. Toor agreed, however, he was relying on photographs throughout in making 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were also differences as to when Cpl. Hilliard and Dr. Toor thought the passenger door might have opened. Although Cpl. Hilliard indicated this would have occurred on the final impact with the tree, Dr. Toor was of the view that it could have opened earlier, but this was not possible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Toor also agreed the force of the water from a fire hose when extinguishing the flames may have shifted the remaining occupant's body somewhat outside the vehicle. In cross-examination, it was pointed out if the occupant's body was fully outside the vehicle before his feet got trapped, how did part of it get back into the vehicle? He did not have a good explanation other than speculation that he may have sought to use the car as leverage to escape from the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next expert witness, Bradley Heinrichs, is a registered professional engineer with expertise in motor vehicle accident reconstruction and occupant dynamics in motor vehicle accidents. He has been working in motor vehicle accident reconstruction with MEA Forensic since 1997. He produced two reports dated May 26 and June 28, 2016. He was instructed to review certain materials, including the Delta Police records with photographs and the collision analyst report prepared by Cpl. Hilliard. He concludes it is not possible to determine who was driving the Chrysler 300 with the available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He disagrees with a number of points made in Cpl. Hilliard's report, in particular that the driver's seat back was "flattened rearward into the rear passenger compartment." He says the right edge was erect. He also says any recline in the seats was not sufficient to allow a properly restrained occupant to escape their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He also says the forces were of such intensity that Mr. Suran could have come to the right front door from an initial positon in either the left front or right front seats. If an early right side impact occurred during a rollover, this would send the unrestrained occupants to the right side of the vehicle. If early, Mr. Suran as the driver could have fallen into Mr. Auluck in the right front seat who may have been ejected through the right front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He says in particular in his report dated May 26, 2016 (at page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Cpl. Hilliard's description of Newton's law is correct, but his description of occupant motions in a rollover is incomplete. Occupants are not quite centrifuged to the outer surface of the vehicle like clothes in a dryer, because the vehicle is still moving and striking the ground. Occupant motions are more like a pebble inside a bouncing, rolling tire. They may be thrown outward against the outer surfaces of the vehicle, but they also fall across the vehicle when it strikes the ground or other objects as it rolls.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example, Corporal Hilliard describes a 270[degrees] role in the air after the initial trip, followed by a hard impact to the driver's side. This impact would send any unrestrained occupants towards the driver's side of the vehicle. Similarly, the numerous right side impacts would send unrestrained occupants to the passenger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Heinrichs prepared a response report to that of Mr. Brown. He noted it was important to have knowledge of the sequence and severity of the impacts on the occupants to understand the forces that were exerted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cross-examination, Mr. Heinrichs agreed he did not attend the accident scene. He utilized photographs of the vehicle when it was in the ICBC garage taken by an engineer in training from his office. He was unable to measure the dimensions of the interior and had no knowledge of the measurements of the two occupants, in terms of their height and weight. Debris was in the vehicle at the time. One of the photos he utilized had no roof on the vehicle while the scene photos show the roof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Cpl. Hilliard testified as an accident reconstruction analyst on the basis of his education and experience, which included a number of courses over the years dealing with motor vehicle accident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Cpl. Hilliard attended at the scene and took photographs and participated in the measurements of the evidence. He concluded, based on the forces acting upon the vehicle and its occupants when the vehicle left the roadway, the occupant that was found partially ejected from the vehicle at the bottom of the ravine was the front passenger. The other occupant, found ejected from the vehicle in the area prior to the vehicle going through the fence and into the ravine, was the driver of the vehicle. The driver and front seat passenger's final positions of rest were consistent with the fact that the vehicle's occupants' seatbelts were not being used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Cpl. Hilliard reviewed the physical evidence. He noted the driver's seat back was found flattened rearward into the rear passenger compartment and missing the seat back mounted headrest.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Cpl. Hilliard explained unrestrained front seat passengers continue in the same direction of travel until an outside force acts upon them. The vehicle had begun to rotate counter clockwise as a result of the left side tires striking the curb. When a vehicle is tripped like this, the occupants continue to travel sideways until an outside force acts upon them. In this case, the driver would strike the area of the sunroof and the passenger would strike the area at the top of the front passenger's door frame roof, with the vehicle structure becoming an outside force. The driver would place added pressure on the sunroof whereby it would become displaced; in fact, the sunroof in this case separated and was located west of the location of the trip. After its removal, there would be no solid object restraining the driver within the vehicle who would subsequently be ejected out the 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Cpl. Hilliard further opined the passenger would be forced against the door as the vehicle continued a counter clockwise rotation. The vehicle then fell off a retaining wall where the passenger's side struck a tree. This caused the front door to open and the passenger was partially ejected as the vehicle fell to its final position of rest. The occupant's ankles became trapped under the open door and the ground and was therefore unable to escape.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cross-examination, Cpl. Hilliard agreed he suggested the car tripped after the furrow but noted left tire marks continued past that. He agreed that something else may have created them but he disagreed the car went airborne. He agreed there were multiple impacts on this vehicle and he could not determine if the front end was damaged before the rollover.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considering the expert reports and testimony, I note both Mr. Brown and Cpl. Hilliard concluded Mr. Auluck was the driver of the vehicle and Mr. Suran was the front seat passenger. Importantly, Cpl. Hilliard is the only expert who attended at the scene and reviewed the physical evidence. He both photographed and documented that evidence at the time. He was clear that the driver's seat back was flattened rearward into the rear passenger compartment and missing the seat back mounted headrest. This was a point of contention between the experts based on photographs. There is no doubt, however, Cpl. Hilliard's report and testimony on this point is the best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Toor's view, based on photographs, that Mr. Suran's body was found predominantly outside the Chrysler 300 is inconsistent with the evidence of others, including Cpl. Hilliard, who described Mr. Suran's body largely in the passenger's seat with just his legs and feet outside; the feet being trapped under the passenger's side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While there was debate between the experts as to the effect of a number of impacts on the vehicle during the rollover, thereby creating a number of unknowns, I conclude there was sufficient key evidence as related by Mr. Brown and Cpl. Hilliard to establish the opinion that the ejected occupant, Mr. Auluck, was the driver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This evidence includes the impact on the left (driver's) side of the vehicle which created exit portals, and the deformation of the driver's seat resulting in a fully reclined seat. This eliminated the confined space situation and this non-confinement enabled the ejection of the person in the driver's seat. This is in contrast to the passenger's seat which, even if somewhat reclined, maintained confined quarters including the (closed) windows and intact passenger's door, which opened on impact with the tree when it reached its final resting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Further, the driver's headrest was also found among the debris where Mr. Auluck was located, supporting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Finally, the position of Mr. Suran, partially outside the vehicle but in a seated position on the passenger's side is significant. This is especially so in conjunction with Mr. Brown's testimony that if Mr. Suran had been the driver, and ended up in the passenger's seat due to the rollover, he would have been face down and not in a seated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There is no evidence other than the evidence of Mr. Marwaha, who I have found to be an unreliable witness, that Mr. Suran was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Marwaha was, however, consistent in one area -- his description of Mr. Auluck's behaviour prior to the accident as "crazy" and driving far too fast. This description, plus his gratuitous comments concerning Mr. Auluck's intense attachment to his new vehicle make it far more likely as Mr. Marwaha said, that Mr. Auluck would not let anyone else drive his car. It is therefore more likely Mr. Auluck was street racing and was the driver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As noted earlier, I have drawn an adverse inference against Mr. Auluck for his failure to testify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Ultimately, any uncertainties with respect to this matter are resolved when considering the expert evidence in conjunction with the evidence of the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Accordingly, I conclude, on a balance of probabilities, sufficient evidence exists to establish Mr. Auluck was the driver and Mr. Suran was the passenger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now turn to the second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Two: Was the passenger contributory negligent?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essential question to consider on whether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established is whether the plaintiff took reasonable care for his safety. A case such as this, as set out in </w:t>
      </w:r>
      <w:r>
        <w:rPr>
          <w:rFonts w:ascii="arial" w:eastAsia="arial" w:hAnsi="arial" w:cs="arial"/>
          <w:i/>
          <w:color w:val="000000"/>
          <w:sz w:val="20"/>
          <w:lang w:val="en-US" w:eastAsia="en-US" w:bidi="ar-SA"/>
        </w:rPr>
        <w:t>Lumanlan v. Sadler</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2008 BCSC 1554</w:t>
        </w:r>
      </w:hyperlink>
      <w:r>
        <w:rPr>
          <w:rFonts w:ascii="arial" w:eastAsia="arial" w:hAnsi="arial" w:cs="arial"/>
          <w:color w:val="000000"/>
          <w:sz w:val="20"/>
          <w:lang w:val="en-US" w:eastAsia="en-US" w:bidi="ar-SA"/>
        </w:rPr>
        <w:t xml:space="preserve">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essential consideration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whether the plaintiff took reasonable care for her safety by agreeing to become a passenger in a car driven by a person she knew to be intoxicated. There are many cases that stand for the proposition that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established when a person becomes the willing passenger of a drunk driver, and the proportions of fault vary with the circumstances. See: </w:t>
      </w:r>
      <w:r>
        <w:rPr>
          <w:rFonts w:ascii="arial" w:eastAsia="arial" w:hAnsi="arial" w:cs="arial"/>
          <w:i/>
          <w:color w:val="000000"/>
          <w:sz w:val="20"/>
          <w:lang w:val="en-US" w:eastAsia="en-US" w:bidi="ar-SA"/>
        </w:rPr>
        <w:t>Earnshaw v. Despins</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Nielson v. Brunet Estate (Public Trustee of)</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(1994), 95 B.C.L.R. (2d) 303</w:t>
        </w:r>
      </w:hyperlink>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48 B.C.A.C. 316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Shaw v. Storey</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(1991), 53 B.C.L.R. (2d) 257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Mushta v. Best</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[1998] B.C.J. No. 1346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Neufeld v. Foster</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[1999] B.C.J. No. 764</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Parties' Positons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Ms. Suran has not denied that Mr. Suran and Mr. Auluck were intoxicated and did not contest the supporting toxicology reports of Carolyn Kirkwood and Audrey Jakus. Ms. Suran argues, however, the only evidence regarding Mr. Suran's knowledge that Mr. Auluck was intoxicated and driving erratically comes from an unreliable source -- Mr. Marwaha. Furthermore, Ms. Suran points out that if that evidence is to be relied upon, it includes the observation that Mr. Suran urged Mr. Auluck to slow down. There is also no evidence as to whether Mr. Suran had the opportunity to exit Mr. Auluck's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Despite this, Ms. Suran concedes that Mr. Suran would likely be contributorily negligent to a certain degree given that the engineering evidence suggests he was not wearing a seatbelt. She also agrees he was likely aware Mr. Auluck was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Ms. Suran relies upon </w:t>
      </w:r>
      <w:r>
        <w:rPr>
          <w:rFonts w:ascii="arial" w:eastAsia="arial" w:hAnsi="arial" w:cs="arial"/>
          <w:i/>
          <w:color w:val="000000"/>
          <w:sz w:val="20"/>
          <w:lang w:val="en-US" w:eastAsia="en-US" w:bidi="ar-SA"/>
        </w:rPr>
        <w:t>Lumanlan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Glanville v. Moberg</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2014 BCSC 1336</w:t>
        </w:r>
      </w:hyperlink>
      <w:r>
        <w:rPr>
          <w:rFonts w:ascii="arial" w:eastAsia="arial" w:hAnsi="arial" w:cs="arial"/>
          <w:color w:val="000000"/>
          <w:sz w:val="20"/>
          <w:lang w:val="en-US" w:eastAsia="en-US" w:bidi="ar-SA"/>
        </w:rPr>
        <w:t xml:space="preserve"> to argue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set in the range of 20-25%.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Auluck defendants and Mr. Marwaha argue Mr. Suran should be found 40-50% contributorily negligent. They rely on a series of cases including </w:t>
      </w:r>
      <w:r>
        <w:rPr>
          <w:rFonts w:ascii="arial" w:eastAsia="arial" w:hAnsi="arial" w:cs="arial"/>
          <w:i/>
          <w:color w:val="000000"/>
          <w:sz w:val="20"/>
          <w:lang w:val="en-US" w:eastAsia="en-US" w:bidi="ar-SA"/>
        </w:rPr>
        <w:t>Chalinor v. Brown</w:t>
      </w:r>
      <w:r>
        <w:rPr>
          <w:rFonts w:ascii="arial" w:eastAsia="arial" w:hAnsi="arial" w:cs="arial"/>
          <w:color w:val="000000"/>
          <w:sz w:val="20"/>
          <w:lang w:val="en-US" w:eastAsia="en-US" w:bidi="ar-SA"/>
        </w:rPr>
        <w:t xml:space="preserve">, 1988 CanLII 3500 (A.B.Q.B.), </w:t>
      </w:r>
      <w:r>
        <w:rPr>
          <w:rFonts w:ascii="arial" w:eastAsia="arial" w:hAnsi="arial" w:cs="arial"/>
          <w:i/>
          <w:color w:val="000000"/>
          <w:sz w:val="20"/>
          <w:lang w:val="en-US" w:eastAsia="en-US" w:bidi="ar-SA"/>
        </w:rPr>
        <w:t>Bulic (Guardian ad litem of) v. McCarthy</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[1995] B.C.J. No. 2636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Allercott v. Laroque</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[1996] B.C.J. No. 102</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Mushta v. Wang</w:t>
      </w:r>
      <w:r>
        <w:rPr>
          <w:rFonts w:ascii="arial" w:eastAsia="arial" w:hAnsi="arial" w:cs="arial"/>
          <w:color w:val="000000"/>
          <w:sz w:val="20"/>
          <w:lang w:val="en-US" w:eastAsia="en-US" w:bidi="ar-SA"/>
        </w:rPr>
        <w:t>, 1998 CanLII 4708 (B.C.S.C.) in which the respective plaintiffs were found 40-50% contributorily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evidence, including the toxicology reports of Ms. Kirkwood and Ms. Jakus, both expert toxicologists, establishes both Mr. Auluck and Mr. Suran were intoxicated on the night in question. As noted earlier, Ms. Kirkwood testified her tests of Mr. Auluck's blood led her to conclude he had a blood alcohol level of 278, the equivalent of 20.5 oz. of hard liquor or 20.5 glasses of beer. He also had some marihuana in his system. The report of Ms. Jakus indicated Mr. Suran had a blood alcohol level of two times the legal limit, leading to a state of moderate to severe intoxication. While Mr. Marwaha's evidence was generally unreliable, he was consistent in his description of the erratic driving behaviour of Mr. Auluck and the consumption of drugs and alcohol that evening by Mr. Auluck and Mr. Suran. He was also consistent that Mr. Suran was concerned about Mr. Auluck's dangerous driving and Mr. Suran urged him to slow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While Ms. Suran says there is no evidence as to whether Mr. Suran had the opportunity to exit the vehicle, I conclude a number of opportunities arose over the course of the evening, including the stops described by Mr. Marwaha -- at the gas station, the Central City Pub, Mr. Moustarzak's residence, and Mr. Marwaha's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 conclude, however, similar to the remarks in </w:t>
      </w:r>
      <w:r>
        <w:rPr>
          <w:rFonts w:ascii="arial" w:eastAsia="arial" w:hAnsi="arial" w:cs="arial"/>
          <w:i/>
          <w:color w:val="000000"/>
          <w:sz w:val="20"/>
          <w:lang w:val="en-US" w:eastAsia="en-US" w:bidi="ar-SA"/>
        </w:rPr>
        <w:t>Lumanlan</w:t>
      </w:r>
      <w:r>
        <w:rPr>
          <w:rFonts w:ascii="arial" w:eastAsia="arial" w:hAnsi="arial" w:cs="arial"/>
          <w:color w:val="000000"/>
          <w:sz w:val="20"/>
          <w:lang w:val="en-US" w:eastAsia="en-US" w:bidi="ar-SA"/>
        </w:rPr>
        <w:t>, that much more of the fault in this situation belongs to Mr. Auluck. His erratic and dangerous behaviour was evident throughout the evening as described by Mr. Marwaha. While it was foolish for Mr. Suran to participate in this behaviour, Mr. Suran's judgment was impaired by alcohol as reflected in the evidence. He paid the ultimate price for this most unfortunate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cases cited by the defendants in which the plaintiffs were found 40-50% contributorily negligent involve "flagrant" lack of care for safety and/or playing a major role in the circumstances leading to the accident: </w:t>
      </w:r>
      <w:r>
        <w:rPr>
          <w:rFonts w:ascii="arial" w:eastAsia="arial" w:hAnsi="arial" w:cs="arial"/>
          <w:i/>
          <w:color w:val="000000"/>
          <w:sz w:val="20"/>
          <w:lang w:val="en-US" w:eastAsia="en-US" w:bidi="ar-SA"/>
        </w:rPr>
        <w:t>Allercott</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this case, while no doubt Mr. Suran did not take reasonable care for his safety by being a passenger in a car driven by a person he likely knew to be intoxicated, and he was likely not wearing a seatbelt, there is also evidence he tried to slow the driver down. Further, there is no evidence he encouraged the erratic dangerous behaviour of Mr. Auluck. In all the circumstances, I conclude Mr. Suran's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set at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now turn to the third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Three: Is Mr. Marwaha also liable for the accident?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As noted by counsel, when two or more people agree on an unlawful common course of action and a tort is committed, the tort is imputed to each person. See </w:t>
      </w:r>
      <w:r>
        <w:rPr>
          <w:rFonts w:ascii="arial" w:eastAsia="arial" w:hAnsi="arial" w:cs="arial"/>
          <w:i/>
          <w:color w:val="000000"/>
          <w:sz w:val="20"/>
          <w:lang w:val="en-US" w:eastAsia="en-US" w:bidi="ar-SA"/>
        </w:rPr>
        <w:t>Osborne v. Pavlick</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2000 BCCA 120</w:t>
        </w:r>
      </w:hyperlink>
      <w:r>
        <w:rPr>
          <w:rFonts w:ascii="arial" w:eastAsia="arial" w:hAnsi="arial" w:cs="arial"/>
          <w:color w:val="000000"/>
          <w:sz w:val="20"/>
          <w:lang w:val="en-US" w:eastAsia="en-US" w:bidi="ar-SA"/>
        </w:rPr>
        <w:t xml:space="preserve"> at para. 16 and </w:t>
      </w:r>
      <w:r>
        <w:rPr>
          <w:rFonts w:ascii="arial" w:eastAsia="arial" w:hAnsi="arial" w:cs="arial"/>
          <w:i/>
          <w:color w:val="000000"/>
          <w:sz w:val="20"/>
          <w:lang w:val="en-US" w:eastAsia="en-US" w:bidi="ar-SA"/>
        </w:rPr>
        <w:t>Chow v. Chan</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2007 BCSC 392</w:t>
        </w:r>
      </w:hyperlink>
      <w:r>
        <w:rPr>
          <w:rFonts w:ascii="arial" w:eastAsia="arial" w:hAnsi="arial" w:cs="arial"/>
          <w:color w:val="000000"/>
          <w:sz w:val="20"/>
          <w:lang w:val="en-US" w:eastAsia="en-US" w:bidi="ar-SA"/>
        </w:rPr>
        <w:t xml:space="preserve"> at para. 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Marwaha denies that he participated in a street race on August 4, 2008. He says he was driving to Boston Pizza to meet an acquaintance when by chance he came across the Chrysler 300. Both vehicles, he says, were traveling separately and to different destinations but coincidently crossed paths on route. Accordingly, having no common course of action with Mr. Auluck, he says he cannot be a joint tortfeasor with respect to the subsequent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Marwaha argues in the alternative that if he did participate in the street race, thereby opening himself up to liability as a joint tortfeasor, that ended once both vehicles stopped for a red light at Scott Road and Nordel Way, and therefore he was no longer a joint tortfeasor when the subsequent accident occurred. There was no evidence the road race was to continue and even if there was, he points out that he was detained by Cst. Johnston and could not have continued to participate even if he had wanted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Furthermore, Mr. Marwaha argues whoever was driving the Chrysler 300 at a high rate of speed after he was detained but prior to the accident was not doing so because they thought they were still in a road race with him. That person knew Mr. Marwaha had left the alleged race (on account of being detained) and undertook a separate and different enterprise -- escaping from police arrest. The accident, he says, was therefore a remote event for which Mr. Marwaha is not responsible. The potential joint tort was over when the Chrysler 300 backed up and fled the police at a high rate of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Suran argues, however, that the street race, Mr. Auluck fleeing, and ultimately the accident were all a product of the same joint venture, which Mr. Marwaha participated in. It was reasonably foreseeable that if he were to participate in a street race on a busy street such as Scott Road the police would eventually interfere, and Mr. Auluck would flee from the police while he was drunk and high, which could lead to a motor vehicle accident, either during the race or as one of the parties fled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While Mr. Marwaha argues that he withdrew from the street race and is no longer liable for the results of Mr. Auluck's continued dangerous driving, Ms. Suran further says that argument can only succeed if this was an intervening event such that it severed the link of causation, which she argues is not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evidence establishes that on the night of the accident, Mr. Marwaha consumed alcohol with Mr. Suran and Mr. Auluck while in Mr. Auluck's vehicle. He also participated in events that included driving to various locations including a crack shack, and the Central City Pub to obtain liquor while the three were driving earlier that evening. He was clear in his testimony that Mr. Auluck was driving dangerously, erratically, and at high speed throughout these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There is no question Mr. Marwaha had knowledge of the condition of Mr. Auluck and Mr. Suran, and that Mr. Auluck had been engaged in high speed and erratic events that evening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Marwaha, however, disputes engaging in a street race. He says he was rushing to get to Boston Pizza and happened to come across the Chrysler 300 en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As indicated earlier, Mr. Marwaha's evidence on this point is completely unreliable. It is also contradicted by, among other things, the more reliable evidence of Cst. Johnston, which establishes the street race occurred. Cst. Johnston observed the vehicles driving in excess of 140 km/h and jockeying for position as they traveled at this high speed. He made a U-turn and while attempting to catch up, noted the vehicles were pulling away from him. It was not until the vehicles screeched to a halt at a red light at the intersection of Scott Road and Nordel Way, did he catch up. This all points to a street race having been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Even though Mr. Marwaha has testified that he stopped racing when he saw the alleged "police road block" at the intersection, which I do not believe existed, that would not exculpate him from liability. The accident occurred within minutes and not far from the arrest of Mr. Marwaha; I do not find the time and distance to be such that the causal connection is severed: </w:t>
      </w:r>
      <w:r>
        <w:rPr>
          <w:rFonts w:ascii="arial" w:eastAsia="arial" w:hAnsi="arial" w:cs="arial"/>
          <w:i/>
          <w:color w:val="000000"/>
          <w:sz w:val="20"/>
          <w:lang w:val="en-US" w:eastAsia="en-US" w:bidi="ar-SA"/>
        </w:rPr>
        <w:t>Spencer v. Rozon</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2000 BCSC 674</w:t>
        </w:r>
      </w:hyperlink>
      <w:r>
        <w:rPr>
          <w:rFonts w:ascii="arial" w:eastAsia="arial" w:hAnsi="arial" w:cs="arial"/>
          <w:color w:val="000000"/>
          <w:sz w:val="20"/>
          <w:lang w:val="en-US" w:eastAsia="en-US" w:bidi="ar-SA"/>
        </w:rPr>
        <w:t>. Further, the accident was caused by Mr. Auluck fleeing arrest for the very same matter that Mr. Marwaha participated in -- i.e. the street race and resulting dangerous operation of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This is unlike </w:t>
      </w:r>
      <w:r>
        <w:rPr>
          <w:rFonts w:ascii="arial" w:eastAsia="arial" w:hAnsi="arial" w:cs="arial"/>
          <w:i/>
          <w:color w:val="000000"/>
          <w:sz w:val="20"/>
          <w:lang w:val="en-US" w:eastAsia="en-US" w:bidi="ar-SA"/>
        </w:rPr>
        <w:t>R. v. Menezes</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[2002] O.J. No. 551</w:t>
        </w:r>
      </w:hyperlink>
      <w:r>
        <w:rPr>
          <w:rFonts w:ascii="arial" w:eastAsia="arial" w:hAnsi="arial" w:cs="arial"/>
          <w:color w:val="000000"/>
          <w:sz w:val="20"/>
          <w:lang w:val="en-US" w:eastAsia="en-US" w:bidi="ar-SA"/>
        </w:rPr>
        <w:t xml:space="preserve"> (S.C.J.), where the defendant slowed down to the other driver's knowledge, and therefore willingly withdrew from the race prior to the resulting accident caused by the other driver, who decided to continue the street race on his own. In this case, neither party willingly withdrew from the race and instead attempted to flee the police, with Mr. Marwaha ultimately being apprehended at gunpoint.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conclude Mr. Marwaha in the Cadillac and Mr. Auluck in the Chrysler 300 were engaged in a common (unlawful) course of action that ultimately precipitated the catastrophic accident and death of Mr. Suran. It was reasonably foreseeable, as argued by Ms. Suran, that participation by Mr. Marwaha in a street race at high speed on a busy street would attract police attention and action, which it did. It was also reasonably foreseeable that Mr. Auluck would flee the police as he did, based on his erratic and dangerous behaviour throughout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There is, therefore, sufficient proximity and foreseeability for Mr. Marwaha to be found partially liable for the accident. As he was indeed stopped by the police and could no longer participate in the race, I conclude Mr. Marwaha's culpability for the accident lies at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AND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My principal findings can be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One</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Gurnam Auluck was the driver of the Chrysler 300 at the time of the accident and is liable for the accident.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Two</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Jasvinder Suran was the passenger of the Chrysler 300 at the time of the accident and is 25% contributorily negligent.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Three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Gurbinder Marwaha is a joint tortfeasor with Mr. Gurnam Auluck and is 10%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order that liability be apportioned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If the parties are unable to agree on costs, they are at liberty to file an application within 45 days of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BURKE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Theiss v. Shorter, [2016] B.C.J. No. 1871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W.G. Baker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18-19 and 21,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M152208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1871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1634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Pamela Jane Theiss, Plaintiff, and Bradley James Shorter,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5"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43" w:name="Keywords_33"/>
      <w:bookmarkEnd w:id="343"/>
      <w:r>
        <w:rPr>
          <w:rFonts w:ascii="arial" w:eastAsia="arial" w:hAnsi="arial" w:cs="arial"/>
          <w:b/>
          <w:color w:val="000000"/>
          <w:sz w:val="20"/>
          <w:lang w:val="en-US" w:eastAsia="en-US" w:bidi="ar-SA"/>
        </w:rPr>
        <w:t xml:space="preserve">Transportation law — Motor vehicles and highway traffic — Rules of the road — Intersections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Speed limits — Rate of speed — Turns — Left turn at intersection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Theiss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from Shorter, arising from motor vehicle accident, allowed — Theiss not negligent in entering left turn lane and trying to execute left turn at intersection given that approaching Shorter vehicle sufficient distance away not to constitute hazard — Collision in intersection caused by Shorter's excessive speed of at least 100 kph in 50 kph zone and his entrance into intersection on amber light — Theiss gave credible account, while Shorter gave testimony inconsistent with prior statements and did not know speed limit or his actual speed at time of accident — Motor Vehicle Act, ss. 128, 140, 144, 174.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4" w:name="Case Summary_30"/>
            <w:bookmarkEnd w:id="3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Theiss seeking damages from Shorter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an October 2012 motor vehicle accident. Theiss was southbound on Helmcken Road, intending to turn left at Chancellor Avenue. Shorter was northbound on Helmcken, intending to travel straight though the Chancellor intersection. It was dark outside but the roads and intersection were well lit at the time of the collision. Theiss testified she entered the intersection when the light turned green and stopped in the left turn lane. She testified she was on the lookout for pedestrians and cyclists. She saw a northbound vehicle's headlights approaching the intersection some distance away. Shorter testified that he saw from some distance away that the light facing him was green and that there was a vehicle facing him in the intersection's left turn lane. Theiss moved forward and stopped again to have a look. Satisfied that the approaching vehicle was still some distance away, and noting that the light facing her had turned amber, Theiss began her left turn. She was part way into the northbound curb lane when she saw lights in her peripheral vision and knew a collision was imminent. She tried to speed up to complete her turn but was struck broadside by Shorter's vehicle. The collision actually occurred to the right of the intersection, as Shorter had turned right to try to avoid the collision as well. Both vehicles sustained major damage. An expert in accident reconstruction opined that Shorter was travelling 65 to 70 kph when the accident took place, that he had applied his brakes prior to impact, and that he was travelling about 110 kph before he braked. Another expert opined Shorter was travelling between 71 and 76 kph at the time of the collision. The speed limit on Helmcken was 50 kph. Shorter refused to accept either estimate.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5" w:name="Holdings of Court_25"/>
            <w:bookmarkEnd w:id="34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cause of the accident was Shorter's excessive speed in excess of 100 kph, and his entering the intersection on an amber light while Theiss was in the process of completing a left turn through the intersection and was there to be seen. Theiss was a credible witness whose testimony was consistent with her prior out-of-court statements. Shorter was not a careful witness. He contradicted statements he made before the trial and provided trial testimony that was internally inconsistent. He was unaware of the actual speed limit in the area in which he was travelling and admitted he usually drove over the speed limit. He changed his story about the colour of the light when he entered the intersection. He was unsure about how fast he was actually driving. Theiss tried to make her turn when the Shorter vehicle was sufficiently far from the intersection that it did not pose a hazard. She drove in a prudent and reasonable manner and could not have reasonably predicted Shorter's excessive speed.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6" w:name="Legislation Cited_27"/>
      <w:bookmarkEnd w:id="3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6"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 1996, s. 128, s. 140, s. 144,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47" w:name="Counsel_34"/>
      <w:bookmarkEnd w:id="34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7"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G.W. Kent Scarborough, Stephen G. Herman &amp; Stefan Wittman.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Eric Lundberg.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8" w:name="Judgment_34"/>
      <w:bookmarkEnd w:id="348"/>
      <w:r>
        <w:pict>
          <v:line id="_x0000_s1198"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9" w:name="W.G. BAKER J."/>
            <w:bookmarkEnd w:id="349"/>
            <w:r>
              <w:rPr>
                <w:rFonts w:ascii="arial" w:eastAsia="arial" w:hAnsi="arial" w:cs="arial"/>
                <w:b/>
                <w:color w:val="000000"/>
                <w:sz w:val="30"/>
                <w:lang w:val="en-US" w:eastAsia="en-US" w:bidi="ar-SA"/>
              </w:rPr>
              <w:t>W.G. 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October 25, 2012, a vehicle driven by the Defendant, Mr. Shorter, collided broadside with a vehicle driven by the Plaintiff, Ms. Theiss, at the intersection of Helmcken Road and Chancellor Avenue in View Royal, British Columbia. Ms. Theiss alleges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Shorter. Mr. Shorter disputes this allegation and says the accident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Theiss. This trial concerns the issue of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about 7:50 p.m. on October 25, Ms. Theiss was southbound on Helmcken Road in View Royal, which is part of the greater Victoria area of Vancouver Island. She had been shopping and was on her way to her home, but intended to turn left (east) at Chancellor Avenue in order to stop at the Helmcken Market located on the corner of the intersection of Helmcken Road and Chancellor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Shorter was northbound on Helmcken Road. He was driving home from his workplace which was located approximately four kilometers from the site of the accident. He had exited onto Helmcken Road from a highway. He intended to pass through the intersection of Helmcken Road and Chancellor Avenue and to continue northbound.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Theiss was 61 years old at the time of the accident. She had retired from her employment with the Vancouver Island Health Authority in 2009 and then worked in retail fashion. She had lived in the same area for about 13 years and estimated at trial that she had driven through the intersection of Helmcken Road and Chancellor Avenue on about 1,000 prior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Shorter was 52 years old at the time of the accident. At time of trial he was living in 100 Mile House in the British Columbia interior, but in October 2012 he lived in Cordova Bay on Vancouver Island and was employed as a salesman for a General Motors/Chrysler dealership. He had had that job for about five weeks at the time of the accident and during those five weeks had driven through the intersection of Helmcken Road and Chancellor Avenue five days a week. His brother lived in the area and Mr. Shorter was also familiar with the area for that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Helmcken Road had two northbound lanes and two southbound lanes. At the intersection with Chancellor Avenue there is a left-turn lane for southbound traffic intending to turn left (east) onto Chancellor and a left-turn lane for northbound traffic intending to turn left (west) onto Chancellor Avenue. There are signal lights for traffic suspended above the intersection and also at the side of the intersection. There are no dedicated left-turn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Traffic exits off the highway onto Helmcken Road near or at the top of a hill. Traffic heading northbound on Helmcken Road descends the hill, goes around a slight curve, and then up a slight incline approaching the intersection with Chancellor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no dispute that the posted speed limit on the relevant portion of Helmcken Road was 50 kilometres per hour on October 25,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was dark outside on that evening but the intersection is illuminated by street lights. Ms. Theiss testified that as she approached the intersection with Chancellor Avenue, she was in the lane closest to the center line that divides southbound and northbound traffic. As she approached the intersection, the light for south and northbound traffic turned green. She moved into the left-hand turn lane and stopped at the stop line. Her headlights were illuminated and her left turn signal 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Thiess was conscious of the fact that a popular hiking and biking trial crosses Chancellor Avenue and was on the look-out for pedestrians and cyclists. In addition to watching for oncoming traffic in the two northbound lanes of Helmcken Road, Ms. Theiss was scanning the north-south crosswalk of Chancellor Avenue over which she would need to pass to turn left onto Chancellor.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Ms. Theiss stopped at the stop-line, she could see the headlights of a vehicle up on the hill close to where traffic exited off the highway. This vehicle was some distance away from her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Shorter confirmed that after he exited off the highway onto Helmcken Road he could see that the light was green for traffic on Helmcken Road at the intersection with Chancellor Avenue. He was in the outside northbound lane. Mr. Shorter testified that as he exited off the highway there was a pick-up truck beside him, in the center lane. Mr. Shorter testified that he initially kept pace with this vehicle but that it eventually pulled ahead of him (I shall comment later on inconsistencies in his testimony in relation to the distance between this vehicle and his own), and that it passed through the intersection of Helmcken Road and Chancellor Avenue before the collision between his vehicle and that of Ms. Theiss.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Theiss had no recollection of more than one northbound vehicle and she testified that no vehicle passed through the intersection while she was waiting, or in the process of making her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general, I found Ms. Theiss to be a more careful and consistent witness than Mr. Shorter. I think it is likely that Mr. Shorter is mistaken in his recollection of the presence of the pick-up truck, but in any event, I am not persuaded that the presence of the truck, if there was one, changes my conclusions in relation to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am not persuaded that the pick-up truck prevented Mr. Shorter from seeing Ms. Theiss' vehicle. In any event, he was aware that there was a vehicle intending to turn left at the intersection. Mr. Shorter testified that when he drew near the second set of lights at the top of the hill on Helmcken Road he could see that there was a southbound vehicle in the left-turn lane at the intersection with Chancellor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From the facts related so far I conclude two things ? that as Mr. Shorter was driving towards the intersection with Chancellor Avenue he knew that the traffic light at the intersection had been green for some time; and he knew there was a vehicle intending to turn left, which would bring that vehicle across his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stopping at the stop line and checking for oncoming traffic, Ms. Theiss pulled forward into the intersection and stopped a second time, in order to again check for oncoming vehicles; and also to scan the crosswalk crossing Chancellor Avenue to check for pedestrians or bicycles. She saw two people standing by the Helmcken Market, but no one in the crosswalk. At this point the oncoming vehicle was still some considerable distance away, around the area where Helmcken Road curves slightly. Concluding that it was safe to do so, Ms. Theiss started her left turn, driving first across the northbound center lane; and then into the northbound curb lane. While she was already in the intersection and as she commenced her turn, she noticed the light for Helmcken Road traffic turn from green to amber.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Theiss testified that when her vehicle was part-way into the northbound curb lane she suddenly saw bright lights in her peripheral vision and the lights appeared to be following her. She realized a collision was imminent and attempted to accelerate through the intersection, but her vehicle was struck broadside by Mr. Shorter's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collision actually occurred outside of the intersection. The expert evidence and that of both parties indicates that when Mr. Shorter realized a collision was imminent, he steered his vehicle sharply to the right, in the direction that Ms. Theiss was heading. Had he not done so, it is more probable than not that Mr. Shorter's vehicle would have passed behind Ms. Theiss' vehicle as she passed out of the northbound curb lane, and the collision would not have occurred. The plaintiff does not allege, however; and I do not conclude that Mr. Shorter's steering action, done as it was in the agony of the moment,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without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Shorter does not recall whether he also stepped on his brake, but I conclude it is more probable than not that he did so at the same time he steered his vehicle sharply to the right. I accept the testimony of the plaintiff's engineering and accident reconstruction expert, Trevor Dinn, that studies indicate that the majority of drivers in similar situations react by braking in an attempt to slow their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collision involved considerable force. Ms. Theiss' vehicle was spun around by the impact and both vehicles ended up some distance from the point of impact. All of the airbags in Mr. Shorter's vehicle inflated. His vehicle sustained damage in excess of $20,000 and was "written off" rather than repaired. Ms. Theiss' airbags did not deploy (it was an older vehicle so possibly did not have side airbags), but the vehicle was certainly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Shorter's position is that Ms. Theiss was negligent in making a left turn across the path of his vehicle when he was so close to the intersection that she should have perceived that a collision would occur. Ms. Theiss' position is that the accident was caused by Mr. Shorter's excessive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parties referred the Court to certain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R.S.B.C. 1996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that apply in the circumstances of this case. Section 174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[1963] B.C.J. No. 14</w:t>
        </w:r>
      </w:hyperlink>
      <w:r>
        <w:rPr>
          <w:rFonts w:ascii="arial" w:eastAsia="arial" w:hAnsi="arial" w:cs="arial"/>
          <w:color w:val="000000"/>
          <w:sz w:val="20"/>
          <w:lang w:val="en-US" w:eastAsia="en-US" w:bidi="ar-SA"/>
        </w:rPr>
        <w:t xml:space="preserve"> (C.A.), the Court stated, at para. 25 that the time at which the question of immediate hazard arises: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is the moment before the driver who proposes to make a left turn actually commences the turn and not some earlier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Section 140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applies to speeding.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traffic control devices as indicated in section 138 or 139 are erected or placed on the highway, a person must not drive or operate a vehicle at a greater rate of speed than, or in a manner different from, that indicated on the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Section 128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rules relating to yellow traffic lights. It reads:</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yellow light alone is exhibited at an intersection by a traffic control signal, following the exhibition of a green light,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Section 144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often cited, provides the general rule that drivers must drive with "due care and attention" and with "reasonable consideration for other persons using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Accidents involving left-turning vehicles and vehicles passing directly through an intersection are, unfortunately, very common and there are numerous authorities dealing with this basic fact pattern. As has been noted in many cases, the statutory provisions provide guidance but do not provide a complete legal framework. In support of this proposition,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19, the Court referred to the statement of Justice Lambert in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xml:space="preserve"> (1992), </w:t>
      </w:r>
      <w:hyperlink r:id="rId443" w:history="1">
        <w:r>
          <w:rPr>
            <w:rFonts w:ascii="arial" w:eastAsia="arial" w:hAnsi="arial" w:cs="arial"/>
            <w:i/>
            <w:color w:val="0077CC"/>
            <w:sz w:val="20"/>
            <w:u w:val="single"/>
            <w:shd w:val="clear" w:color="auto" w:fill="FFFFFF"/>
            <w:lang w:val="en-US" w:eastAsia="en-US" w:bidi="ar-SA"/>
          </w:rPr>
          <w:t>1992 CanLII 995</w:t>
        </w:r>
      </w:hyperlink>
      <w:r>
        <w:rPr>
          <w:rFonts w:ascii="arial" w:eastAsia="arial" w:hAnsi="arial" w:cs="arial"/>
          <w:color w:val="000000"/>
          <w:sz w:val="20"/>
          <w:lang w:val="en-US" w:eastAsia="en-US" w:bidi="ar-SA"/>
        </w:rPr>
        <w:t xml:space="preserve"> (BC CA), </w:t>
      </w:r>
      <w:hyperlink r:id="rId443" w:history="1">
        <w:r>
          <w:rPr>
            <w:rFonts w:ascii="arial" w:eastAsia="arial" w:hAnsi="arial" w:cs="arial"/>
            <w:i/>
            <w:color w:val="0077CC"/>
            <w:sz w:val="20"/>
            <w:u w:val="single"/>
            <w:shd w:val="clear" w:color="auto" w:fill="FFFFFF"/>
            <w:lang w:val="en-US" w:eastAsia="en-US" w:bidi="ar-SA"/>
          </w:rPr>
          <w:t>90 D.L.R. (4th) 322</w:t>
        </w:r>
      </w:hyperlink>
      <w:r>
        <w:rPr>
          <w:rFonts w:ascii="arial" w:eastAsia="arial" w:hAnsi="arial" w:cs="arial"/>
          <w:color w:val="000000"/>
          <w:sz w:val="20"/>
          <w:lang w:val="en-US" w:eastAsia="en-US" w:bidi="ar-SA"/>
        </w:rPr>
        <w:t xml:space="preserve"> at 326,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as a driver turns left is whether there is any vehicle in any approaching lanes that constitutes an immediate hazard. If there is, the turn should not be made. If there is not, then the turn can be made and of course, care should be taken throughout the turn and as each new lane is entered to make sure that the situation as it was assessed when the turn started has not changed in the meantime. But that case is more a matter of the ordinary duty of a reasonably careful driver and not a duty, in my view, imposed specifically by s. 176 (now s. 174) which, in my view, states the situation when the turn is commenced. Once the turn is commenced both of the drivers in that situation, the one who is doing a left turn and the ones that are approaching straight ahead in a situation where a vehicle could turn in front of them, all must keep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At para. 21 of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Shorter's counsel provided the Court with several authorities in which the servient left-turning driver was found to be partially or entirely at fault. In some of these cases the dominant straight-through driver was driving in excess of the speed limit. The authorities cited by the defendant include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cited above; and </w:t>
      </w:r>
      <w:r>
        <w:rPr>
          <w:rFonts w:ascii="arial" w:eastAsia="arial" w:hAnsi="arial" w:cs="arial"/>
          <w:i/>
          <w:color w:val="000000"/>
          <w:sz w:val="20"/>
          <w:lang w:val="en-US" w:eastAsia="en-US" w:bidi="ar-SA"/>
        </w:rPr>
        <w:t>Mills v. Seifred</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2009 BCSC 447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 v. Garrett</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2009 BCSC 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xml:space="preserve">, cited earlier; </w:t>
      </w:r>
      <w:r>
        <w:rPr>
          <w:rFonts w:ascii="arial" w:eastAsia="arial" w:hAnsi="arial" w:cs="arial"/>
          <w:i/>
          <w:color w:val="000000"/>
          <w:sz w:val="20"/>
          <w:lang w:val="en-US" w:eastAsia="en-US" w:bidi="ar-SA"/>
        </w:rPr>
        <w:t>Strul v. Mondares</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2015 BCSC 284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Rollins v. Lovely</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2007 BCSC 1752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Ms. Theiss' counsel provided additional authorities, including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cited earlier; </w:t>
      </w:r>
      <w:r>
        <w:rPr>
          <w:rFonts w:ascii="arial" w:eastAsia="arial" w:hAnsi="arial" w:cs="arial"/>
          <w:i/>
          <w:color w:val="000000"/>
          <w:sz w:val="20"/>
          <w:lang w:val="en-US" w:eastAsia="en-US" w:bidi="ar-SA"/>
        </w:rPr>
        <w:t>Brucks v. Caslavsky</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[1994] B.C.J. No. 996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Bains v. Gisrack</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[1995] B.C.J. No. 1314</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Lee v. Tse</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2013 BCSC 1740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Uyeyama (Guardian ad litem of) v. Wittenberg</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[1985] B.C.J. No. 1883</w:t>
        </w:r>
      </w:hyperlink>
      <w:r>
        <w:rPr>
          <w:rFonts w:ascii="arial" w:eastAsia="arial" w:hAnsi="arial" w:cs="arial"/>
          <w:color w:val="000000"/>
          <w:sz w:val="20"/>
          <w:lang w:val="en-US" w:eastAsia="en-US" w:bidi="ar-SA"/>
        </w:rPr>
        <w:t xml:space="preserve"> (C.A.);and </w:t>
      </w:r>
      <w:r>
        <w:rPr>
          <w:rFonts w:ascii="arial" w:eastAsia="arial" w:hAnsi="arial" w:cs="arial"/>
          <w:i/>
          <w:color w:val="000000"/>
          <w:sz w:val="20"/>
          <w:lang w:val="en-US" w:eastAsia="en-US" w:bidi="ar-SA"/>
        </w:rPr>
        <w:t>Foufoulas v. Danvers</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2000 BCSC 1088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Having considered the whole of the evidence and the applicable authorities, I have concluded that the sole cause of the accident was Mr. Shorter's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driving at an excessive speed and entering the intersection on an amber light when Ms. Theiss' vehicle was in the process of completing a left turn through the intersection and was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Neither of the parties to the litigation provided evidence that was entirely consistent with previous out-of-court statements, particularly in relation to estimates of the speed at which Mr. Shorter was travelling. However, I found Ms. Theiss to be a careful witness at trial, doing her best to recall her actions and observations prior to an unexpected event that clearly shocked both drivers, and in general I prefer her testimony where it conflicts with that of Mr. Shorter.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Shorter was not a careful witness. He contradicted statements he had made before trial; and his testimony at trial was internally inconsistent. He also proved unusually testy in response to a polite and professional cross-examination; essentially asserting that with his superior driving skills he could not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Shorter agreed in cross-examination that he did not know the speed limit on the stretch of Helmcken Road where the accident happened. He said he thought (he could more properly have said he assumed) that it was either 50 kph or 60 kph. He testified that he usually drives 5 to 10 kph over the posted speed limit (as do many, if not most drivers in British Columbia). Mr. Shorter testified that he was driving 60 kph but this estimate was, in my view, nothing more than a guess. Mr. Shorter had not looked at the speedometer of his vehicle at any time after he exited the highway onto Helmcken Road. Although he was travelling downhill he did not apply his brakes to slow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have already said that I am not persuaded that there was a black pick-up truck travelling in the same direction as Mr. Shorter prior to the collision, but his testimony about the truck illustrates the inconsistent nature of Mr. Shorter's testimony. In an interview with a police officer immediately after the collision happened, Mr. Shorter told Constable Chow that the pick-up truck was "...probably 50 yards ahead of me". On examination for discovery, he testified that the truck was 10 car lengths ahead of his vehicle and that the two vehicles maintained a constant distance as they drove down Helmcken Road. When asked to estimate the distance between his vehicle and the black pick-up at trial, he said it was several car lengths ahead ? perhaps five to 15 car lengths; or 25 metres; or 50 metres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his police interview, Mr. Shorter first told the police officer that the light for traffic on Helmcken Road turned amber just as the truck was entering the intersection with Chancellor Avenue. Later in that interview he said perhaps the truck was through the intersection when the light turned amber. At trial, Mr. Shorter said the light turned amber just before he saw the plaintiff's vehicle crossing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trial, Mr. Shorter maintained that he was driving 60 kph on Helmcken Road, based on "feel". He was adamant that he was not driving in excess of 100 kph as he approached the intersection; or even the 70 to 76 kph estimated by both the plaintiff's expert and the defence expert to be his speed immediately prior to impact. I conclude that Mr. Shorter does not know how fast he was driving on Helmcken Road as he approached the intersection. He testified he usually drove 5 to 10 kph over the speed limit and he thought the speed limit might have been as much as 60 kph, which would make it more likely he was driving at least 65 or 70 kph based on his own testimony, yet he maintained he was only driving 60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Accident reconstruction engineers Trevor Dinn and Harvey West testified as expert opinion witnesses for the plaintiff and the defendant, respectively. Mr. Dinn had prepared a "Vehicle Incident Report"; Mr. West was asked to review and critique Mr. Dinn's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Dinn was asked to provide his opinion on the vehicle speeds prior to impact; and what opportunity Mr. Shorter had to avoid the collision. It was Mr. Dinn's opinion that it was highly probable that in addition to swerving to the right prior to impact, Mr. Shorter also braked. Utilizing a variety of assumptions that are discussed in Mr. Dinn's report; and about which he was cross-examined extensively at trial, Mr. Dinn's opinion is that Mr. Shorter was probably travelling at a speed of about 110 kph before taking evasive action by swerving to the right and braking.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Dinn calculated that Mr. Shorter's vehicle was still travelling at a speed of 65 to 70 kph when it collided with Ms. Theiss' vehicle. Her vehicle speed was estimated to be 30 to 35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West performed his own calculations to determine the accuracy of Mr. Dinn's calculation of the speed of the Shorter vehicle at time of impact. His calculations indicated that the Shorter vehicle was probably travelling 71 to 76 kph (most probably 74 kph according to his calculation) when it struck Ms. Theiss'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Mr. Dinn's opinion, if Mr. Shorter had been travelling at approximately 65 to 70 kph when he perceived Ms. Theiss' vehicle to be a hazard, he could have avoided the collision by staying in his lane instead of swerving to the right. If he had been travelling at 59 kph or less and steered to the right, the collision would not have happened because Ms. Theiss' vehicle would already have passed out of the path of Mr. Shorter's vehicle. If Mr. Shorter had been travelling at 98 kph when he perceived Ms. Theiss' vehicle to be a hazard, he could have avoided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West took some issue with Mr. Dinn's definition of when the Theiss vehicle would be perceived to be a hazard, but I found Mr. West's testimony to be disjointed and unpersuasive. He failed to bring to court some of the papers and calculations he had used in arriving at his opinion. He was also unaware that Ms. Theiss had pulled ahead into the intersection before commencing her left-hand turn and assumed she had started her turn from the stop line ? an assumption that rendered his calculations of Mr. Shorter's hazard perception times to be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Shorter refused to accept the opinions of both experts that he was travelling well in excess of 60 kph at time of impact and as much as 110 kph prior to braking. His own expert estimated his speed at impact to be between 71 and 76 kph, and most likely 74 kph at impact. If Mr. Shorter had been travelling at 60 kph as he drove towards the intersection, then he would have to have sped up as he neared and entered the intersection in order to have achieved a speed of 74 kph at impact, a very dangerous thing to do when he was aware there was a vehicle waiting to make a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found the opinions in Mr. Dinn's report, reinforced by his response to rigorous cross-examination and some questions from the Court, to be logical, reasonable and persuasive, and the assumptions on which he based his opinions to be supported by the evidence. I conclude that Mr. Shorter was travelling at an excessive rate of speed as he approached the intersection ? probably a speed in excess of 100 kph and possibly as great as 110 kph ? more than twice the posted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Theiss commenced her left turn when the defendant's vehicle ? had it not been been travelling at an excessive speed ? was sufficiently far from the intersection that it did not pose a hazard. She could not, in my view, have anticipated that the approaching vehicle was travelling at twice the posted speed limit. As such, and given that she was well into her turn when Mr. Shorter approached the intersection, he was obliged to yield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Shorter knew, I conclude, that the light at Chancellor Avenue for traffic on Helmcken Road had been green almost from the time he entered Helmcken Road and should have anticipated that it would turn to amber or red before he reached the intersection. He also knew that there was a southbound vehicle stopped at the intersection waiting to make a left turn. He was aware there was no left turn light and that vehicles wishing to turn left often did so on an amber light. Had he not been driving at an excessive rate of speed he could have stopped before entering the intersection, or had a greater opportunity to consider his options and to avoid the swerve to the right that was a contributing factor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is, in my view, one of those rare instances in which the left-turning servient driver is not at fault. Ms. Theiss drove in a prudent and reasonable manner ? stopping twice to check the distance from the intersection of the oncoming vehicle; and checking to ensure no pedestrians or cyclists were in the crosswalk. She was familiar with the intersection and able to make a reasonable estimate of when she could safely make it through the intersection before oncoming traffic reached the intersection. She could not reasonably have predicted the highly excessive rate of speed at which I have concluded Mr. Shorter was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find Mr. Shorter's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driving at an excessive rate of speed and failing to keep a proper look-out for left-turning vehicles to be the sole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Theiss shall have her costs incurred in relation to the issue of liability,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W.G. 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9"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Thomas v. Roman Catholic Archbishop of Vancouver, [2016] I.L.R. para. G-2747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August 11,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S170396</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[2016] I.L.R. para. G-2747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[2016] B.C.J. No. 1697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2016 BCSC 1466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Constance Rae Thomas v. The Roman Catholic Archbishop of Vancouver</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0"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0" w:name="Keywords_34"/>
      <w:bookmarkEnd w:id="350"/>
      <w:r>
        <w:rPr>
          <w:rFonts w:ascii="arial" w:eastAsia="arial" w:hAnsi="arial" w:cs="arial"/>
          <w:b/>
          <w:color w:val="000000"/>
          <w:sz w:val="20"/>
          <w:lang w:val="en-US" w:eastAsia="en-US" w:bidi="ar-SA"/>
        </w:rPr>
        <w:t xml:space="preserve">Tort — Occupier's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Trip and fall — Private property — Grass — Plaintiff suffered broken leg after falling on grass lawn of defendant's parish — Grass was adjacent to parking lot and plaintiff cut across it — Plaintiff claimed her foot got caught in sunken divot in grass — Plaintiff brought action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relying on Occupiers Liability Act -- Defendant applied for summary judgment, seeking to sever issues of liability and damages and dismissal of plaintiff's claim — Test for severance was met — As damages would be complicated, severance would save time and expense — It was not sufficient for plaintiff to say further evidence might materialize respecting maintenance of defendant's property — Plaintiff failed to establish there was hazard present in grass — Plaintiff said she was unable to identify divot that she blamed for fall — Grass area was not unusual or dangerous — Plaintiff did not establish liability — Plaintiff's claim was dismissed — Application allowed — Occupiers Liability Act, </w:t>
      </w:r>
      <w:hyperlink r:id="rId781" w:history="1">
        <w:r>
          <w:rPr>
            <w:rFonts w:ascii="arial" w:eastAsia="arial" w:hAnsi="arial" w:cs="arial"/>
            <w:b/>
            <w:i/>
            <w:color w:val="0077CC"/>
            <w:sz w:val="20"/>
            <w:u w:val="single"/>
            <w:shd w:val="clear" w:color="auto" w:fill="FFFFFF"/>
            <w:lang w:val="en-US" w:eastAsia="en-US" w:bidi="ar-SA"/>
          </w:rPr>
          <w:t>RSBC 1996, c. 337, s. 3</w:t>
        </w:r>
      </w:hyperlink>
      <w:r>
        <w:rPr>
          <w:rFonts w:ascii="arial" w:eastAsia="arial" w:hAnsi="arial" w:cs="arial"/>
          <w:b/>
          <w:color w:val="000000"/>
          <w:sz w:val="20"/>
          <w:lang w:val="en-US" w:eastAsia="en-US" w:bidi="ar-SA"/>
        </w:rPr>
        <w:t xml:space="preserve"> — Supreme Court Civil Rules, </w:t>
      </w:r>
      <w:r>
        <w:rPr>
          <w:rFonts w:ascii="arial" w:eastAsia="arial" w:hAnsi="arial" w:cs="arial"/>
          <w:b/>
          <w:i/>
          <w:color w:val="000000"/>
          <w:sz w:val="20"/>
          <w:lang w:val="en-US" w:eastAsia="en-US" w:bidi="ar-SA"/>
        </w:rPr>
        <w:t>BC Reg. 168/2009, r. 9-7</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51" w:name="Case Summary_31"/>
            <w:bookmarkEnd w:id="351"/>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injured after she fell while crossing a grassy area adjacent to a parking lot located on the defendant's parish property. The plaintiff had been at the parish and was cutting across the grass to get to her car. Initially the plaintiff claimed that she caught her foot in the sewer grate in the parking lot. After returning to the scene, she claimed that she fell because her foot got caught in a sunken divot in the grass. She suffered a broken leg and related injuries. The plaintiff underwent three surgeries on account of her leg injury. There was only one record of a "visual maintenance" inspection report of the property from 2014. The plaintiff brought an action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relying on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defendant denied liability. It applied for summary judgment and sought an order severing the issues of liability and damages and an order dismissing the plaintiff's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2" w:name="Holdings of Court_26"/>
            <w:bookmarkEnd w:id="352"/>
            <w:r>
              <w:rPr>
                <w:rFonts w:ascii="arial" w:eastAsia="arial" w:hAnsi="arial" w:cs="arial"/>
                <w:color w:val="000000"/>
                <w:sz w:val="20"/>
                <w:lang w:val="en-US" w:eastAsia="en-US" w:bidi="ar-SA"/>
              </w:rPr>
              <w:t>HELD: The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was satisfied that the test for severance was met. By deciding the liability issue in advance, there would be a savings in time and expense. Both parties acknowledged that the damages issue would be complicated due to the plaintiff's pre-existing conditions. The Court found that liability could be properly and fairly decided on a summary basis. It was irrelevant that the plaintiff changed her theory as to the fall after revisiting the scene, as the fall was a traumatic event. It was not sufficient for the plaintiff to say, however, that further evidence might materialize respecting maintenance of the defendant's property that would support her claim. The plaintiff was merely speculating. Further, the plaintiff had ample time to conduct any investigations she thought necessary since the application for summary trial was filed. The plaintiff failed to establish that there was a hazard present in the grass or that any such hazard caused her to fall. The plaintiff, in her own evidence, said she was unable to identify the divot that she blamed for the fall. Based on the descriptions and photographs of the grass, there was nothing unusual or dangerous that might have constituted a hazard or trap. Even if the grass was uneven, this did not constitute a hazard. There were options available to the plaintiff that did not involve cutting across the grass. The plaintiff did not establish liability. Her claim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3" w:name="Counsel_35"/>
      <w:bookmarkEnd w:id="3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1"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Man for the plaintiff; S.R. Gersbach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4" w:name="Judgment_35"/>
      <w:bookmarkEnd w:id="354"/>
      <w:r>
        <w:pict>
          <v:line id="_x0000_s1202" style="position:absolute;z-index:2517975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5" w:name="R.A. SKOLROOD J."/>
            <w:bookmarkEnd w:id="355"/>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26, 2014, the plaintiff was injured when she fell while crossing a grass area adjacent to a parking lot located on property owned by the defendant. The plaintiff claims that the fall occurred as a result of her foot getting caught in a sunken divot in the grass.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suffered a broken leg and related injuries as a result of the fall. On April 29, 2015, she filed a notice of civil claim seeking damages from the defendant. She advances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denies liability. It has brought a summary trial application under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in which it seeks an order severing the issues of liability and damages and then a further order dismissing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deposes that on November 26, 2014, she attended the Precious Blood Parish Centre, located at 17475 59th Avenue, Surrey, B.C. (the "parish centre"). The parish centre is owned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arrived at the parish centre at about 4:30 p.m. One of her sons had a piano lesson in the parish centre from 4:30-5:00 p.m. The plaintiff parked in the parish centre parking lot located adjacent to the building to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stayed in the parish centre during the lesson until about 5:05 p.m. when she and her two sons exited the building on the east side and walked north along an exterior sidewalk towards the parking lot. As they approached the parking lot, they turned and walked west along a sidewalk that runs parallel to the parking lot. There is a grass area between that sidewalk and the parking lot, and as the plaintiff approached the location where her car was parked, she stepped off the sidewalk in order to cut across the grass area to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her affidavit, she describes what happened next:</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 walked on the grass towards the parking lot, and as I approached the curb separating the grassy area from the parking lot pavement, I put my left foot out to take a step and rolled my left ankle into the grass and fell forward. I was unable to catch myself and I remember that my right leg felt as if it would not follow my body.</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fell straight over the curb and landed with my palms down facing north towards the end of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a sewer grate located in the parking lot close to where the plaintiff landed and she says that her initial impression was that she must have caught her foot in the grate. However, she later revisited the location of her fall and came to a different conclusion. She states further in her affidavit, referring to photographs marked as exhibits in her examination for discovery: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February 25, 2015, I attended the Parish Centre again to view the scene of the accident. The photographs comprising Exhibits A and B were taken on this date. I observed the grass area in Exhibit A and the general location on the grass where I fell. From this position, in order for my right foot to step into the grate shown on Exhibit A, my right leg would need to move across my leg and body into the grate. I remember by [sic] body falling straight forward with both my legs being kept behind on the grass. I remember specifically that my right leg felt as if it was not following my body to brace for the fall, the way it should.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Also I landed in between my vehicle and Ms. Smith's vehicle without striking anything on the way down, onto the palms of my hands bracing in front of my chest. From this, I concluded that I did not step into [the] grate as initially thought. I noted that the grass terrain was uneven.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taken by ambulance to Surrey Memorial Hospital where she underwent surgery to reset her right leg. She subsequently underwent two further surgeries and she deposes to a long and difficult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Brenda Curran is the secretary and office administrator for Precious Blood Parish, working in the parish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Curran attaches to her affidavit a number of photographs of the property and the area around the parish centre where the plaintiff fell. She also describes the general area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sidewalk along the north side of the parish centre, which provides access from the north and east side exits of the parish centre to the parking lot...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exit for the use of the public is from the main doors of the parish centre, which face east from the parish centre...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sidewalk that leads from those main doors, north to the parking lot, and west-bound along the parking lot.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sidewalk then extends northbound, and slopes upward providing direct access to the parking lot from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photographs attached to Ms. Curran's affidavit depict the grass area located adjacent to the parking lot. With respect to that grass area, Ms. Curran states:</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she began working at the parish centre in 2000, she has never seen or been advised of the grass being replaced;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never requested that the grass be replaced or seen a need for it to be replaced;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never been informed by any individuals of any concerns with people walking across the grass area;</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Apart from the incident involving the plaintiff, she has never been informed of, nor witnessed, any other incidents of an individual tripping in the grass area or near the curb adjacent to the parking lot;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not aware of, nor has she ever been informed of, any holes or sunken areas in the grass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Curran also provides evidence about the maintenance of the parish centre property, including the grass area:</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maintenance committee consisting of volunteers, most of whom are licensed tradesmen and maintenance workers;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maintenance committee is responsible for inspecting and maintaining the interior and exterior areas of the parish centre;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approximately 2006, Ms. Curran has asked the maintenance committee to perform regular walk-about inspections and, as far as she is aware, the committee does so;</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Curran understands that a walk-about inspection was performed in October 2014;</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maintenance committee does not prepare written reports with respect to its inspections;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maintenance committee is not responsible for landscaping or cutting the grass. There are volunteer grass cutters who attend to that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 submits that liability can be properly severed from the issue of damages and determined on a summary trial. In terms of the merits of the liability issue, the defendant submits that the plaintiff cannot establish with any reasonable level of certainty what caused her to fall. The defendant notes that the plaintiff initially believed that she caught her foot in the sewer grate in the parking lot and only arrived at her theory of a divot in the grass when she later returned to the scene and reconstructed events. The defendant submits that the plaintiff's theory of what caused her fall is speculative and cannot support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under the </w:t>
      </w:r>
      <w:r>
        <w:rPr>
          <w:rFonts w:ascii="arial" w:eastAsia="arial" w:hAnsi="arial" w:cs="arial"/>
          <w:i/>
          <w:color w:val="000000"/>
          <w:sz w:val="20"/>
          <w:lang w:val="en-US" w:eastAsia="en-US" w:bidi="ar-SA"/>
        </w:rPr>
        <w:t>OLA.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submits that this case is not suitable for summary disposition given that the defendant has put the plaintiff's credibility in issue by relying on her different recollections or theories of what occurred. The plaintiff submits further that, to date, the defendant has failed to produce complete inspection and maintenance records which may be relevant to determining whether the grass area in questionias a hazard. As such, the plaintiff says that it is premature to determine the liability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Rule 9-7(2) permits a party to apply for judgment on an issue or generally by way of a summary trial. However, where a party seeks judgment on liability only, it must first meet the test for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principles governing an application for severance are well-known and have been confirmed in numerous authorities. For example, in </w:t>
      </w:r>
      <w:r>
        <w:rPr>
          <w:rFonts w:ascii="arial" w:eastAsia="arial" w:hAnsi="arial" w:cs="arial"/>
          <w:i/>
          <w:color w:val="000000"/>
          <w:sz w:val="20"/>
          <w:lang w:val="en-US" w:eastAsia="en-US" w:bidi="ar-SA"/>
        </w:rPr>
        <w:t>Burg Properties Ltd. v. Economical Mutual Insurance Company</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2013 BCSC 209</w:t>
        </w:r>
      </w:hyperlink>
      <w:r>
        <w:rPr>
          <w:rFonts w:ascii="arial" w:eastAsia="arial" w:hAnsi="arial" w:cs="arial"/>
          <w:color w:val="000000"/>
          <w:sz w:val="20"/>
          <w:lang w:val="en-US" w:eastAsia="en-US" w:bidi="ar-SA"/>
        </w:rPr>
        <w:t>, Madam Justice Gerow said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There is authority for the proposition that in a summary trial application where a party seeks to proceed only on liability, a two step approach should be followed: the first step is to determine whether there should be severance, and the second step is to determine if a summary trial on the issue of liability is appropriate: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2011 BCSC 412</w:t>
        </w:r>
      </w:hyperlink>
      <w:r>
        <w:rPr>
          <w:rFonts w:ascii="arial" w:eastAsia="arial" w:hAnsi="arial" w:cs="arial"/>
          <w:color w:val="000000"/>
          <w:sz w:val="20"/>
          <w:lang w:val="en-US" w:eastAsia="en-US" w:bidi="ar-SA"/>
        </w:rPr>
        <w:t xml:space="preserve"> at paras. 8-9. In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xml:space="preserve"> the court stated that the test for severance is whether there are extraordinary, exceptional or compelling reasons for the severance. A compelling reason to order severance is a likelihood of a significant savings in time and expense realized by a summary trial: </w:t>
      </w:r>
      <w:r>
        <w:rPr>
          <w:rFonts w:ascii="arial" w:eastAsia="arial" w:hAnsi="arial" w:cs="arial"/>
          <w:i/>
          <w:color w:val="000000"/>
          <w:sz w:val="20"/>
          <w:lang w:val="en-US" w:eastAsia="en-US" w:bidi="ar-SA"/>
        </w:rPr>
        <w:t>Bramwell v. Greater Vancouver Transportation Authority</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2008 BCSC 1180</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If the court is inclined to grant severance, then it must next consider whether the matter is suitable for summary determination. The issue of suitability is addressed in both subrules (11) and (15) of Rule 9-7:</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heard before or at the same time as the hearing of a summary trial application, the court may</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adjourn the summary trial application, or</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summary trial application on the ground that</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summary trial application are not suitable for disposition under this rule, or</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summary trial application will not assist the efficient resolution of the proceeding.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With respect to liability, subsections 3(1) and (2)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set out the applicable duty of care owed by an occupier: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applicable standard of care was described by Madam Justice Ross in </w:t>
      </w:r>
      <w:r>
        <w:rPr>
          <w:rFonts w:ascii="arial" w:eastAsia="arial" w:hAnsi="arial" w:cs="arial"/>
          <w:i/>
          <w:color w:val="000000"/>
          <w:sz w:val="20"/>
          <w:lang w:val="en-US" w:eastAsia="en-US" w:bidi="ar-SA"/>
        </w:rPr>
        <w:t>Ball v. GAP (Canada) Inc.</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2001 BCSC 1106</w:t>
        </w:r>
      </w:hyperlink>
      <w:r>
        <w:rPr>
          <w:rFonts w:ascii="arial" w:eastAsia="arial" w:hAnsi="arial" w:cs="arial"/>
          <w:color w:val="000000"/>
          <w:sz w:val="20"/>
          <w:lang w:val="en-US" w:eastAsia="en-US" w:bidi="ar-SA"/>
        </w:rPr>
        <w:t xml:space="preserve">, aff'd </w:t>
      </w:r>
      <w:hyperlink r:id="rId786" w:history="1">
        <w:r>
          <w:rPr>
            <w:rFonts w:ascii="arial" w:eastAsia="arial" w:hAnsi="arial" w:cs="arial"/>
            <w:i/>
            <w:color w:val="0077CC"/>
            <w:sz w:val="20"/>
            <w:u w:val="single"/>
            <w:shd w:val="clear" w:color="auto" w:fill="FFFFFF"/>
            <w:lang w:val="en-US" w:eastAsia="en-US" w:bidi="ar-SA"/>
          </w:rPr>
          <w:t>2002 BCCA 488</w:t>
        </w:r>
      </w:hyperlink>
      <w:r>
        <w:rPr>
          <w:rFonts w:ascii="arial" w:eastAsia="arial" w:hAnsi="arial" w:cs="arial"/>
          <w:color w:val="000000"/>
          <w:sz w:val="20"/>
          <w:lang w:val="en-US" w:eastAsia="en-US" w:bidi="ar-SA"/>
        </w:rPr>
        <w:t>, in these terms at paras. 25-27:</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standard expected of an occupier is one of reasonableness, not perfection. In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78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McLachlin J., as she then was, wrote at p. 58: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owed by an occupier of premises is to take reasonable care to see that persons using the premises will be reasonably safe. </w:t>
      </w:r>
      <w:r>
        <w:rPr>
          <w:rFonts w:ascii="arial" w:eastAsia="arial" w:hAnsi="arial" w:cs="arial"/>
          <w:b/>
          <w:color w:val="000000"/>
          <w:sz w:val="20"/>
          <w:lang w:val="en-US" w:eastAsia="en-US" w:bidi="ar-SA"/>
        </w:rPr>
        <w:t>The Acts do not impose a duty to take reasonable care to insure that persons using the premises will be 'absolutely safe'</w:t>
      </w:r>
      <w:r>
        <w:rPr>
          <w:rFonts w:ascii="arial" w:eastAsia="arial" w:hAnsi="arial" w:cs="arial"/>
          <w:color w:val="000000"/>
          <w:sz w:val="20"/>
          <w:lang w:val="en-US" w:eastAsia="en-US" w:bidi="ar-SA"/>
        </w:rPr>
        <w:t xml:space="preserve">. As stated in </w:t>
      </w:r>
      <w:r>
        <w:rPr>
          <w:rFonts w:ascii="arial" w:eastAsia="arial" w:hAnsi="arial" w:cs="arial"/>
          <w:b/>
          <w:i/>
          <w:color w:val="000000"/>
          <w:sz w:val="20"/>
          <w:lang w:val="en-US" w:eastAsia="en-US" w:bidi="ar-SA"/>
        </w:rPr>
        <w:t>Hagerman v. Niagra Falls</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(1980), 29 O.R. (2d) 609</w:t>
        </w:r>
      </w:hyperlink>
      <w:r>
        <w:rPr>
          <w:rFonts w:ascii="arial" w:eastAsia="arial" w:hAnsi="arial" w:cs="arial"/>
          <w:color w:val="000000"/>
          <w:sz w:val="20"/>
          <w:lang w:val="en-US" w:eastAsia="en-US" w:bidi="ar-SA"/>
        </w:rPr>
        <w:t xml:space="preserve">, per Labrosse J. at p. 613, </w:t>
      </w:r>
      <w:r>
        <w:rPr>
          <w:rFonts w:ascii="arial" w:eastAsia="arial" w:hAnsi="arial" w:cs="arial"/>
          <w:b/>
          <w:color w:val="000000"/>
          <w:sz w:val="20"/>
          <w:lang w:val="en-US" w:eastAsia="en-US" w:bidi="ar-SA"/>
        </w:rPr>
        <w:t>the occupier does not owe a duty to provide safety in all circumstances, but rather a duty to use reasonable care to prevent injury or damage from danger which is known or which ought to be known.</w:t>
      </w:r>
      <w:r>
        <w:rPr>
          <w:rFonts w:ascii="arial" w:eastAsia="arial" w:hAnsi="arial" w:cs="arial"/>
          <w:color w:val="000000"/>
          <w:sz w:val="20"/>
          <w:lang w:val="en-US" w:eastAsia="en-US" w:bidi="ar-SA"/>
        </w:rPr>
        <w:t xml:space="preserve"> [emphasis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Case law holds that "an occupier is not an insurer". </w:t>
      </w:r>
      <w:r>
        <w:rPr>
          <w:rFonts w:ascii="arial" w:eastAsia="arial" w:hAnsi="arial" w:cs="arial"/>
          <w:b/>
          <w:i/>
          <w:color w:val="000000"/>
          <w:sz w:val="20"/>
          <w:lang w:val="en-US" w:eastAsia="en-US" w:bidi="ar-SA"/>
        </w:rPr>
        <w:t>Lamont v. Westfair Properties (Pacific Ltd.) et al.</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[2000] B.C.J. No. 513</w:t>
        </w:r>
      </w:hyperlink>
      <w:r>
        <w:rPr>
          <w:rFonts w:ascii="arial" w:eastAsia="arial" w:hAnsi="arial" w:cs="arial"/>
          <w:color w:val="000000"/>
          <w:sz w:val="20"/>
          <w:lang w:val="en-US" w:eastAsia="en-US" w:bidi="ar-SA"/>
        </w:rPr>
        <w:t xml:space="preserve"> (Q.L.); </w:t>
      </w:r>
      <w:hyperlink r:id="rId790" w:history="1">
        <w:r>
          <w:rPr>
            <w:rFonts w:ascii="arial" w:eastAsia="arial" w:hAnsi="arial" w:cs="arial"/>
            <w:i/>
            <w:color w:val="0077CC"/>
            <w:sz w:val="20"/>
            <w:u w:val="single"/>
            <w:shd w:val="clear" w:color="auto" w:fill="FFFFFF"/>
            <w:lang w:val="en-US" w:eastAsia="en-US" w:bidi="ar-SA"/>
          </w:rPr>
          <w:t>2000 BCSC 406</w:t>
        </w:r>
      </w:hyperlink>
      <w:r>
        <w:rPr>
          <w:rFonts w:ascii="arial" w:eastAsia="arial" w:hAnsi="arial" w:cs="arial"/>
          <w:color w:val="000000"/>
          <w:sz w:val="20"/>
          <w:lang w:val="en-US" w:eastAsia="en-US" w:bidi="ar-SA"/>
        </w:rPr>
        <w:t>, at para. 20.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While it is the case that the occupier is not an insurer and that the standard is not one of perfection,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place an affirmative duty on the occupier to make the premises reasonably safe. See </w:t>
      </w:r>
      <w:r>
        <w:rPr>
          <w:rFonts w:ascii="arial" w:eastAsia="arial" w:hAnsi="arial" w:cs="arial"/>
          <w:b/>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Mainardi v. Shannon</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2005 BCSC 644</w:t>
        </w:r>
      </w:hyperlink>
      <w:r>
        <w:rPr>
          <w:rFonts w:ascii="arial" w:eastAsia="arial" w:hAnsi="arial" w:cs="arial"/>
          <w:color w:val="000000"/>
          <w:sz w:val="20"/>
          <w:lang w:val="en-US" w:eastAsia="en-US" w:bidi="ar-SA"/>
        </w:rPr>
        <w:t xml:space="preserve">, Mr. Justice Preston at para. 21 summarized a number of principles developed in cases applying the occupier's duty imposed by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bears the onus of proving on a balance of probabilities that the occupier breached his or her duty of care.</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created by the fact that the plaintiff was injured. The plaintiff must establish that some act or failure to act on the part of the occupier resulted in his or her injury.</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care imposed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require the occupier to remove every possibility of danger -- the test is one of reasonableness, not perfection.</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not entitled to resort to speculation when determining the cause of the plaintiff's fall and subsequent injury. The plaintiff must prove the nexus between his or her fall and the occupier's failure to discharge his or her duty of care.</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care that an occupier must take differs according to the nature and use of the premises.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need not, in all cases, show that he or she had a specific policy in place to deal with the maintenance of the portion of the premises where the fall occurred. The nature of the premises will determine whether or not a maintenance scheme will be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As the defendant submits, the test is not markedly different under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To succeed in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establish i) a duty of care owed by the defendant; ii) a breach of the applicable standard of care; iii) that the plaintiff suffered damage; and iv) that the damage was caused by the defendant's breach: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Severance and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submits that this is an appropriate case in which to sever liability and damages in that the liability question is relatively straight-forward and the determination of that issue will result in a significant savings of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 cites a number of cases in which liability has been decided on a summary trial. It relies in particular on the decision of Mr. Justice Ball in </w:t>
      </w:r>
      <w:r>
        <w:rPr>
          <w:rFonts w:ascii="arial" w:eastAsia="arial" w:hAnsi="arial" w:cs="arial"/>
          <w:i/>
          <w:color w:val="000000"/>
          <w:sz w:val="20"/>
          <w:lang w:val="en-US" w:eastAsia="en-US" w:bidi="ar-SA"/>
        </w:rPr>
        <w:t>Hewson v. British Columbia</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2016 BCSC 803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Hewson</w:t>
      </w:r>
      <w:r>
        <w:rPr>
          <w:rFonts w:ascii="arial" w:eastAsia="arial" w:hAnsi="arial" w:cs="arial"/>
          <w:color w:val="000000"/>
          <w:sz w:val="20"/>
          <w:lang w:val="en-US" w:eastAsia="en-US" w:bidi="ar-SA"/>
        </w:rPr>
        <w:t>], where he said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In the present case, significant time and expense will be saved by proceeding in this fashion, with liability determined separately from quantum of damages. If the defendant is found liable, then a truncated trial will occur; whereas if the defendant is held not to be liable, the entire trial will be avoided. The assessment of damages, if it is necessary, will be complicated by the plaintiff's extensive medical history and potential pre-existing conditions. A number of experts will likely be required, at a significant cost. The evidence related to liability is relatively limited, the legal framework is uncontentious, and the issue of liability is discrete from the assessment of damages. To the extent that the plaintiff's credibility is relevant, in my view, it primarily relates to the issue of damages, given that the issue of liability in this case turns on the question of whether the defendant has breached its standard of care and if so, whether the test for causation has been met. Thus, severance is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Hewson</w:t>
      </w:r>
      <w:r>
        <w:rPr>
          <w:rFonts w:ascii="arial" w:eastAsia="arial" w:hAnsi="arial" w:cs="arial"/>
          <w:color w:val="000000"/>
          <w:sz w:val="20"/>
          <w:lang w:val="en-US" w:eastAsia="en-US" w:bidi="ar-SA"/>
        </w:rPr>
        <w:t xml:space="preserve"> was not a "slip and fall" case but involved a motor vehicle accident allegedly caused by the negligent design and/or placement of a manhole cover on a bridge. Nonetheless, the defendant submits that the principles discussed by Mr. Justice Ball apply with equal force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Other cases relied on by the defendant in which liability was decided on a summary trial include </w:t>
      </w:r>
      <w:r>
        <w:rPr>
          <w:rFonts w:ascii="arial" w:eastAsia="arial" w:hAnsi="arial" w:cs="arial"/>
          <w:i/>
          <w:color w:val="000000"/>
          <w:sz w:val="20"/>
          <w:lang w:val="en-US" w:eastAsia="en-US" w:bidi="ar-SA"/>
        </w:rPr>
        <w:t>Zary v. Canada Mortgage and Housing Corporation.</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2015 BCSC 1145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Delgado v. Wong et al.</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2004 BCSC 1199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Delgado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Fulber v. Browns Social House Ltd.</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2013 BCSC 1760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Fulber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Lansdowne v. United Church of Canada et al.</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2000 BCSC 1604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Landsdowne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Martinig v. The Corp of the District of Powell River et al</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2002 BCSC 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Martinig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Charlie v. Canada Safeway Limited</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2010 BCSC 618</w:t>
        </w:r>
      </w:hyperlink>
      <w:r>
        <w:rPr>
          <w:rFonts w:ascii="arial" w:eastAsia="arial" w:hAnsi="arial" w:cs="arial"/>
          <w:color w:val="000000"/>
          <w:sz w:val="20"/>
          <w:lang w:val="en-US" w:eastAsia="en-US" w:bidi="ar-SA"/>
        </w:rPr>
        <w:t xml:space="preserve">, aff'd </w:t>
      </w:r>
      <w:hyperlink r:id="rId799" w:history="1">
        <w:r>
          <w:rPr>
            <w:rFonts w:ascii="arial" w:eastAsia="arial" w:hAnsi="arial" w:cs="arial"/>
            <w:i/>
            <w:color w:val="0077CC"/>
            <w:sz w:val="20"/>
            <w:u w:val="single"/>
            <w:shd w:val="clear" w:color="auto" w:fill="FFFFFF"/>
            <w:lang w:val="en-US" w:eastAsia="en-US" w:bidi="ar-SA"/>
          </w:rPr>
          <w:t>2011 BCCA 202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Van Slee v. Canada Safeway Limited</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2008 BCSC 107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 submits that the test for severance has not been met in this case. She cites </w:t>
      </w:r>
      <w:r>
        <w:rPr>
          <w:rFonts w:ascii="arial" w:eastAsia="arial" w:hAnsi="arial" w:cs="arial"/>
          <w:i/>
          <w:color w:val="000000"/>
          <w:sz w:val="20"/>
          <w:lang w:val="en-US" w:eastAsia="en-US" w:bidi="ar-SA"/>
        </w:rPr>
        <w:t>Emtwo Properties Inc. v. Cineplex (Western Canada) Inc.</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2009 BCSC 1592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Emtwo</w:t>
      </w:r>
      <w:r>
        <w:rPr>
          <w:rFonts w:ascii="arial" w:eastAsia="arial" w:hAnsi="arial" w:cs="arial"/>
          <w:color w:val="000000"/>
          <w:sz w:val="20"/>
          <w:lang w:val="en-US" w:eastAsia="en-US" w:bidi="ar-SA"/>
        </w:rPr>
        <w:t>], where Madam Justice Fenlon, as she then was, declined to order severance of liability and damages in a case involving a non-compete clause in a commercial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At para. 14, Madam Justice Fenlon quoted from </w:t>
      </w:r>
      <w:r>
        <w:rPr>
          <w:rFonts w:ascii="arial" w:eastAsia="arial" w:hAnsi="arial" w:cs="arial"/>
          <w:i/>
          <w:color w:val="000000"/>
          <w:sz w:val="20"/>
          <w:lang w:val="en-US" w:eastAsia="en-US" w:bidi="ar-SA"/>
        </w:rPr>
        <w:t>Nguyen v. Bains</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2001 BCSC 1130</w:t>
        </w:r>
      </w:hyperlink>
      <w:r>
        <w:rPr>
          <w:rFonts w:ascii="arial" w:eastAsia="arial" w:hAnsi="arial" w:cs="arial"/>
          <w:color w:val="000000"/>
          <w:sz w:val="20"/>
          <w:lang w:val="en-US" w:eastAsia="en-US" w:bidi="ar-SA"/>
        </w:rPr>
        <w:t xml:space="preserve">, where Madam Justice Martinson discussed the factors to be considered on a severance application, and said at para. 12 (of </w:t>
      </w:r>
      <w:r>
        <w:rPr>
          <w:rFonts w:ascii="arial" w:eastAsia="arial" w:hAnsi="arial" w:cs="arial"/>
          <w:i/>
          <w:color w:val="000000"/>
          <w:sz w:val="20"/>
          <w:lang w:val="en-US" w:eastAsia="en-US" w:bidi="ar-SA"/>
        </w:rPr>
        <w:t>Nguyen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of these points is that the Court must be satisfied that there is a real likelihood of a significant saving in time and expense. More than a bare, or mere, assertion that there is a real likelihood of a significant saving in time and expense is required to satisfy the Court. That is, there must be case specific information that there will likely be a significant saving in time and expense. The Court should be told what specific issues, evidence or legal arguments would be avoided and why, as well as how much time and money would likely be saved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Madam Justice Fenlon went on to say at paras. 24-25 of </w:t>
      </w:r>
      <w:r>
        <w:rPr>
          <w:rFonts w:ascii="arial" w:eastAsia="arial" w:hAnsi="arial" w:cs="arial"/>
          <w:i/>
          <w:color w:val="000000"/>
          <w:sz w:val="20"/>
          <w:lang w:val="en-US" w:eastAsia="en-US" w:bidi="ar-SA"/>
        </w:rPr>
        <w:t>Emtwo</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It will always be the case, where a defendant succeeds on the issue of liability in a severed trial, that there will be no need to determine damages and the action will be at an end. If that were all that was required, an argument could be made for severance in every proceeding. Yet it is clear that severance is the exception rather than the rule in civil trials. In my view, in relation to this criterion, something more must be demonstrated to justify severance. The burden is on the applicant to adduce some evidence to demonstrate that a finding in favour of the plaintiffs on liability would increase the probability that the litigation would end, for example by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In some cases where damages are relatively straight forward, a decision on liability, even a positive one, will increase the likelihood of the case being settled without the need to hold a hearing to determine quantum. That is not so in the case at bar. If liability is decided in the plaintiffs' favour, the parties will have no basis for agreeing on damages, particularly if an order delaying production of documents was to be made in conjunction with the order for severance. Without production of documents and preparation of experts' reports, the parties will not have a sense of the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submits that the defendant has not adduced any evidence to support the proposition that deciding liability in advance would result in a significant saving of time or expense if the issue is determined in favour of the plaintiff. The plaintiff submits further that this case does not involve a straight-forward assessment of damages given that the plaintiff had a number of pre-existing conditions which will require a complex causation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satisfied that the test for severance is met in this case. In particular, I am satisfied that by deciding the liability issue in advance, there will be a saving in time and expense. If the liability issue is decided in favour of the defendant, then the case will be at an end, subject to any appeal. If, however, liability is found in favour of the plaintiff, the resulting trial on damages will likely be shorter, if indeed it goes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Further, both parties acknowledge that the damages issue in this case will be complicated due to the plaintiff's pre-existing conditions. As was the case in </w:t>
      </w:r>
      <w:r>
        <w:rPr>
          <w:rFonts w:ascii="arial" w:eastAsia="arial" w:hAnsi="arial" w:cs="arial"/>
          <w:i/>
          <w:color w:val="000000"/>
          <w:sz w:val="20"/>
          <w:lang w:val="en-US" w:eastAsia="en-US" w:bidi="ar-SA"/>
        </w:rPr>
        <w:t>Hewson</w:t>
      </w:r>
      <w:r>
        <w:rPr>
          <w:rFonts w:ascii="arial" w:eastAsia="arial" w:hAnsi="arial" w:cs="arial"/>
          <w:color w:val="000000"/>
          <w:sz w:val="20"/>
          <w:lang w:val="en-US" w:eastAsia="en-US" w:bidi="ar-SA"/>
        </w:rPr>
        <w:t>, the liability issue is a discrete question that can be determined separately and the parties will have the benefit of having that issue resolved before committing what are likely to be considerable resources to the damages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terms of suitability, the critical question facing the court when hearing a summary trial application is whether the court can find the facts necessary to decide the disputed issues. Even where the court can find the necessary facts, it must still consider whether it would be just to decide the matter summarily, by reference to factors such as the amount involved, the complexity of the matter, its urgency, any prejudice that might arise by reason of delay, and the cost of taking the matter forward to a conventional trial: see </w:t>
      </w:r>
      <w:r>
        <w:rPr>
          <w:rFonts w:ascii="arial" w:eastAsia="arial" w:hAnsi="arial" w:cs="arial"/>
          <w:i/>
          <w:color w:val="000000"/>
          <w:sz w:val="20"/>
          <w:lang w:val="en-US" w:eastAsia="en-US" w:bidi="ar-SA"/>
        </w:rPr>
        <w:t>Inspiration Mgmt. Ltd. v. McDermid St. Lawrence Ltd.</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36 C.P.C. (2d) 199</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paras. 30-31.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Taking account of all of the relevant factors, it is my view that liability can properly and fairly be determined on this summary trial application. The facts going to liability are relatively straight-forward and the legal principles to be applied to those facts are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acknowledge the plaintiff's point that the defendant has put her credibility in issue by highlighting how her understanding of how the fall occurred changed when she subsequently revisited the site. However, this is not fatal to proceeding by summary trial as I am prepared to consider liability based on her later theory that she tripped in a divot. I would add that, to my mind, there is nothing unusual about the fact that the plaintiff's belief about how she fell changed. The fall was a traumatic event which caused her considerable pain and it is hardly surprising that her initial impression, formed at the time of the fall, might not be accurate. The fact that she later came to a different view, with the benefit of a re-examination of the scene, does not in my view undermine her credibility. It is relevant, however, to the question of whether the plaintiff can establish that there existed a hazard that caused her to fall. I will return to this issue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other issue raised by the plaintiff with respect to suitability is the absence of complete maintenance records concerning the grass area in issue. Counsel for the plaintiff requested further records at the examination for discovery of Ms. Curran and was later advised that there were no other written records of the maintenance committee for the year 2014 other than a single "visual maintenance" inspection report dated October 8,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her written submissions, the plaintiff frames her concern about the absence of additional records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there are no records of the Maintenance Committee for the year 2014, other than the October 2014 inspection record, it cannot yet be determined what issues, longstanding or otherwise existed on the grass area and parking lot curb in question in the lead up to Ms. Thomas' fall. The fact that there are no other records means that the evidence of the Maintenance Committee members becomes extremely pertinent, identities of who were not disclosed until shortly before hearing. The operation of the Maintenance Committee, its standards of reporting, diligence in inspection and recording of potential issues, and whether such concerns, conditions or hazards were observed before their inspection report of October 2014, and whether such would normally be recorded in a written record, are unknown at this point, with no opportunity of Ms. Thomas until very recently to investigate.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agree with the defendant that the possibility of further evidence materializing that might be relevant to determining whether a hazard existed is not sufficient to defeat a summary trial application. Quoting again from </w:t>
      </w:r>
      <w:r>
        <w:rPr>
          <w:rFonts w:ascii="arial" w:eastAsia="arial" w:hAnsi="arial" w:cs="arial"/>
          <w:i/>
          <w:color w:val="000000"/>
          <w:sz w:val="20"/>
          <w:lang w:val="en-US" w:eastAsia="en-US" w:bidi="ar-SA"/>
        </w:rPr>
        <w:t>Hewson</w:t>
      </w:r>
      <w:r>
        <w:rPr>
          <w:rFonts w:ascii="arial" w:eastAsia="arial" w:hAnsi="arial" w:cs="arial"/>
          <w:color w:val="000000"/>
          <w:sz w:val="20"/>
          <w:lang w:val="en-US" w:eastAsia="en-US" w:bidi="ar-SA"/>
        </w:rPr>
        <w:t xml:space="preserve">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purposes of this case, it is also important to note that the BC Court of Appeal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discussed the level of preparation with which parties must approach summary trial applications. The parties are obliged to take every reasonable step to put themselves in the best position possible to prove their claim, or defence, as judgment may be granted in favour of either party regardless of who brought the application: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32. A party cannot frustrate the process, insisting "on a full trial in hopes that with the benefit of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'something might turn up'":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32, citing </w:t>
      </w:r>
      <w:r>
        <w:rPr>
          <w:rFonts w:ascii="arial" w:eastAsia="arial" w:hAnsi="arial" w:cs="arial"/>
          <w:i/>
          <w:color w:val="000000"/>
          <w:sz w:val="20"/>
          <w:lang w:val="en-US" w:eastAsia="en-US" w:bidi="ar-SA"/>
        </w:rPr>
        <w:t>Everest Canadian Properties Ltd. v. Mallmann,</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xml:space="preserve"> at para. 34. A party should take all reasonable steps to complete as many of the pre-trial procedures as necessary to ensure that they are in the best position with respect to the facts that is reasonably possible before the summary trial proceedings are heard: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33, citing </w:t>
      </w:r>
      <w:r>
        <w:rPr>
          <w:rFonts w:ascii="arial" w:eastAsia="arial" w:hAnsi="arial" w:cs="arial"/>
          <w:i/>
          <w:color w:val="000000"/>
          <w:sz w:val="20"/>
          <w:lang w:val="en-US" w:eastAsia="en-US" w:bidi="ar-SA"/>
        </w:rPr>
        <w:t>Brown v. Douglas,</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2011 BCCA 521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my respectful view, the plaintiff is merely speculating that there might be some additional evidence to support her claim, but she has not indicated how any further information from the maintenance committee will shed light on whether there was a specific hazard i.e. divot in the grass area at the time of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would add that the defendant's summary trial application was filed over a year after the notice of civil claim was filed and over eighteen months after the date of the plaintiff's fall. That has been ample time in which to have conducted any further investigations thought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Fulber</w:t>
      </w:r>
      <w:r>
        <w:rPr>
          <w:rFonts w:ascii="arial" w:eastAsia="arial" w:hAnsi="arial" w:cs="arial"/>
          <w:color w:val="000000"/>
          <w:sz w:val="20"/>
          <w:lang w:val="en-US" w:eastAsia="en-US" w:bidi="ar-SA"/>
        </w:rPr>
        <w:t>, Madam Justice Gray rejected a similar argument about the need for further investigations as a ground for defeating a summary trial application (at paras. 21-24).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Newsham v. Canwest Trade Shows Inc.</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2012 BCSC 289</w:t>
        </w:r>
      </w:hyperlink>
      <w:r>
        <w:rPr>
          <w:rFonts w:ascii="arial" w:eastAsia="arial" w:hAnsi="arial" w:cs="arial"/>
          <w:color w:val="000000"/>
          <w:sz w:val="20"/>
          <w:lang w:val="en-US" w:eastAsia="en-US" w:bidi="ar-SA"/>
        </w:rPr>
        <w:t xml:space="preserve"> at paras. 96-98, Mr. Justice Brown provides a concise summary of the principles governing the liability analysis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[96] The simple fact of a plaintiff's slipping or falling does not shift the evidentiary onus onto Canwest. The plaintiff must still show that something the occupier did or neglected to do caused his slip or fall: </w:t>
      </w:r>
      <w:r>
        <w:rPr>
          <w:rFonts w:ascii="arial" w:eastAsia="arial" w:hAnsi="arial" w:cs="arial"/>
          <w:i/>
          <w:color w:val="000000"/>
          <w:sz w:val="20"/>
          <w:lang w:val="en-US" w:eastAsia="en-US" w:bidi="ar-SA"/>
        </w:rPr>
        <w:t>Lansdowne v. United Church of Canada et al.</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2000 BCSC 1604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Landsdowne</w:t>
      </w:r>
      <w:r>
        <w:rPr>
          <w:rFonts w:ascii="arial" w:eastAsia="arial" w:hAnsi="arial" w:cs="arial"/>
          <w:color w:val="000000"/>
          <w:sz w:val="20"/>
          <w:lang w:val="en-US" w:eastAsia="en-US" w:bidi="ar-SA"/>
        </w:rPr>
        <w:t xml:space="preserve">], at paras. 13, 22. And, as explained by Cohen J. in </w:t>
      </w:r>
      <w:r>
        <w:rPr>
          <w:rFonts w:ascii="arial" w:eastAsia="arial" w:hAnsi="arial" w:cs="arial"/>
          <w:i/>
          <w:color w:val="000000"/>
          <w:sz w:val="20"/>
          <w:lang w:val="en-US" w:eastAsia="en-US" w:bidi="ar-SA"/>
        </w:rPr>
        <w:t>Van Slee v. Canada Safeway Limited</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2008 BCSC 107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at para. 31, the Court must not speculate on what caused the fall, or in the case at bar, the slip. Adopting the analysis of Cohen J. in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the plaintiff must therefore prove the following in the case at bar under the standard of care stage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hazard or condition caused the slip;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breach of its duty of care caused the hazard or condition to be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[97] Referring to </w:t>
      </w:r>
      <w:r>
        <w:rPr>
          <w:rFonts w:ascii="arial" w:eastAsia="arial" w:hAnsi="arial" w:cs="arial"/>
          <w:i/>
          <w:color w:val="000000"/>
          <w:sz w:val="20"/>
          <w:lang w:val="en-US" w:eastAsia="en-US" w:bidi="ar-SA"/>
        </w:rPr>
        <w:t>Landsdowne,</w:t>
      </w:r>
      <w:r>
        <w:rPr>
          <w:rFonts w:ascii="arial" w:eastAsia="arial" w:hAnsi="arial" w:cs="arial"/>
          <w:color w:val="000000"/>
          <w:sz w:val="20"/>
          <w:lang w:val="en-US" w:eastAsia="en-US" w:bidi="ar-SA"/>
        </w:rPr>
        <w:t xml:space="preserve"> Cohen. J. noted in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that the Court should not resort to speculation to fill evidentiary gaps.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[98] For clarity's sake, I pause briefly to note that the analysis in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effectively calls for two sets of causation inquiries in a "slip and fall" case: one under the standard of care analysis and the other under the "causation" analysis as it is traditionally labelled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first analysis requires the plaintiff to establish </w:t>
      </w:r>
      <w:r>
        <w:rPr>
          <w:rFonts w:ascii="arial" w:eastAsia="arial" w:hAnsi="arial" w:cs="arial"/>
          <w:i/>
          <w:color w:val="000000"/>
          <w:sz w:val="20"/>
          <w:lang w:val="en-US" w:eastAsia="en-US" w:bidi="ar-SA"/>
        </w:rPr>
        <w:t>what hazard caused the slip</w:t>
      </w:r>
      <w:r>
        <w:rPr>
          <w:rFonts w:ascii="arial" w:eastAsia="arial" w:hAnsi="arial" w:cs="arial"/>
          <w:color w:val="000000"/>
          <w:sz w:val="20"/>
          <w:lang w:val="en-US" w:eastAsia="en-US" w:bidi="ar-SA"/>
        </w:rPr>
        <w:t xml:space="preserve"> and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caused the hazard to be present</w:t>
      </w:r>
      <w:r>
        <w:rPr>
          <w:rFonts w:ascii="arial" w:eastAsia="arial" w:hAnsi="arial" w:cs="arial"/>
          <w:color w:val="000000"/>
          <w:sz w:val="20"/>
          <w:lang w:val="en-US" w:eastAsia="en-US" w:bidi="ar-SA"/>
        </w:rPr>
        <w:t xml:space="preserve">. The second analysis, to which I will turn after the standard of care section in these reasons, requires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caused the injury he suffered because of the slip</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first question then is whether the plaintiff has established the existence of a hazard that caused her to fall. In considering this question, it is useful to recount again her evidence about the fall:</w:t>
      </w:r>
      <w:r>
        <w:rPr>
          <w:rFonts w:ascii="arial" w:eastAsia="arial" w:hAnsi="arial" w:cs="arial"/>
          <w:sz w:val="20"/>
          <w:lang w:val="en-US" w:eastAsia="en-US" w:bidi="ar-SA"/>
        </w:rPr>
        <w:cr/>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I walked on the grass towards the parking lot, and as I approached the curb separating the grassy area from the parking lot pavement, I put my left foot out to take a step and rolled my left ankle into the grass and fell forward. I was unable to catch myself and I remember that my right leg felt as if it would not follow my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Later in her affidavit, when she describes her return to the site of the fall and how she came to the conclusion that she had not in fact stepped in to the sewer grate, she adds: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noted that the grass terrain was uneven.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then goes on to say:</w:t>
      </w:r>
      <w:r>
        <w:rPr>
          <w:rFonts w:ascii="arial" w:eastAsia="arial" w:hAnsi="arial" w:cs="arial"/>
          <w:sz w:val="20"/>
          <w:lang w:val="en-US" w:eastAsia="en-US" w:bidi="ar-SA"/>
        </w:rPr>
        <w:cr/>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my discovery, I was asked to identify the location where I fell and the specific divot on which my left leg gave away. I did not identify the specific divot in question but identified the location of the fall which was marked with an X on Exhibit A, and a circle on Exhibit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my view, based on the evidence adduced by the plaintiff, she has failed to establish on a balance of probabilities that there was a hazard present in the grass area or that any such hazard caused her to fall. Specifically, in her own evidence, she is unable to identify the divot that she blames for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Moreover, it is relevant that she developed the theory about a divot when she returned to the site of the fall in February 2015. As noted above, this is not a credibility issue but rather supports the inference that her belief in what occurred was developed after the fact and based on her reconstruction of events. Again, there are similarities to </w:t>
      </w:r>
      <w:r>
        <w:rPr>
          <w:rFonts w:ascii="arial" w:eastAsia="arial" w:hAnsi="arial" w:cs="arial"/>
          <w:i/>
          <w:color w:val="000000"/>
          <w:sz w:val="20"/>
          <w:lang w:val="en-US" w:eastAsia="en-US" w:bidi="ar-SA"/>
        </w:rPr>
        <w:t>Hewson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He has engaged in an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xml:space="preserve"> reconstruction of events based on his subsequent return to the Bridge and is now advancing a theory of what may have been the cause of his injury, inviting the Court to likewise engage in speculation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authorities have consistently held that the court cannot speculate about the cause of an accident. See for example: </w:t>
      </w:r>
      <w:r>
        <w:rPr>
          <w:rFonts w:ascii="arial" w:eastAsia="arial" w:hAnsi="arial" w:cs="arial"/>
          <w:i/>
          <w:color w:val="000000"/>
          <w:sz w:val="20"/>
          <w:lang w:val="en-US" w:eastAsia="en-US" w:bidi="ar-SA"/>
        </w:rPr>
        <w:t>Kerr v. Global Investments House Inc.</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2014 BCSC 1544</w:t>
        </w:r>
      </w:hyperlink>
      <w:r>
        <w:rPr>
          <w:rFonts w:ascii="arial" w:eastAsia="arial" w:hAnsi="arial" w:cs="arial"/>
          <w:color w:val="000000"/>
          <w:sz w:val="20"/>
          <w:lang w:val="en-US" w:eastAsia="en-US" w:bidi="ar-SA"/>
        </w:rPr>
        <w:t xml:space="preserve"> at para. 77; </w:t>
      </w:r>
      <w:r>
        <w:rPr>
          <w:rFonts w:ascii="arial" w:eastAsia="arial" w:hAnsi="arial" w:cs="arial"/>
          <w:i/>
          <w:color w:val="000000"/>
          <w:sz w:val="20"/>
          <w:lang w:val="en-US" w:eastAsia="en-US" w:bidi="ar-SA"/>
        </w:rPr>
        <w:t>Lansdowne</w:t>
      </w:r>
      <w:r>
        <w:rPr>
          <w:rFonts w:ascii="arial" w:eastAsia="arial" w:hAnsi="arial" w:cs="arial"/>
          <w:color w:val="000000"/>
          <w:sz w:val="20"/>
          <w:lang w:val="en-US" w:eastAsia="en-US" w:bidi="ar-SA"/>
        </w:rPr>
        <w:t xml:space="preserve"> at para. 23; and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These cases, and others, similarly make it clear that if the plaintiff cannot establish the existence of a hazard that caused her to fall, the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Further, I agree with the defendant that based on the descriptions in the evidence of the grass area, as well as the photographs, there is nothing unusual or dangerous about the area that might constitute a hazard or trap.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this regard, the observations of Madam Justice Gerow in </w:t>
      </w:r>
      <w:r>
        <w:rPr>
          <w:rFonts w:ascii="arial" w:eastAsia="arial" w:hAnsi="arial" w:cs="arial"/>
          <w:i/>
          <w:color w:val="000000"/>
          <w:sz w:val="20"/>
          <w:lang w:val="en-US" w:eastAsia="en-US" w:bidi="ar-SA"/>
        </w:rPr>
        <w:t>Delgado</w:t>
      </w:r>
      <w:r>
        <w:rPr>
          <w:rFonts w:ascii="arial" w:eastAsia="arial" w:hAnsi="arial" w:cs="arial"/>
          <w:color w:val="000000"/>
          <w:sz w:val="20"/>
          <w:lang w:val="en-US" w:eastAsia="en-US" w:bidi="ar-SA"/>
        </w:rPr>
        <w:t xml:space="preserve"> are particularly apt. In that case, the plaintiff was injured when she slipped on some stairs at her rental accommodation. She sued the owner of the building and the property manager alleging that the stairs constituted a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Madam Justice Gerow dismissed the claim on a summary trial, saying at paras. 24-26: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 have reviewed the pictures of the stairs and landing and the experts' reports. It is apparent there is a slight slope to the landing. The stairs and landing appear to be well maintained and the evidence is they meet building code. There is no evidence that the stairs and landing were unstable as suggested by the plaintiff. They are concrete and the fact that both experts agreed there had been a gradual settlement does not support the inference suggested by the plaintiff that they could have moved on the day she tripped.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Stairs and landings are commonplace and part of everyday life. The fact that the plaintiff fell does not make them dangerous in and of themselves. The accident could have been avoided by a modicum of awareness on the part of the plaintiff and it cannot be said that the defendants breached their duty of reasonable care. The standard is reasonableness. </w:t>
      </w:r>
      <w:r>
        <w:rPr>
          <w:rFonts w:ascii="arial" w:eastAsia="arial" w:hAnsi="arial" w:cs="arial"/>
          <w:b/>
          <w:i/>
          <w:color w:val="000000"/>
          <w:sz w:val="20"/>
          <w:lang w:val="en-US" w:eastAsia="en-US" w:bidi="ar-SA"/>
        </w:rPr>
        <w:t>Robinson v. British Columbia</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[1998] B.C.J. No. 1962</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In viewing the stairs and landing there is nothing which presents a trap.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Here, there was nothing unusual about the grass area. Similar to the stairs in </w:t>
      </w:r>
      <w:r>
        <w:rPr>
          <w:rFonts w:ascii="arial" w:eastAsia="arial" w:hAnsi="arial" w:cs="arial"/>
          <w:i/>
          <w:color w:val="000000"/>
          <w:sz w:val="20"/>
          <w:lang w:val="en-US" w:eastAsia="en-US" w:bidi="ar-SA"/>
        </w:rPr>
        <w:t>Delgado</w:t>
      </w:r>
      <w:r>
        <w:rPr>
          <w:rFonts w:ascii="arial" w:eastAsia="arial" w:hAnsi="arial" w:cs="arial"/>
          <w:color w:val="000000"/>
          <w:sz w:val="20"/>
          <w:lang w:val="en-US" w:eastAsia="en-US" w:bidi="ar-SA"/>
        </w:rPr>
        <w:t>, it can fairly be characterized as commonplace and part of everyday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Even accepting that the grass was uneven, that fact alone does not lead to a finding that it was hazardous. In </w:t>
      </w:r>
      <w:r>
        <w:rPr>
          <w:rFonts w:ascii="arial" w:eastAsia="arial" w:hAnsi="arial" w:cs="arial"/>
          <w:i/>
          <w:color w:val="000000"/>
          <w:sz w:val="20"/>
          <w:lang w:val="en-US" w:eastAsia="en-US" w:bidi="ar-SA"/>
        </w:rPr>
        <w:t>Martinig</w:t>
      </w:r>
      <w:r>
        <w:rPr>
          <w:rFonts w:ascii="arial" w:eastAsia="arial" w:hAnsi="arial" w:cs="arial"/>
          <w:color w:val="000000"/>
          <w:sz w:val="20"/>
          <w:lang w:val="en-US" w:eastAsia="en-US" w:bidi="ar-SA"/>
        </w:rPr>
        <w:t>, Madam Justice Dillon granted a summary trial application dismissing the plaintiff's claim for injuries sustained in a fall on a softball field owned by the defendant. There was some dispute in the evidence about whether there was a hole in the field that caused the fall. Madam Justice Dillon said at paras. 37-38: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The first question is whether there was a hole that constituted a hazard. The Gordon Park Field was uneven. It had many depressions. The spot where the plaintiff fell had one of those depressions that was at most four inches wide. Both witnesses who immediately saw the spot where the plaintiff fell described it as a "depression". This was a depression characteristic of the entire field. This was a depression of the type that gave nobody cause for concern. It was a depression that had not been noticed as a "hole" by anyone including the parks field inspector and the grass cutter who specifically looked out for such things. It was not hidden. The grass was two inches high.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While the surface of the Gordon Park field was not perfect, [it] did not constitute an unusual or latent trap. An unusual danger is defined in the objective sense as a danger not usually found in carrying out a task or fulfilling the function than an invitee has in hand (</w:t>
      </w:r>
      <w:r>
        <w:rPr>
          <w:rFonts w:ascii="arial" w:eastAsia="arial" w:hAnsi="arial" w:cs="arial"/>
          <w:b/>
          <w:i/>
          <w:color w:val="000000"/>
          <w:sz w:val="20"/>
          <w:lang w:val="en-US" w:eastAsia="en-US" w:bidi="ar-SA"/>
        </w:rPr>
        <w:t>Story v. Prince George (City),</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[1979] B.C.J. No. 248</w:t>
        </w:r>
      </w:hyperlink>
      <w:r>
        <w:rPr>
          <w:rFonts w:ascii="arial" w:eastAsia="arial" w:hAnsi="arial" w:cs="arial"/>
          <w:color w:val="000000"/>
          <w:sz w:val="20"/>
          <w:lang w:val="en-US" w:eastAsia="en-US" w:bidi="ar-SA"/>
        </w:rPr>
        <w:t xml:space="preserve"> (QL) (S.C.) at para. 13). The depressions in the field, including the one observed by Ms. Kinley and Ms. Junck after the plaintiff fell, were not a hazard that should have been noticed and repaired by the District. It was slight and characteristic of the field. The evidence is that the field was usually in this condition as it was a multi-purpose field. There had been no reported injuries from the depressions in the field. The risk of falling because of the condition of the field was slight and was assessed by the plaintiff and others as inconsequential. There was no hidden or unusual danger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Lastly, it is important to note that there were options available to the plaintiff for accessing the parking lot, and her car, that did not involve crossing the grass area. The availability of a safe alternative was considered by the Court of Appeal in </w:t>
      </w:r>
      <w:r>
        <w:rPr>
          <w:rFonts w:ascii="arial" w:eastAsia="arial" w:hAnsi="arial" w:cs="arial"/>
          <w:i/>
          <w:color w:val="000000"/>
          <w:sz w:val="20"/>
          <w:lang w:val="en-US" w:eastAsia="en-US" w:bidi="ar-SA"/>
        </w:rPr>
        <w:t>Dandell v. Thompson Rivers University</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2013 BCCA 490</w:t>
        </w:r>
      </w:hyperlink>
      <w:r>
        <w:rPr>
          <w:rFonts w:ascii="arial" w:eastAsia="arial" w:hAnsi="arial" w:cs="arial"/>
          <w:color w:val="000000"/>
          <w:sz w:val="20"/>
          <w:lang w:val="en-US" w:eastAsia="en-US" w:bidi="ar-SA"/>
        </w:rPr>
        <w:t>, which involved a claim for damages for injuries sustained when the plaintiff slipped and fell while taking a shortcut down an icy pathway on a hill, rather than walking on the available sidewalk. The trial judge dismissed the claim, and that decision was upheld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the issue of a safe alternative route, Mr. Justice Lowry said at paras. 11-13: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 am unable to accept Mr. Dandell's contention that, by virtue of what was said in </w:t>
      </w:r>
      <w:r>
        <w:rPr>
          <w:rFonts w:ascii="arial" w:eastAsia="arial" w:hAnsi="arial" w:cs="arial"/>
          <w:i/>
          <w:color w:val="000000"/>
          <w:sz w:val="20"/>
          <w:lang w:val="en-US" w:eastAsia="en-US" w:bidi="ar-SA"/>
        </w:rPr>
        <w:t>Waldick,</w:t>
      </w:r>
      <w:r>
        <w:rPr>
          <w:rFonts w:ascii="arial" w:eastAsia="arial" w:hAnsi="arial" w:cs="arial"/>
          <w:color w:val="000000"/>
          <w:sz w:val="20"/>
          <w:lang w:val="en-US" w:eastAsia="en-US" w:bidi="ar-SA"/>
        </w:rPr>
        <w:t xml:space="preserve"> the university was, as a matter of law, required to eliminate the risk of a student being injured as he was. In </w:t>
      </w:r>
      <w:r>
        <w:rPr>
          <w:rFonts w:ascii="arial" w:eastAsia="arial" w:hAnsi="arial" w:cs="arial"/>
          <w:i/>
          <w:color w:val="000000"/>
          <w:sz w:val="20"/>
          <w:lang w:val="en-US" w:eastAsia="en-US" w:bidi="ar-SA"/>
        </w:rPr>
        <w:t>Waldick</w:t>
      </w:r>
      <w:r>
        <w:rPr>
          <w:rFonts w:ascii="arial" w:eastAsia="arial" w:hAnsi="arial" w:cs="arial"/>
          <w:color w:val="000000"/>
          <w:sz w:val="20"/>
          <w:lang w:val="en-US" w:eastAsia="en-US" w:bidi="ar-SA"/>
        </w:rPr>
        <w:t>, the court was concerned with an injury that occurred as a consequence of an occupier's failure to provide any safe access to a home. The only access at the time of the incident in question was icy, slippery, and covered with a dusting of snow. No one could access the home without being exposed to a risk of the injury that was suffered. As is made clear in the passage quoted above, the legislation requires positive action to remove or minimize the risk of injury, not in every instance but where the circumstances warrant. It is the circumstances in any given instance that govern what the occupier must do to take reasonable care to see that those on the premises will be reasonably safe.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Here there was a well-maintained access to the building the university intended students like Mr. Dandell to use rather than taking the shortcut. It would have taken him only 11 more seconds. Far from being arguably irrelevant, the university's positive action to maintain a safe access to the building was clearly a proper and significant factor in the judge's application of the legal standard of reasonableness in all of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trial decisions Mr. Dandell cites to support his contention that an alternative access is not necessarily conclusive of the occupier's duty having been discharged appear to me to be instances where the risk of injury, or the alternative access, although known to the occupier, was not apparent to the person injured. </w:t>
      </w:r>
      <w:r>
        <w:rPr>
          <w:rFonts w:ascii="arial" w:eastAsia="arial" w:hAnsi="arial" w:cs="arial"/>
          <w:i/>
          <w:color w:val="000000"/>
          <w:sz w:val="20"/>
          <w:lang w:val="en-US" w:eastAsia="en-US" w:bidi="ar-SA"/>
        </w:rPr>
        <w:t>Kinnear v. Canadian Recreation Excellence (Vernon) Corp.</w:t>
      </w:r>
      <w:r>
        <w:rPr>
          <w:rFonts w:ascii="arial" w:eastAsia="arial" w:hAnsi="arial" w:cs="arial"/>
          <w:color w:val="000000"/>
          <w:sz w:val="20"/>
          <w:lang w:val="en-US" w:eastAsia="en-US" w:bidi="ar-SA"/>
        </w:rPr>
        <w:t xml:space="preserve"> (February 24, 2011), Vernon Docket 39746 (B.C.S.C.), is an example of an alternative access (40 seconds longer) being largely conclusive of the proper discharge of an occupier's duty in circumstances somewhat similar to those leading to the injury Mr. Dandell suffered. The existence of an alternative access, like the extent to which the risk taken was apparent, must be a part of all the circumstances to be considered in applying the legal standard in any given case where a choice of access -- one safe, the other not --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Here, as the plaintiff acknowledged, there was a sidewalk that provides direct access to the parking lot and there was nothing that impeded her use of the parking lot or that compelled her to cut across the grass area. The availability of the sidewalk supports a finding that the defendant took reasonable care to ensure that people attending the parish centre could access the parking lot in a safe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the plaintiff's fall and resulting injuries are most unfortunate, for all of the above reasons, I find that she has not established that there was a hazard located on the defendant's property that caused her to fall and injure herself or that any act or omission on the part of the defendant caused or contributed to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claim is therefore dismissed, with costs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3"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Thompson v. Cox, [2002] B.C.J. No. 504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Melvin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95 1517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504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314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314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Robin Wendy Thompson, plaintiff, and Michael J. Cox, Greater Victoria Hospital Society, carrying on business as Victoria General Hospital, and the said Victoria General Hospital, L. Giroday, S. Lister, Jane Doe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4"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6" w:name="Keywords_35"/>
      <w:bookmarkEnd w:id="356"/>
      <w:r>
        <w:rPr>
          <w:rFonts w:ascii="arial" w:eastAsia="arial" w:hAnsi="arial" w:cs="arial"/>
          <w:b/>
          <w:color w:val="000000"/>
          <w:sz w:val="20"/>
          <w:lang w:val="en-US" w:eastAsia="en-US" w:bidi="ar-SA"/>
        </w:rPr>
        <w:t xml:space="preserve">Hospitals — Liability of hospitals — To patients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 Hearsay rule — Hearsay rule exceptions and exclusions — Statements against interest — What constitutes a statement against interest — Inferences and weight of evidence — Weight — Reliability.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57" w:name="Case Summary_32"/>
            <w:bookmarkEnd w:id="3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Thompson against the Victoria General Hospital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Thompson was admitted to the Hospital for a surgical procedure to correct problems related to menorrhagia. After the surgery, Thompson claimed to suffer pain in the lumber area of her spine, and she alleged that while she was under anesthetic, she was dropped. Thompson swore that an unidentified female employee, whom she believed to be a nurse, told her that she overheard other employees say that they dropped her. Thompson could not identify or describe who this employee was. All the health care professionals at the Hospital who cared for Thompson filed affidavits. They swore that they had no knowledge of Thompson being dropped or handled inappropriately. This included the nurse who was the first person to attend to Thompson after the operation. Thompson also claimed that there was a bruise on her lower back that did not exist before the operation. The bruising was observed by Thompson's family and a friend.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8" w:name="Holdings of Court_27"/>
            <w:bookmarkEnd w:id="35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statement by the unidentified nurse was not admissible. The identification of the nurse was not established. It was also double hearsay because it made reference to a conversation by another unidentified party. The statement was unreliable and did not meet the threshold of admissibility. The statement could not be admitted under the hearsay rule exception as a declaration against interest. It was unknown if the statement was uttered in the ordinary course of hospital business. Even if it could be admitted under this exception it was inadmissible because the sources of the statement were unknown. The evidence of bruising and Thompson's sore back were insufficient to demonstrate, on a balance of probabilities,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Hospital caused or contributed to her injuries.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9" w:name="Counsel_36"/>
      <w:bookmarkEnd w:id="3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5"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J.A.S. Legh, for the plaintiff. L.A. Slater, for the defendant, Greater Victoria Hospital Society.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0" w:name="Judgment_36"/>
      <w:bookmarkEnd w:id="360"/>
      <w:r>
        <w:pict>
          <v:line id="_x0000_s1206" style="position:absolute;z-index:2517985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1" w:name="MELVIN J."/>
            <w:bookmarkEnd w:id="361"/>
            <w:r>
              <w:rPr>
                <w:rFonts w:ascii="arial" w:eastAsia="arial" w:hAnsi="arial" w:cs="arial"/>
                <w:b/>
                <w:color w:val="000000"/>
                <w:sz w:val="30"/>
                <w:lang w:val="en-US" w:eastAsia="en-US" w:bidi="ar-SA"/>
              </w:rPr>
              <w:t>MELVIN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Pursuant to Rule 18A, the plaintiff seeks judgment against the defendants on the issue of liability, with reference to injuries that the plaintiff allegedly sustained when she attended at the defendant hospital premises for purposes of a surgical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litigation has a somewhat tortuous history. On February 2, 1999, this court dismissed an identical application brought by the plaintiff. As a result of that dismissal, the plaintiff appealed to the Court of Appeal who, on December 13, 2000, allowed the plaintiff's appeal against the defendant hospital in the following language: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The trial judge refused to admit her evidence about the nurse's statements on the basis that it was "clearly hearsay". He did not consider whether the statement might be admitted as an exception to the hearsay rule. It does not appear counsel put forward either the traditional exception for agent's statements or the necessity exception considered in R. v. Khan, </w:t>
      </w:r>
      <w:hyperlink r:id="rId405" w:history="1">
        <w:r>
          <w:rPr>
            <w:rFonts w:ascii="arial" w:eastAsia="arial" w:hAnsi="arial" w:cs="arial"/>
            <w:i/>
            <w:color w:val="0077CC"/>
            <w:sz w:val="20"/>
            <w:u w:val="single"/>
            <w:shd w:val="clear" w:color="auto" w:fill="FFFFFF"/>
            <w:lang w:val="en-US" w:eastAsia="en-US" w:bidi="ar-SA"/>
          </w:rPr>
          <w:t>[1990] 2 S.C.R. 531</w:t>
        </w:r>
      </w:hyperlink>
      <w:r>
        <w:rPr>
          <w:rFonts w:ascii="arial" w:eastAsia="arial" w:hAnsi="arial" w:cs="arial"/>
          <w:color w:val="000000"/>
          <w:sz w:val="20"/>
          <w:lang w:val="en-US" w:eastAsia="en-US" w:bidi="ar-SA"/>
        </w:rPr>
        <w:t>. It appears those exceptions may not have been brought to the attention of the trial judge. He dealt with the remaining two items of evidence at para. 26 and 27 of his reasons: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[26] The plaintiff relies on the evidence of the small bruise on her back to support her contention that she was injured by some act on the part of those responsible for her care. There is in my opinion no evidence that that was the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In this case the plaintiff principally in my opinion relies on the fact that the plaintiff had no back problems when she entered the hospital, but had a back problem after her operation as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 primary point the appellant makes on this appeal is that the trial judge might have reached a different conclusion had he considered the nurse's statements. In any event, she submits the trial judge erred by considering each item of evidence separately. In failing to consider the evidence as a whole he failed to give proper weight to the absence of any reasonable explanation for the bruise other than some negligent act of one or more of the respondents. The effect of his reasoning was to reject or ignore the evidence of the bruise. Yet, the evidence of the bruise was not challenged by the respondents.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Because I am of the view the trial judge should have considered whether the nurse's statement was admissible as an exception to the hearsay rule, and should have considered the evidence of the bruise, I would allow the appeal of the order as it relates to the hospital defendants. At the hearing yesterday, this court dismissed the appeal against the defendant surgeon without calling upon him to reply to the appellant's submissions. There was no evidence to support any inference that might support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and much in his evidence to negate any weak inference that might be thought possible. However, if the nurse's statement was admitted, I cannot say with assurance that the result would be the same with regard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the matter proceeded before the trial judge on the initial Rule 18A application and the Court of Appeal, and on this hearing on affidavit material, there is little dispute as to what the information was that was available initially, and on the appeal, and on this hearing. This hearing revolves around the admissibility of statements heard by the plaintiff while recovering from surgery, and the significance of a bruise noticed by members of her family that, it is submitted, did not exist prior to her attending at the hospital for purposes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admitted to the defendant hospital, as a result of medical advice, for the purpose of a surgical procedure to alleviate and correct problems relating to menorrhagia. The operation appeared to be uneventful as the plaintiff ultimately recovered from the surgery without difficulties. However, the plaintiff, on being returned to her room, recovering from the anaesthetic, reported pain in the lumbar area of her spine. According to the records of the hospital on August 27, 1993, there is a note of moderately severe lower back pain; later on the same date at 1130 hours there is a reference to back ache that seems to be less troublesome since the patient has been up out of bed. Further, on August 27, at approximately 2100 hours, the nurses' notes record that the patient was "more troubled by lower lumbar pain. She had a traumatic back injury about a year ago and this feels the same as the old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None of the hospital staff noted any bruises or marks to the plaintiff's lumbar spine. Nor is there indication of any such marks in nurses' notes, charts, or records of the hospital. However, after surgery, various family members apparently noted bruises on the patient's mid-lower back. Details of these observations are not recorded in any nurses' notes, charts, or hospital records. The first observation by a family member was later in the day of the plaintiff's operation. Subsequent observations by family members took place on August 28. A friend of the plaintiff, the plaintiff's sister and the plaintiff's father observed a dark bruise on the plaintiff's lower back. Notably, at no time did the plaintiff herself take any steps to attempt to observe the bruise in question. Consequently, the evidence of the family members or friend is the only direct evidence of bruises being observed on the plaintiff's lower back at the relevant period of time, namely, after the surgical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a lack of evidence concerning the existence or non-existence of a bruise to the plaintiff's back on her entry into the hospital. It should be noted, however, that she was not complaining of any lower back pain or anything associated therewith at the time of her admission to the hospital. The previous injury, which had caused trouble to the same area, was asymptomatic at the time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allegations are that, while she was under the care of the hospital and after the surgery, she was dropped in some fashion, which resulted in trauma to the area of her lower spine, which in turn, created her present significant difficulties. As previously noted, shortly after her recovery from surgery, she complained of lumbar pain, which is noted on the charts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Added to this evidence, is the submission on behalf of the plaintiff that the following evidence, from the plaintiff's affidavit sworn February 23, 1996, is admissible on the issue of causation:</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one point while I was in the hospital a female employee who I believe to have been a nurse approached me. </w:t>
      </w:r>
      <w:r>
        <w:rPr>
          <w:rFonts w:ascii="arial" w:eastAsia="arial" w:hAnsi="arial" w:cs="arial"/>
          <w:color w:val="000000"/>
          <w:sz w:val="20"/>
          <w:u w:val="single"/>
          <w:lang w:val="en-US" w:eastAsia="en-US" w:bidi="ar-SA"/>
        </w:rPr>
        <w:t>My recollection is the nurse said something to the effect of "I overheard them say they dropped you. Someone never set the gurney brakes, you seem to have a bruised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her examination for discovery on November 19, 1996, the plaintiff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Paragraph 14 of that same affidavit reads, "At one point while I was in the hospital a female employee, who I believe to have been a nurse, approached me. My recollection is that the nurse said something to the effect of 'I overheard them say they dropped you. Someone never set the gurney brakes. You seem to have a bruised back.' " Now, when were you told this?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 I guess after I was screaming about my back and someone came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278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immediately after the scream someone came in and told you at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she had pulled the -- well, minutes, I guess.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first person that came to see you though, from the hospital staff, told you this?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was your response?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wanted my back fixed, stop it from being in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What's the name of the person that told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no idea.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she look like? Was it a woman?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she look like?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284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 no idea what this person looked like?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never tell any hospital staff, administration, nurses, doctors, anyone in the hospital, about this conversation?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talked to Steve about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I'm going to ask you about the woman that apparently told you that you had been dropped from the gurney. Was she wearing a nursing outfit?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564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colour was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remember what colour her hair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566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remember if she was wearing glasses?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567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remember how old she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568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 no recollection of the physical characteristics of this woman?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569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ever see her again after that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she a nurse on the ward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 don't think she ever took care of me, not that -- you know, not that I remember. I don't remember her being with me at any other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other than the one contact that you had with her, where she asked you what the problem was, and got you some medication, on no other occasions did she administer any treatment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she in fact get you medication on that occasion when you complained?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574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she inject the medication?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 a specific recollection of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have a recollection of it being an injection?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All of the health care professionals at the hospital, nurses, attendants, and doctors, who were associated in any way, according to the hospital records, with the care of the plaintiff, have filed affidavits. Although their affidavits are based on a recollection of events, which are in turn based on their examination of notes, charts, or hospital records, and not their independent recollections, none have any recollection of the plaintiff being dropped or inappropriately handled at any time. It is obvious from their evidence that in the event of such an occurrence an incident report would have immediately been prepared, and the matter of a patient being dropped or inappropriately cared for would be a matter which would be noted, charted or recorded, and likely remembered.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addition, by process of elimination, it appears that the registered nurse Jane Fortye was first person to attend on the plaintiff, when the plaintiff returned to the ward, which the plaintiff deposed was the time and place she heard the statement referred to above. In Jane Fortye's affidavit sworn January 15, 1996, she deposed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I have no recollection of Ms. Thompson as a patient at the Hospital, the Hospital's Records for Ms. Thompson indicate that I was one of the registered nurses who cared for Ms. Thompson during her stay at the Hospital.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Thompson's Records indicate that I cared for her prior to her operation on August 25, 1993, and then later on August 26, 1993, following her operation and her return from Post-Anaesthetic Recovery ("P.A.R.").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notes I took, which are in the Records, I did not observe anything remarkable about Ms. Thompson's recovery.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Records indicate that I cared for Ms. Thompson following her time in P.A.R. By the time my care of her began, the Records indicate that she was still drowsy but was slowly regaining consciousness.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have had no reason to transfer Ms. Thompson from one gurney to another. Patients are brought from P.A.R. on a gurney with side rails on it. The side rails are left in the up position until the patient fully regains consciousness.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no recollection of observing Ms. Thompson falling from her gurney at any time. Further, I do not recall hearing from any one else that Ms. Thompson had fallen from her gurney or fallen from the operating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Nurse Fortye swore a second affidavit December 19, 1996, in which she deposed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cared for Ms. Thompson prior to her operation on August 25, 1993 and upon her return from the post-anaesthetic recovery room on August 26, 1993.</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gave Ms. Thompson an injection of Meperidine on August 26, 1993 at 14:00 hours. This was Ms. Thompson's first injection of Meperidine upon her return to the ward following her operation.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14:45 hours on August 26, 1993, I gave Ms. Thompson a further injection of Meperidine. Meperidine is used for pain control. On each of those occasions, I also gave her an injection of Gravol for nausea.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my review of the medication administration record there are no other injections of medication which were given to Ms. Thompson upon her return from her operation which were injections for pain control.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not advised by any person in the hospital that Ms. Thompson had fallen or been dropped from a gurney while unconscious.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not advise Ms. Thompson on August 26, 1993 or at any other time that I had heard that she had fallen or been dropped from a gurney while unconscious.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no recollection of observing Ms. Thompson fall from her gurney at any time. If this had occurred, I would remember it as it would have been a very unusual incident. I would also have noted it in the Patient Progress Record and completed an incident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Nurse Fortye was examined further on January 10, 1997, during which she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was your first involvement with her on that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Returning from recovery room at 11:30.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11:30 a.m.?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what was her condition upon you receiving her on your ward?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was drowsy, reading from the notes.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note indicates that she was drowsy but rouses. What does that mean to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I'm able to -- she can -- we -- she -- I can speak to her and she'll answer 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have any specific recollection of any conversation that you had with her on that occasion?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there's nothing recorded specifically?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have been able to carry on a conversation with 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When you rolled her on to her side that day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did you note any bruising to her back?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None that I charted and none that I recollect.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 would bruising, if you had noted it, be something that you would have charted?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because it's unusual.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take it -- maybe you can explain for us what normally is put on the patient progress record.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Anything out of norm, unusual.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I'm going to put to you a -- an explanation or a comment that was given by Ms. Thompson at an Examination for Discovery. She indicated that when she woke up from the anesthetic that her back was extremely sore, more so than her stomach area, and that she explained this to the first nurse who provided her with the injection. Do you have any recollection of that description by 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Thompson also claims that during that conversation she asked why her back was sorer, was so sore, and that the nurse who provided the injection advised that she had overheard someone in a hospital say that Ms. Thompson had been dropped from a gurney.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have any recollection of saying that to Ms. Thompson?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ever overhear someone say that she had been dropped from a gurney?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tell Mrs. Thompson that she had been dropped from a gurney?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see her dropped from a gurney?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are you now aware as to whether she ever had been dropped from a gurney during her time in hospital?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she had been dropped from the gurney and you had seen it what would you have done?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would have gotten her back into bed and then an incident report would have been filed and the doctor notified.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also have noted it in the patient progress record?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Have you ever seen a patient dropped?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con -- would that constitute an unusual event?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something that you would remember if you'd seen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so.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Nurse Fortye's recollection is based on her reading of the notes from the hospital as is clear from the following passages: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 -- I think it's clear from your evidence so far but I want to reiterate you have no personal recollection of Ms. Thompson?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recollection.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only evidence that you're able to give is based upon your reading of the notes from the hospital?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aside from that, those notes have not assisted you in recalling anything additional that isn't listed in the notes?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 --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really all you can tell us is what the notes say and -- and confirm that those were the notes that you had written and therefore they must, you would believe, reflect what you -- what occurred at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allegations in the statement of claim are that the defendants "dropped the Plaintiff while moving her from the operating table to the gurney or vice versa from the gurney to the operating table". Further, in paragraph 14 of the statement of claim, the plaintiff alleges that the defendants were negligent in failing to apply the brakes of the gurney, and in failing to ensure that an adequate number of persons were available to move the plaintiff from the gurney to the operating table, or to return her from the operating table to the gurney.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basis of the plaintiff's claim, accepting the plaintiff entered the hospital with an unbruised back and an asymptomatic pre-existing back injury, the existence of a bruise shortly after surgery, and the noting of pain by the plaintiff as reflected in the medical entries, is that the cumulative effect of all of the evidence indicates that some traumatic event occurred and caused an injury in the area of the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short, the submission is that the circumstantial and direct evidence constitutes reasonable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is,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arise due to the overall effect of the circumstantial and direct evidence. When considering whether to draw such an inference, the totality of the direct and circumstantial evidence must be considered by the court. When considering whether or not to draw such an inference, of course, the court must examine all of the evidence. It is only on a consideration of direct and circumstantial evidence that the court can determine whether or not the plaintiff has proved her case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the Court of Appeal determined this matter, the court commented that the original trial judge should have considered the evidence of the bruise. In paragraph 26 of his reasons, the trial judge referred to the evidence of the bruise on her back in the context of the submission that the plaintiff was injured by some act on the part of those responsible for her care,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in my opinion no evidence that that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respectful view, what the learned trial judge was stating in that sentence was that he could not find any connection between the existence of the bruise and a negligent act on the part of the defendant. Nevertheless, the Court of Appeal, despite the foregoing, concluded that he had failed to consider the evidence of the bruise.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obvious that the existence of the bruise is central to the plaintiff's case. It tends to support the plaintiff's evidence that shortly after the surgery in question, she suffered back pain. As mentioned previously, back pain was noted in the records of the hospital after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Standing by itself, the existence of a bruise may be meaningless; however, in my view, it is necessary to consider the existence of the bruise, assuming it occurred after entry to the hospital, which is not admitted by the defendants, in the totality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other to be addressed is the admissibility of the statement in paragraph 14 of the plaintiff's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Court of Appeal noted that it did not appear that at the initial trial counsel put forward the traditional exception for agent statements or the necessity/reliability principles considered in R. v. Khan, </w:t>
      </w:r>
      <w:hyperlink r:id="rId405" w:history="1">
        <w:r>
          <w:rPr>
            <w:rFonts w:ascii="arial" w:eastAsia="arial" w:hAnsi="arial" w:cs="arial"/>
            <w:i/>
            <w:color w:val="0077CC"/>
            <w:sz w:val="20"/>
            <w:u w:val="single"/>
            <w:shd w:val="clear" w:color="auto" w:fill="FFFFFF"/>
            <w:lang w:val="en-US" w:eastAsia="en-US" w:bidi="ar-SA"/>
          </w:rPr>
          <w:t>[1990] 2 S.C.R. 531</w:t>
        </w:r>
      </w:hyperlink>
      <w:r>
        <w:rPr>
          <w:rFonts w:ascii="arial" w:eastAsia="arial" w:hAnsi="arial" w:cs="arial"/>
          <w:color w:val="000000"/>
          <w:sz w:val="20"/>
          <w:lang w:val="en-US" w:eastAsia="en-US" w:bidi="ar-SA"/>
        </w:rPr>
        <w:t>. Defence counsel submits that the statement deposed to by the plaintiff is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 v. Khan, supra, was concerned initially with evidence of a child of tender years. McLachlin J., as she then was, posed the question as follows at page 540: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question then is the extent to which, if at all, the strictures of the hearsay rule should be relaxed in the case of children's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Dealing with the principled approach developed in R. v. Khan, the court stated that the first question should be whether reception of the hearsay statement is necessary. Necessity, according to the Supreme Court of Canada at page 546, "must be interpreted as 'reasonably necessary'". The court commented that the inadmissibility of a child's evidence may be one basis for a finding of necessity. In other words, the inability of a witness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considering whether or not the reception of the otherwise hearsay statement is reasonably necessary in the circumstances, the next question should be whether the evidence is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the issue of reliability was discussed by the Supreme Court of Canada in R. v. Khan, supra, there was some emphasis concerning the reliability in the context of a child. The court stated at page 547: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matters relevant to reliability will vary with the child and with the circumstances, and are best left to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conclusion of the court is found at page 548: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hearsay evidence of a child's statement on crimes committed against the child should be received, provided that the guarantees of necessity and reliability are met, subject to such safeguards as the judge may consider necessary and subject always to considerations affecting the weight that should be accorded to such evidence. This does not make out-of-court statements by children generally admissible; in particular the requirement of necessity will probably mean that in most cases children will still be called to give viva voce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conclude that the mother's statement in the case at bar should have been received. It was necessary, the child's viva voce evidence having been rejected. It was also reliable. The child had no motive to falsify her story, which emerged naturally and without prompting. Moreover, the fact that she could not be expected to have knowledge of such sexual acts imbues her statement with its own peculiar stamp of reliability. </w:t>
      </w:r>
      <w:r>
        <w:rPr>
          <w:rFonts w:ascii="arial" w:eastAsia="arial" w:hAnsi="arial" w:cs="arial"/>
          <w:color w:val="000000"/>
          <w:sz w:val="20"/>
          <w:u w:val="single"/>
          <w:lang w:val="en-US" w:eastAsia="en-US" w:bidi="ar-SA"/>
        </w:rPr>
        <w:t>Finally, her statement was corroborated by real evidence</w:t>
      </w:r>
      <w:r>
        <w:rPr>
          <w:rFonts w:ascii="arial" w:eastAsia="arial" w:hAnsi="arial" w:cs="arial"/>
          <w:color w:val="000000"/>
          <w:sz w:val="20"/>
          <w:lang w:val="en-US" w:eastAsia="en-US" w:bidi="ar-SA"/>
        </w:rPr>
        <w:t>. Having said this, I note that it may not be necessary to enter the statement on a new trial, if the child's viva voce evidence can be received as suggested in the first part of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Subsequently, in R. v. Smith, </w:t>
      </w:r>
      <w:hyperlink r:id="rId404" w:history="1">
        <w:r>
          <w:rPr>
            <w:rFonts w:ascii="arial" w:eastAsia="arial" w:hAnsi="arial" w:cs="arial"/>
            <w:i/>
            <w:color w:val="0077CC"/>
            <w:sz w:val="20"/>
            <w:u w:val="single"/>
            <w:shd w:val="clear" w:color="auto" w:fill="FFFFFF"/>
            <w:lang w:val="en-US" w:eastAsia="en-US" w:bidi="ar-SA"/>
          </w:rPr>
          <w:t>[1992] 2 S.C.R. 915</w:t>
        </w:r>
      </w:hyperlink>
      <w:r>
        <w:rPr>
          <w:rFonts w:ascii="arial" w:eastAsia="arial" w:hAnsi="arial" w:cs="arial"/>
          <w:color w:val="000000"/>
          <w:sz w:val="20"/>
          <w:lang w:val="en-US" w:eastAsia="en-US" w:bidi="ar-SA"/>
        </w:rPr>
        <w:t>, the Supreme Court of Canada addressed the issue of necessity and reliability in relation to hearsay statements. For purposes of the analysis in R. v. Smith, supra, the Supreme Court of Canada adopted the statement of the Privy Council in Subramanian v. Public Prosecutor, [1956] 1 W.L.R. 965 (P.C.) at page 970: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of a statement made to a witness by a person who is not himself called as a witness may or may not be hearsay. It is hearsay and inadmissible when the object of the evidence is to establish the truth of what </w:t>
      </w:r>
      <w:r>
        <w:rPr>
          <w:rFonts w:ascii="arial" w:eastAsia="arial" w:hAnsi="arial" w:cs="arial"/>
          <w:color w:val="000000"/>
          <w:sz w:val="20"/>
          <w:u w:val="single"/>
          <w:lang w:val="en-US" w:eastAsia="en-US" w:bidi="ar-SA"/>
        </w:rPr>
        <w:t>is contained in the statement</w:t>
      </w:r>
      <w:r>
        <w:rPr>
          <w:rFonts w:ascii="arial" w:eastAsia="arial" w:hAnsi="arial" w:cs="arial"/>
          <w:color w:val="000000"/>
          <w:sz w:val="20"/>
          <w:lang w:val="en-US" w:eastAsia="en-US" w:bidi="ar-SA"/>
        </w:rPr>
        <w:t>. It is not hearsay and is admissible when it is proposed to establish by the evidence, not the truth of the statement, but the fact that it was made. The fact that the statement was made, quite apart from its truth, is frequently relevant in considering the mental state and conduct thereafter of the witness or of some other person in whose presence the statement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Smith, supra, the issue was the admissibility of telephone conversations between the deceased and her mother. It is obvious from the decision in Smith that any suggested restriction in R. v. Khan, supra, that it relates only to a child's evidence is inapplicable. In Smith, supra at page 930, the court stated that it has "not taken the position that the hearsay rule precludes the reception of hearsay evidence unless it falls within established categories of exceptions, such as 'present intentions' or 'state of mind'." In that context, the court in Smith at page 932 stated that Khan should not be understood as turning on its particular facts, but it must be seen as "a particular expression of the fundamental principles that underlie the hearsay rule and the exceptions to it." In Smith, the court noted that the declarant (the deceased) would have been a competent witness had she been available to give evidence but she is dead. In reference to Khan, the child was not a competent witness; therefore, the child's evidence was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 the criterion of reliability, the court adopted Wigmore's expression of circumstantial guarantee of trustworthiness. In other words, if a statement "sought to be adduced by way of hearsay evidence is made under circumstances which substantially negate the possibility that the declarant was </w:t>
      </w:r>
      <w:r>
        <w:rPr>
          <w:rFonts w:ascii="arial" w:eastAsia="arial" w:hAnsi="arial" w:cs="arial"/>
          <w:color w:val="000000"/>
          <w:sz w:val="20"/>
          <w:u w:val="single"/>
          <w:lang w:val="en-US" w:eastAsia="en-US" w:bidi="ar-SA"/>
        </w:rPr>
        <w:t>untruthful or mistaken</w:t>
      </w:r>
      <w:r>
        <w:rPr>
          <w:rFonts w:ascii="arial" w:eastAsia="arial" w:hAnsi="arial" w:cs="arial"/>
          <w:color w:val="000000"/>
          <w:sz w:val="20"/>
          <w:lang w:val="en-US" w:eastAsia="en-US" w:bidi="ar-SA"/>
        </w:rPr>
        <w:t>, the hearsay evidence may be said to be 'reliable', i.e., a circumstantial guarantee of trustworthiness is established." (Smith, supra at page 933; my emphasis). As to necessity, the court noted that in Khan, as the complainant was found not competent to testify, hearsay evidence of the statements were necessary as what was said could not otherwise be adduced. The child's inability to testify satisfied the necessity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R. v. Hawkins, </w:t>
      </w:r>
      <w:hyperlink r:id="rId817" w:history="1">
        <w:r>
          <w:rPr>
            <w:rFonts w:ascii="arial" w:eastAsia="arial" w:hAnsi="arial" w:cs="arial"/>
            <w:i/>
            <w:color w:val="0077CC"/>
            <w:sz w:val="20"/>
            <w:u w:val="single"/>
            <w:shd w:val="clear" w:color="auto" w:fill="FFFFFF"/>
            <w:lang w:val="en-US" w:eastAsia="en-US" w:bidi="ar-SA"/>
          </w:rPr>
          <w:t>[1996] 3 S.C.R. 1043</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(1996), 141 D.L.R. (4th) 193</w:t>
        </w:r>
      </w:hyperlink>
      <w:r>
        <w:rPr>
          <w:rFonts w:ascii="arial" w:eastAsia="arial" w:hAnsi="arial" w:cs="arial"/>
          <w:color w:val="000000"/>
          <w:sz w:val="20"/>
          <w:lang w:val="en-US" w:eastAsia="en-US" w:bidi="ar-SA"/>
        </w:rPr>
        <w:t>, the Supreme Court of Canada revisited necessity and reliability again in the context of R. v. Khan and R. v. Smith. Dealing with the matter of necessity, the court stated at paragraph 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hearsay evidence will be necessary in circumstances where the declarant is unavailable to testify at trial and where the party is unable to obtain evidence of a similar quality from another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also confirmed that on the issue of reliability that the requirement will be satisfied where the hearsay statement is made in circumstances which provide sufficient guarantees of its trustworthiness.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its context, it is to be noted that the criterion of reliability is concerned with threshold reliability, not ultimate reliability. The trial judge is limited to determining whether the hearsay statement exhibits sufficient indicia of reliability so as to afford the trier of fact a satisfactory basis for evaluating the truth of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Applying those principles to the case at bar, in my opinion, there are significant difficulties in extending the principles identified in Khan, Smith and Hawkins to the fact pattern relating to the conversation reported by the plaintiff. With reference to that conversation, a number of factors should be considered, as taken from paragraph 14 of the affidavit of the plaintiff sworn February 23, 1996:</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 spoke was a female employee whom the plaintiff believed to have been a nurse;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recollection is that the nurse said something to the effect of "I overheard </w:t>
      </w:r>
      <w:r>
        <w:rPr>
          <w:rFonts w:ascii="arial" w:eastAsia="arial" w:hAnsi="arial" w:cs="arial"/>
          <w:color w:val="000000"/>
          <w:sz w:val="20"/>
          <w:u w:val="single"/>
          <w:lang w:val="en-US" w:eastAsia="en-US" w:bidi="ar-SA"/>
        </w:rPr>
        <w:t>them</w:t>
      </w:r>
      <w:r>
        <w:rPr>
          <w:rFonts w:ascii="arial" w:eastAsia="arial" w:hAnsi="arial" w:cs="arial"/>
          <w:color w:val="000000"/>
          <w:sz w:val="20"/>
          <w:lang w:val="en-US" w:eastAsia="en-US" w:bidi="ar-SA"/>
        </w:rPr>
        <w:t xml:space="preserve"> say </w:t>
      </w:r>
      <w:r>
        <w:rPr>
          <w:rFonts w:ascii="arial" w:eastAsia="arial" w:hAnsi="arial" w:cs="arial"/>
          <w:color w:val="000000"/>
          <w:sz w:val="20"/>
          <w:u w:val="single"/>
          <w:lang w:val="en-US" w:eastAsia="en-US" w:bidi="ar-SA"/>
        </w:rPr>
        <w:t>they</w:t>
      </w:r>
      <w:r>
        <w:rPr>
          <w:rFonts w:ascii="arial" w:eastAsia="arial" w:hAnsi="arial" w:cs="arial"/>
          <w:color w:val="000000"/>
          <w:sz w:val="20"/>
          <w:lang w:val="en-US" w:eastAsia="en-US" w:bidi="ar-SA"/>
        </w:rPr>
        <w:t xml:space="preserve"> dropped you. </w:t>
      </w:r>
      <w:r>
        <w:rPr>
          <w:rFonts w:ascii="arial" w:eastAsia="arial" w:hAnsi="arial" w:cs="arial"/>
          <w:color w:val="000000"/>
          <w:sz w:val="20"/>
          <w:u w:val="single"/>
          <w:lang w:val="en-US" w:eastAsia="en-US" w:bidi="ar-SA"/>
        </w:rPr>
        <w:t>Someone</w:t>
      </w:r>
      <w:r>
        <w:rPr>
          <w:rFonts w:ascii="arial" w:eastAsia="arial" w:hAnsi="arial" w:cs="arial"/>
          <w:color w:val="000000"/>
          <w:sz w:val="20"/>
          <w:lang w:val="en-US" w:eastAsia="en-US" w:bidi="ar-SA"/>
        </w:rPr>
        <w:t xml:space="preserve"> never set the gurney brakes, you seem to have a bruised back."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first difficulty with the admissibility of this particular statement is that the identification of the declarant has not been established. None of the nurses who attended on the plaintiff have any recollection of such a statement being made, nor any independent recollection of the subject matter of the plaintiff having been dropped being discussed. The likelihood is that if the statement was made, Nurse Fortye made it; her evidence has been set out above. Nurse Fortye is competent and compellable at trial. Assuming for the purposes of these reasons that the individual was a nurse and made the statement, the admissibility of the statement is compromised by the language used by the plaintiff. What is tendered as being necessary and reliable is a statement that the individual had overheard someone else say something in circumstances where the someone else has not been identified, and what that someone else said was that "they" dropped you without "they" being identified. Under those circumstances, although it may be necessary for the plaintiff to give this evidence because the source cannot be otherwise identified, it raises a significant problem of reliability. In my view, there are no circumstantial guarantees of trustworthiness as touched on by the authorities. The statement which the plaintiff attributes to a "nurse" is at least double hearsay. Under those circumstances, in my opinion, the statement is unreliable and does not meet the threshold of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second branch of the plaintiff's submissions concerning the admissibility of the statement is based on an argument that the statement, if made, was a statement made by an employee of the defendant hospital, would have met the requirements of an admission against interest, and would, in the classic sense, have been treated as an exception to the hearsay rule. In this respect, it is inherent in the submission, as a finding, that it is likely that the person who made the statement identified by the plaintiff was a nurse and that the individuals who made the statement or comments that the nurse overheard, were again nurses or other health professionals employed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There is a line of authority such as Davie v. Royal City Foods Ltd., </w:t>
      </w:r>
      <w:hyperlink r:id="rId818" w:history="1">
        <w:r>
          <w:rPr>
            <w:rFonts w:ascii="arial" w:eastAsia="arial" w:hAnsi="arial" w:cs="arial"/>
            <w:i/>
            <w:color w:val="0077CC"/>
            <w:sz w:val="20"/>
            <w:u w:val="single"/>
            <w:shd w:val="clear" w:color="auto" w:fill="FFFFFF"/>
            <w:lang w:val="en-US" w:eastAsia="en-US" w:bidi="ar-SA"/>
          </w:rPr>
          <w:t>[1994] B.C.J. No. 2560</w:t>
        </w:r>
      </w:hyperlink>
      <w:r>
        <w:rPr>
          <w:rFonts w:ascii="arial" w:eastAsia="arial" w:hAnsi="arial" w:cs="arial"/>
          <w:color w:val="000000"/>
          <w:sz w:val="20"/>
          <w:lang w:val="en-US" w:eastAsia="en-US" w:bidi="ar-SA"/>
        </w:rPr>
        <w:t xml:space="preserve">, and Mele v. Thorne Riddell </w:t>
      </w:r>
      <w:hyperlink r:id="rId819" w:history="1">
        <w:r>
          <w:rPr>
            <w:rFonts w:ascii="arial" w:eastAsia="arial" w:hAnsi="arial" w:cs="arial"/>
            <w:i/>
            <w:color w:val="0077CC"/>
            <w:sz w:val="20"/>
            <w:u w:val="single"/>
            <w:shd w:val="clear" w:color="auto" w:fill="FFFFFF"/>
            <w:lang w:val="en-US" w:eastAsia="en-US" w:bidi="ar-SA"/>
          </w:rPr>
          <w:t>(1997), 32 O.R. (3d) 800</w:t>
        </w:r>
      </w:hyperlink>
      <w:r>
        <w:rPr>
          <w:rFonts w:ascii="arial" w:eastAsia="arial" w:hAnsi="arial" w:cs="arial"/>
          <w:color w:val="000000"/>
          <w:sz w:val="20"/>
          <w:lang w:val="en-US" w:eastAsia="en-US" w:bidi="ar-SA"/>
        </w:rPr>
        <w:t>, where statements made were ruled admissible as there were admissions concerning the ordinary course of the activity of the individuals, and were admissible against the interest of the principals. In all of these cases, the persons who made the statements, which were purported to be reported and repeated, were identified. In Davie v. Royal City Foods Ltd., supra, the court concluded that overhead conversations between employees were admissible. In this context, the individuals who allegedly made the statements were identified and the court concluded at paragraph 19, "the evidence of the conversation is admissible either as narrative background and part of on-the-job communication between co-workers reasonably incidental to the work or as a vicarious admission ...". In Mele, supra, the issue was admissibility of statements concerning utterances made by a member of a partnership and the court applied the passage from Sopinka in The Law of Evidence in Canada (Toronto: Butterworths, 1992):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admissions of the agent tendered against the principal must have been made to a third party within the scope of his authority during the subsistence of the agency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broke that principle down into two components: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words concern partnership affairs;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they spoken in the ordinary course of the partnership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Applying that analysis in the case at bar, the question arises as to whether the words spoken by the unknown person concern hospital activity, and secondly, were they spoken in the ordinary course of the hospital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first instance, it would appear that the statements reported by the plaintiff satisfy both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to admit the statement on that basis, in my view, would mean that the court must ignore the fact that the sources of the statement are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in their submissions also touched on the issue of what weight to attach if the court concluded that the statement was admissible. From the point of view of the overall circumstances of the case, in my view, the statement in question, if admissible, is of little weight. It, in my opinion, is not a sufficiently cogent piece of evidence to establish in the context of the totality of the evidence a link between the injury the plaintiff alleges and any act that may be considered negligent on the part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am satisfied that the statements reported by the plaintiff that she purports to attribute to "a nurse" are not admissible. The court is left with the other evidence concerning her apparent condition on entry to the hospital, the report of a sore back shortly after the operation, and the observations of bruising by the plaintiff's family and friend. Taking that evidence in its cumulative sense, in my opinion, the plaintiff has not satisfied the burden upon her to demonstrate on a balance of probabilities that some 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hospital caused or contributed to the injury that she alleges she sustained. Consequently,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MELVIN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7"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Vapheas v. Madden, [2014] B.C.J. No. 147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M113323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Kyriakoula Vapheas, Plaintiff, and Connor Noel Madden and George Madden,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8"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62" w:name="Keywords_36"/>
      <w:bookmarkEnd w:id="36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by plaintiff to determine liability for motor vehicle accident allowed in part — Defendant executing left turn from northbound lane struck plaintiff's vehicle as it traveled southbound — Evidence established plaintiff entered intersection on stale yellow light — Plaintiff breached duty to stop and yield right of way to defendant — Defendant breached obligation to ensure no immediate hazards at time he commenced his turn — Liability was apportioned 75 per cent to plaintiff and 25 per cent to defendant — Motor Vehicle Act, ss. 128(1), 174.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Turns — Left turn at intersection — Yielding — Right of way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to determine liability for motor vehicle accident allowed in part — Defendant executing left turn from northbound lane struck plaintiff's vehicle as it traveled southbound — Evidence established plaintiff entered intersection on stale yellow light — Plaintiff breached duty to stop and yield right of way to defendant — Defendant breached obligation to ensure no immediate hazards at time he commenced his turn — Liability was apportioned 75 per cent to plaintiff and 25 per cent to defendant — Motor Vehicle Act, ss. 128(1), 174.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3" w:name="Case Summary_33"/>
            <w:bookmarkEnd w:id="3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Vapheas, against the defendants, the Maddens, to determine liability for a motor vehicle accident. The defendant was in the northbound lane attempting a left turn at an intersection controlled by traffic lights when he collided with the plaintiff's vehicle while it proceeded southbound. The plaintiff alleged that she had the right of way and that the defendant's breach of his duty to yield caused the collision. The defendant submitted that the plaintiff breached her duty to obey a yellow traffic signal thereby causing the collision. The plaintiff denied seeing a red or yellow light.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64" w:name="Holdings of Court_28"/>
            <w:bookmarkEnd w:id="36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evidence that she entered the intersection on a green light was inconsistent with the evidence of the defendant and an eyewitness. When the defendant waited in the intersection to make his left turn, the traffic light for southbound and northbound traffic turned yellow and likely had been yellow for several seconds. The plaintiff entered the intersection on a stale yellow light. The plaintiff had a duty to stop before entering the intersection and yield the right of way to the defendant. She did not establish it was unsafe to do so. The defendant, however, breached his obligation to ensure there were no immediate hazards at the time he commenced his turn. Liability was apportioned 75 per cent to the plaintiff and 25 per cent to the defendant.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5" w:name="Legislation Cited_28"/>
      <w:bookmarkEnd w:id="3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9"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827" w:history="1">
        <w:r>
          <w:rPr>
            <w:rFonts w:ascii="arial" w:eastAsia="arial" w:hAnsi="arial" w:cs="arial"/>
            <w:i/>
            <w:color w:val="0077CC"/>
            <w:sz w:val="20"/>
            <w:u w:val="single"/>
            <w:shd w:val="clear" w:color="auto" w:fill="FFFFFF"/>
            <w:lang w:val="en-US" w:eastAsia="en-US" w:bidi="ar-SA"/>
          </w:rPr>
          <w:t>RSBC 1996, CHAPTER 318, s. 128</w:t>
        </w:r>
      </w:hyperlink>
      <w:r>
        <w:rPr>
          <w:rFonts w:ascii="arial" w:eastAsia="arial" w:hAnsi="arial" w:cs="arial"/>
          <w:color w:val="000000"/>
          <w:sz w:val="20"/>
          <w:lang w:val="en-US" w:eastAsia="en-US" w:bidi="ar-SA"/>
        </w:rPr>
        <w:t>(1), s. 128(1) (a),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66" w:name="Counsel_37"/>
      <w:bookmarkEnd w:id="3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0"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Martin Spieker.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David G. Perry.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7" w:name="Judgment_37"/>
      <w:bookmarkEnd w:id="367"/>
      <w:r>
        <w:pict>
          <v:line id="_x0000_s1211"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8" w:name="E.J. ADAIR J."/>
            <w:bookmarkEnd w:id="368"/>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action arises out of a motor vehicle accident that occurred on September 20, 2010 at the intersection of King George Boulevard and 68th Avenue in Surrey, B.C. The trial was with respect to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Connor Madden was driving a white Volvo belonging to his father, the defendant George Madden. Connor Madden was making a left turn from King George Boulevard northbound, intending to travel westbound on 68th Avenue. The plaintiff, Ms. Kyriakoula Vapheas, was travelling southbound on King George Boulevard. The two vehicles collided with one another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Vapheas says that she had the right of way, and Mr. Madden, as the left-turning vehicle, was obliged to yield. She says that Mr. Madden's breach of duty caused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Madden says that when he was in the intersection waiting to turn left, the traffic light for southbound and northbound traffic on King George Boulevard was yellow, and Ms. Vapheas breached her obligation to obey the traffic signal and stop before entering the intersection. Mr. Madden says that Ms. Vapheas's breach of duty caused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collision occurred in the morning on September 20, 2010, sometime before 10:00 a.m. It was a rainy day, with heavy rain at times, and the roads were wet. There was no evidence that either Ms. Vapheas's or Mr. Madden's view of the traffic or the intersection was obstructed.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one approaches the intersection with 68th Avenue, King George Boulevard has two through lanes northbound and southbound, and dedicated left-turn and right-turn lanes. 68th Avenue has one through lane eastbound and westbound, and dedicated left-turn and right-turn lanes. The intersection is controlled by traffic signals. For northbound and southbound traffic the minimum green is 20 seconds and the maximum green is 55 seconds. The "intergreen" period - the length of time between the end of green for one movement and the beginning of green for a conflicting movement - is 4 seconds for the yellow light for northbound and southbound traffic, and then 1 second when the traffic lights for all directions are red, resulting in a total "intergreen" period of 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September 20, Ms. Vapheas picked up a friend, Ms. Beverly Reilly, at about 9:30 a.m. to go out for coffee. Ms. Vapheas was driving a green 1995 Intrepid. She and Ms. Reilly were headed south to White Rock, on King George Boulevard. She believed that she was travelling in the right through lane, and that, as she approached 68th Avenue, there was a car to her left. As far as she could recall, there were no cars in front of her. Ms. Vapheas believed that she was travelling about 50 kilometres per hour, although she thought that the speed limit was 60 kilometres. Her practice is to take her foot off the gas as she approaches an intersection, and as far as Ms. Vapheas recalled, she did that as she approached the intersection of King George Boulevard and 68th Avenue. As Ms. Vapheas recalled, when she was about 100 ft. north of the intersection, the traffic light was green. She did not recall ever seeing either a yellow or red light. As Ms. Vapheas recalled, all of a sudden, she saw a white car - Mr. Madden's car - in the intersection, and it was accelerating. She says that she tried to brake, and called out to Ms. Reilly, "he's going to hit us." Mr. Madden's car hit Ms. Vapheas's car on the driver's door. Ms. Vapheas's car continued moving and then struck a lamp post on the southwest corner of the intersection. One of the wheels from Ms. Vapheas's car flew off and hit the front bumper of a northbound vehicle driven by Ms. Karamajit Sekhon.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Reilly, who now lives in Manitoba, was not available to attend and give evidence at the trial as a result of ill-health. Accordingly, I ruled that excerpts from her examination for discovery taken in a separate action be read into the record as her evidence for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Reilly's recollection of the accident was quite sketchy. She admitted that, at the time, when she was a passenger, she did not really notice or focus on what was going on around her. She believed that Ms. Vapheas was travelling in the left (rather than the right) through lane. Her evidence about the colour of the traffic light is equivocal, although she believed it was green. She conceded she only noticed the traffic light once. She did not remember noticing Mr. Madden's vehicle until she and Ms. Vapheas were in the intersection. Ms. Reilly recalled that Mr. Madden hit the driver's side of Ms. Vapheas's car, but otherwise the collision was all a blur. According to Ms. Reilly, after Ms. Vapheas's car hit the pole, Ms. Reilly blacked out. Her memory of her stay in the hospital after the accident was patchy, and as of her examination for discovery in August 2011, she was continuing to experience problems with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Both Ms. Sekhon and her husband, Mr. Kuldeep Sekhon, were travelling northbound on King George Boulevard, approaching the intersection of 68th Avenue. Ms. Sekhon was driving Mr. Sekhon to work before going on to a doctor's appointment. They were called as witnesses in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Both Mr. Sekhon and Ms. Sekhon testified that, at about the area where the left-turn lane begins on northbound King George Boulevard, they heard a noise. Ms. Sekhon described it as a big bang. Mr. Sekhon looked in the direction of the sound and saw Ms. Vapheas's car hit the lamp pole. Both Mr. Sekhon and Ms. Sekhon described how they then saw the wheel from Ms. Vapheas's car come flying toward their car. According to Ms. Sekhon, she was very frightened, and both Ms. Sekhon and Mr. Sekhon recalled that everything happened very fast. The wheel hit the front bumper of the Sekhons' car and ended up under it. As Ms. Sekhon recalled, she stopped her car about six car lengths or so south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far as Mr. Sekhon could recall, just before he heard the noise from the collision, and when the Sekhons' car was about six or seven car lengths from the intersection, the traffic light for northbound traffic on King George Boulevard was green, although he also recalled that people were braking. He had not noticed Mr. Madden's car in the left-turn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Kimberly Lang, a registered nurse, was also called as a witness in the plaintiff's case. On September 20, she was travelling westbound on 68th Avenue, on her way home from grocery shopping. Ms. Lang used to live in the area, and is familiar with the intersection of King George Boulevard and 68th Avenue. She was stopped on the east side of the intersection for a red light on 68th Avenue, about three cars back. As she recalled, as she waited for the light to change, the red light seemed to last "forever." However, although she could not see the colour of the traffic lights for traffic on King George Boulevard, eventually she noticed northbound traffic slowing down, and, thinking that the red light on 68th Avenue was about to change to green, she then focussed on what was in front of her. She saw a white car - Connor Madden's car - in the intersection waiting to turn left. She recalled seeing a car go through, southbound, then the intersection was clear. Then, according to Ms. Lang, when the white car started to go, she saw a large green car - Ms. Vapheas's car - come into the intersection southbound. Ms. Lang did not recall seeing any other southbound traffic. As Ms. Lang recalled, a "split second" after she saw the green car, there was a crash. The first crash did not look bad. But Ms. Vapheas's car veered off to the right and collided with the lamp pole, and that crash looked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Ms. Lang, when she looked up after the two crashes, the traffic light for traffic on 68th Avenue was green. Ms. Lang estimated that it was about three seconds between the time she first saw Ms. Vapheas's car to when she looked at the traffic light on 68th Avenue, and saw it was green. She described the sequence as red light (for her), then the first impact, followed quickly by the second impact when Ms. Vapheas hit the pole, and then seeing the light for her had turned green. She also described the sequence as "boom, boom, look up," to see she now had the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re-examination by Mr. Spieker, Ms. Lang said that there was maybe a second or two between when the car passed through the intersection southbound and when Mr. Madden's car started to go to make the turn, and that she thought the traffic lights for King George Boulevard were probably yellow, although she could not see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Marie Laboucan, a home support worker, was also called as a witness in the plaintiff's case. Ms. Laboucan was travelling westbound on 68th Avenue, intending to turn left onto King George Boulevard southbound. As she came to the intersection, the traffic light for vehicles on 68th Avenue was red. As she recalled, there was a car in front of her. Ms. Laboucan testified that she did not in fact see the collision between Ms. Vapheas's and Mr. Madden's vehicles, although she remembered seeing the wheel flying through the air. However, she recalled seeing Mr. Madden's car, prior to the collision, in the intersection waiting to turn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September 2010, Connor Madden was 17 years old. He had received his "N" (or novice) licence in early August. On the morning of September 20, he was on his way to school, Kwantlen College, on 72nd Avenue. He had an English class at 10:00 a.m., although he did not recall thinking he was going to be late. He was travelling northbound on King George Boulevard, intending to turn left at 68th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Madden recalled that, just before the collision, he was in the middle of the intersection, waiting to turn left. He recalled that the traffic light on King George Boulevard was yellow. Although Mr. Madden was unsure about, or unable to remember, many things, he was definite about the colour of the light. He could not recall if he brought his vehicle to a complete stop. He recalled seeing some cars travelling southbound on King George Boulevard to the north of the intersection, and noticing that they were starting to slow down on the yellow light, although Mr. Madden could not recall noticing Ms. Vapheas's green car. Nevertheless, Mr. Madden explained that when he saw that southbound vehicles were slowing down, he assessed that they were an appropriate distance away, made sure the turn was safe and continued on. As he recalled, he did not accelerate quickly to make the turn. According to Mr. Madden, he was waiting in the intersection a few seconds before the collision with Ms. Vapheas's vehicle. The front of his car collided with Ms. Vapheas's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Madden received a traffic ticket in which the offence was described as failing to yield. Mr. Madden decided that he did not want to challenge the ticket, and did not, although it was not because he thought he had in fact failed to yield.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R.C.M.P. Constable Eric Wall, who issued the ticket to Mr. Madden, explained his reasons for doing so. The main reason was that Mr. Madden was making a left turn. Although Constable Wall talked to witnesses, he explained that he had no information about such things as speed or the colour of traffic lights, and as of trial, he could not recall what any witness said. In the circumstances, I place no weight on the fact Mr. Madden was given a ticket or on the contents of the ticket. Rather, I base my findings and conclusions on what the parties and the witnesses to the accident said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cases of this kind, witnesses (including parties) do their best, in response to questions from counsel, to give detailed evidence about such things as positions and movement of vehicles, the colour of traffic lights, distances and the length of time of events. However, witnesses are attempting to describe events that happened suddenly, and over what is often only a few seconds. Witnesses are not waiting for an accident to happen, ready to capture and recall every relevant detail years later in a trial. There is, therefore, a great deal of room for error and reconstruction, even though a witness is doing his or her best to recall and describe accurately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have concluded that Mr. and Ms. Sekhon remember mainly what was happening to them personally - the wheel coming flying through the air at them and their actions and reactions as a result - and that otherwise, their memories of events are not very reliable. Neither of them actually saw the collision between Ms. Vapheas and Mr. Madden. Mr. Sekhon could not recall even seeing Mr. Madden's car waiting to turn left. Their recollections of what northbound traffic was doing and the colour of the traffic lights are too fragile to make it safe to place much weight on their recollection of relevant events. On those points, I prefer the evidence of Ms. Lang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I noted above, Ms. Lang was called as a witness in the plaintiff's case. Neither her credibility nor her reliability was challenged by either side, and I found her to be both a credible and reliable witness. Her evidence was appropriately detailed, reasonable and plausible. She described what seemed like a very long wait for the light on 68th Avenue to change, giving her a good opportunity to observe what was going on. She described noticing the northbound traffic to her left on King George Boulevard slowing down, and getting herself ready for her light to change. She described seeing Mr. Madden's car in the intersection waiting to turn left. This is consistent with Mr. Madden's evidence that he waited in the intersection on a yellow light before starting to make his turn, and is consistent with what would be reasonable in the circumstances. Based on Ms. Lang's evidence, southbound traffic had cleared as Mr. Madden waited to make his left turn, before Ms. Vapheas's car came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Laboucan was also called as a witness in the plaintiff's case, although in argument Mr. Spieker at least implied that her evidence was probably not very reliable. Her evidence suggested that the light for traffic on 68th Avenue had in fact turned green for 15 seconds, while Mr. Madden was still waiting in the intersection to make his left turn. Ms. Laboucan must be wrong, and her evidence on this point indicates that she is probably not very good at providing accurate estimates of time. However, her evidence that, as she was waiting to make a left turn from 68th Avenue, she saw Mr. Madden's car in the intersection waiting to make his turn, is consistent with both Ms. Lang's and Mr. Madden's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Reilly's evidence concerning the colour of the traffic light immediately before the collision is inconsistent with Mr. Madden's, and not supported by the evidence of Ms. Lang or Ms. Laboucan. Given Ms. Reilly's admitted lack of focus on such details when she was a passenger, and her admitted memory problems since, I conclude she is simply mistaken about what she recalls. I prefer the evidence of Mr. Madden, Ms. Lang and Ms. Laboucan.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Madden, generally, seemed to have a poor memory about many things, from how long he had had his N licence as of the date of the accident, to the route he was taking to school that day, to questions he was asked and answers he gave on his examination for discovery. During his testimony, he conceded a number of times that he could not remember, explaining that it had been "such a long time" since the accident. However, the important details that he does remember - the location of his car in the intersection before the collision and the colour of the traffic light - are supported by the evidence of Ms. Lang and are consistent with the probabilities of the surrounding circumstances. Having said that, I have concluded I must be cautious about placing too much weight on his evidence concerning the assessment he made (before he started his turn) about the distance of the southbound traffic from the intersection, and on his conclusion that it was safe for him to make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Vapheas's evidence is that she entered the intersection on a green light. However, her evidence in this regard is inconsistent with Mr. Madden's, and it is also inconsistent with Ms. Lang's. In addition, Ms. Laboucan's evidence relevant to the colour of the traffic lights, although not without problems, is also more consistent with that of Mr. Madden and Ms. Lang, and inconsistent with Ms. Vapheas's evidence. I conclude that Ms. Vapheas's memory on the question of the colour of the traffic light is not reliable, and I prefer the evidence of Ms. Lang and Mr. Madden.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turn next to the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This case requires me to consider the interplay between two sections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statutory obligation imposed on a driver intending to turn left at an intersection is set out in s. 174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An "immediate hazard" has been defined in these terms: if an approaching car is so close to the intersection when a driver attempts to make a left turn that a collision threatens unless there is some violent or sudden avoiding action on the part of the driver of the approaching car, then the approaching car is an immediate hazard. The point in time to assess whether the through driver is an "immediate hazard" is the moment before the driver who proposes to turn left actually starts to make the turn. The effect of s. 174 is to cast the burden of proving the absence of an immediate hazard at the moment the left turn begins onto the left-turning driver. Thus, if a left-turning driver asserts that he or she started to turn when it was safe to do so, then the burden of proving that fact rests with him or her. See </w:t>
      </w:r>
      <w:r>
        <w:rPr>
          <w:rFonts w:ascii="arial" w:eastAsia="arial" w:hAnsi="arial" w:cs="arial"/>
          <w:b/>
          <w:i/>
          <w:color w:val="000000"/>
          <w:sz w:val="20"/>
          <w:lang w:val="en-US" w:eastAsia="en-US" w:bidi="ar-SA"/>
        </w:rPr>
        <w:t>Raie v. Thorpe</w:t>
      </w:r>
      <w:r>
        <w:rPr>
          <w:rFonts w:ascii="arial" w:eastAsia="arial" w:hAnsi="arial" w:cs="arial"/>
          <w:color w:val="000000"/>
          <w:sz w:val="20"/>
          <w:lang w:val="en-US" w:eastAsia="en-US" w:bidi="ar-SA"/>
        </w:rPr>
        <w:t xml:space="preserve"> (1963), 43 W.W.R. 405 (B.C.C.A.), at p. 410, and </w:t>
      </w:r>
      <w:r>
        <w:rPr>
          <w:rFonts w:ascii="arial" w:eastAsia="arial" w:hAnsi="arial" w:cs="arial"/>
          <w:b/>
          <w:i/>
          <w:color w:val="000000"/>
          <w:sz w:val="20"/>
          <w:lang w:val="en-US" w:eastAsia="en-US" w:bidi="ar-SA"/>
        </w:rPr>
        <w:t>Nerval v. Khera</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at paras. 33-35.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duty on a left-turning driver under s. 174 is not absolute. Left-turning drivers are entitled to assume that other drivers will obey the rules of the road, absent any reasonable indication to the contrary. In particular, a left turning driver is not required to wait until he or she sees that all approaching drivers have stopped. See </w:t>
      </w:r>
      <w:r>
        <w:rPr>
          <w:rFonts w:ascii="arial" w:eastAsia="arial" w:hAnsi="arial" w:cs="arial"/>
          <w:b/>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1996 CanLII 2404</w:t>
        </w:r>
      </w:hyperlink>
      <w:r>
        <w:rPr>
          <w:rFonts w:ascii="arial" w:eastAsia="arial" w:hAnsi="arial" w:cs="arial"/>
          <w:color w:val="000000"/>
          <w:sz w:val="20"/>
          <w:lang w:val="en-US" w:eastAsia="en-US" w:bidi="ar-SA"/>
        </w:rPr>
        <w:t xml:space="preserve"> (C.A.),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statutory obligation on a motorist faced with a yellow traffic light is set out in s. 128(1)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(1) When a yellow light alone is exhibited at an intersection by a traffic control signal, following the exhibition of a green light,</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onus of proving that the stop cannot be made in safety is on the driver facing the yellow light, in this case, Ms. Vapheas. See </w:t>
      </w:r>
      <w:r>
        <w:rPr>
          <w:rFonts w:ascii="arial" w:eastAsia="arial" w:hAnsi="arial" w:cs="arial"/>
          <w:b/>
          <w:i/>
          <w:color w:val="000000"/>
          <w:sz w:val="20"/>
          <w:lang w:val="en-US" w:eastAsia="en-US" w:bidi="ar-SA"/>
        </w:rPr>
        <w:t>Ziani v. Thede</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2011 BCSC 895</w:t>
        </w:r>
      </w:hyperlink>
      <w:r>
        <w:rPr>
          <w:rFonts w:ascii="arial" w:eastAsia="arial" w:hAnsi="arial" w:cs="arial"/>
          <w:color w:val="000000"/>
          <w:sz w:val="20"/>
          <w:lang w:val="en-US" w:eastAsia="en-US" w:bidi="ar-SA"/>
        </w:rPr>
        <w:t>,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argument, Mr. Perry urged me to find that Ms. Vapheas entered the intersection on a red light, in which case she had an absolute obligation to stop. However, I do not think that the evidence supports that conclusion. Mr. Madden, for example, never testified the light was red. Rather, he was clear that the light was yellow. Moreover, the proposition that she in fact was facing a red light when she entered the intersection was never put to Ms. Vapheas. I cannot therefore accept Mr. Perry's argument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find that, when Mr. Madden was waiting in the intersection to make his left turn, the traffic light for southbound and northbound traffic was yellow and had likely been yellow for several seconds. I find that Ms. Vapheas then entered the intersection on a "stale" yellow, at which point, her vehicle and Mr. Madden's vehicle collided. Ms. Vapheas's duty was to stop before entering the intersection, unless the stop could not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Vapheas has the onus of proving that she was unable to stop safely. Although I heard evidence that it had been raining and the roads were wet, in my opinion, Ms. Vapheas did not satisfy the evidentiary burden on her to show that she was unable to stop safely on the yellow light. Rather, she asserted that she entered the intersection on a green light. Since, as I have found, Ms. Vapheas entered the intersection on a yellow light, Ms. Vapheas cannot claim to have been the dominant driver. Rather, she was obliged to stop and yield the right of way to the left-turning driver, Mr. Madden.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However, as </w:t>
      </w:r>
      <w:r>
        <w:rPr>
          <w:rFonts w:ascii="arial" w:eastAsia="arial" w:hAnsi="arial" w:cs="arial"/>
          <w:b/>
          <w:i/>
          <w:color w:val="000000"/>
          <w:sz w:val="20"/>
          <w:lang w:val="en-US" w:eastAsia="en-US" w:bidi="ar-SA"/>
        </w:rPr>
        <w:t>Nerval</w:t>
      </w:r>
      <w:r>
        <w:rPr>
          <w:rFonts w:ascii="arial" w:eastAsia="arial" w:hAnsi="arial" w:cs="arial"/>
          <w:color w:val="000000"/>
          <w:sz w:val="20"/>
          <w:lang w:val="en-US" w:eastAsia="en-US" w:bidi="ar-SA"/>
        </w:rPr>
        <w:t xml:space="preserve"> demonstrates, the fact that Mr. Madden was the dominant driver is not the end of the matter, because the obligation under s. 174 - to make the left turn only if he could do so in safety - applies to him. Did he breach that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Madden bears the burden of proving the absence of an immediate hazard at the moment he began his left turn. Mr. Madden described how he assessed the southbound traffic before he began his left turn, and his evidence that he assessed southbound traffic to be slowing has some support in Ms. Vapheas's evidence about taking her foot off the gas pedal. Mr. Madden is entitled to assume that others will obey the rules of the road, and to rely on that assumption in deciding whether or not an oncoming vehicle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However, in my opinion, Mr. Madden's memory of the critical events at the point he began his left turn is too fragile and unreliable for me to find that he has satisfied his burden of proof. Moreover, in my opinion, the evidence concerning where the vehicles collided - that the front of Mr. Madden's car hit the driver's door of Ms. Vapheas's car - is more consistent with Ms. Vapheas's vehicle being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find, therefore, that Mr. Madden failed to comply with the duty on him under s. 174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conclude therefore that the collision was caused by the failure of both Ms. Vapheas and Mr. Madden to meet the standard of care required of reasonable drivers in the circumstances. In my opinion, because of Ms. Vapheas's breach of s. 128(1)(a), she bears the greater fault, and I apportion liability 75% to Ms. Vapheas and 25% to Mr. Madden.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Unless counsel wish to make submissions on costs, costs will follow the event. If counsel wish to make submissions on costs, they have leave to do so in writing, but the submissions must be filed within 30 days of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2"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1"/>
          <w:headerReference w:type="default" r:id="rId832"/>
          <w:footerReference w:type="even" r:id="rId833"/>
          <w:footerReference w:type="default" r:id="rId834"/>
          <w:headerReference w:type="first" r:id="rId835"/>
          <w:footerReference w:type="first" r:id="rId8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7" w:history="1">
        <w:r>
          <w:rPr>
            <w:rFonts w:ascii="arial" w:eastAsia="arial" w:hAnsi="arial" w:cs="arial"/>
            <w:b/>
            <w:bCs/>
            <w:i/>
            <w:color w:val="0077CC"/>
            <w:kern w:val="32"/>
            <w:sz w:val="28"/>
            <w:szCs w:val="32"/>
            <w:u w:val="single"/>
            <w:shd w:val="clear" w:color="auto" w:fill="FFFFFF"/>
            <w:lang w:val="en-US" w:eastAsia="en-US" w:bidi="ar-SA"/>
          </w:rPr>
          <w:t>Varma v. Rocky Mountaineer Vacations, [2015] I.L.R. para. G-2688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August 28,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S127742</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[2015] I.L.R. para. G-2688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[2015] B.C.J. No. 1847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2015 BCSC 1533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Karen Varma v. Rocky Mountaineer Vacations Ltd. doing business as Rocky Mountaineer</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3"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69" w:name="Keywords_37"/>
      <w:bookmarkEnd w:id="369"/>
      <w:r>
        <w:rPr>
          <w:rFonts w:ascii="arial" w:eastAsia="arial" w:hAnsi="arial" w:cs="arial"/>
          <w:b/>
          <w:color w:val="000000"/>
          <w:sz w:val="20"/>
          <w:lang w:val="en-US" w:eastAsia="en-US" w:bidi="ar-SA"/>
        </w:rPr>
        <w:t xml:space="preserve">Occupier's liability — Fall — Moving train — Handrails — Plaintiff fell and suffered broken kneecap while aboard moving luxury train — Train had vestibule with railing on portions of it where passengers could view scenic sights — When plaintiff let go of vestibule's handrail to return to seat, train suddenly slowed down, throwing her forward and causing fall — Plaintiff brought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defendant train owner, seeking damages for injury — Defendant sought summary dismissal of claim — Movement was unusual but not outside range of expected movements — There was no evidence on why movement occurred from which it could be inferred it was result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Defendant knew passengers congregated in vestibule and encouraged this — Warnings not to use vestibule when crowded or that it would not always be possible to reach handrail would have caused plaintiff not to enter vestibule — Failure to provide warning was breach of standard of care — Defendant was negligent in not providing handrail for full length of vestibule — Plaintiff was 35 per cent contributorily negligent as she knew there was no handrail — Defendant was 65 per cent liable for plaintiff's injuries — Application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70" w:name="Case Summary_34"/>
            <w:bookmarkEnd w:id="370"/>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who was 66 years old, fell while aboard the defendant's "Rocky Mountaineer" luxury passenger train. The car was entered through a vestibule that was approximately 2.4 metres by 2.5 metres. A single step ran across the width of the vestibule so that entering passengers going to the seating area had to take one step down. There were handrails along both sides of the vestibule, but none in the middle or across it, leaving a short open area that passengers had to pass before getting to or after leaving the handrails. The plaintiff had gone to the vestibule after an announcement was made about an upcoming scenic sight. The vestibule proved too crowded and she had to let go of the handrail to return to her seat. The plaintiff claimed that the train made a "sudden and dramatic deceleration" at the time she let go of the handrail. She was thrown forward and fell on the floor, suffering a broken kneecap. The train's policy was that staff would read a safety announcement to passengers asking them to use the seat tops to balance themselves, as the train encountered "occasional bumps and jars." The announcement made no reference to holding onto railings for safety. The plaintiff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claiming damages for her injuries. The defendant applied to dismiss the claim on a summary basis.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1" w:name="Holdings of Court_29"/>
            <w:bookmarkEnd w:id="371"/>
            <w:r>
              <w:rPr>
                <w:rFonts w:ascii="arial" w:eastAsia="arial" w:hAnsi="arial" w:cs="arial"/>
                <w:color w:val="000000"/>
                <w:sz w:val="20"/>
                <w:lang w:val="en-US" w:eastAsia="en-US" w:bidi="ar-SA"/>
              </w:rPr>
              <w:t>HELD: The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had a duty to protect others from an objectively unreasonable risk of harm. Still, it was not required to remove every possible danger and the test was one of reasonableness. The Court stated that a passenger aboard a train is expected to be aware of the "normal swaying, bumping, and jarring" and to hold onto whatever is available. The Court found that the movement the plaintiff described was more sudden and dramatic than normal motion on a train, but not completely outside her experience on other trains. There was no evidence regarding why the movement occurred from which it could be inferred that it was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knew that passengers congregated in the vestibule to take photos and encouraged this by announcing scenic sights. At the time the plaintiff fell, the defendant knew or should have known that the vestibule would be busy due to its announcement. However, there was no effort to control the number of people in the vestibule. The Court found that a warning not to use the vestibule when it was too crowded or a reminder that it would not always be possible to reach the handrail would more likely than not have reminded the plaintiff of the danger and caused her not to enter the vestibule when she did. The defendant's failure to provide such a warning was a breach of the standard of care. The defendant was also negligent in failing to provide something for passengers to hold onto when entering the vestibule. The plaintiff was also partly responsible for entering an area where she knew that there was no handrail. The Court found she was 35 per cent contributorily negligent. The defendant was therefore 65 per cent liable for the plaintiff's injuries.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2" w:name="Counsel_38"/>
      <w:bookmarkEnd w:id="3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4"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D.P. Dahlgren for the plaintiff; C.B. Geiger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3" w:name="Judgment_38"/>
      <w:bookmarkEnd w:id="373"/>
      <w:r>
        <w:pict>
          <v:line id="_x0000_s1215" style="position:absolute;z-index:2518005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4" w:name="N.H. SMITH J."/>
            <w:bookmarkEnd w:id="374"/>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Karen Varma claims damages for injuries suffered in a fall aboard the defendant's "Rocky Mountaineer" passenger train. The defendant applies for dismissal of the plaintiff's claim on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parties agree that the liability issue is suitable for determination on summary trial pursuant to R.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B.C. Reg. 103/2015. If the defendant's application is not successful, a trial to assess damages is set for November 2,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who is now 66 years old, lives in West Lafayette, Indiana. She and her husband boarded the luxury, tourist-oriented train in Vancouver on August 5, 2011 for a two-day trip to Jasper, Alberta. The trip was in celebration of their 40th anniversary. They were passengers in a "Gold Leaf" first class car. This was a two level car, with passenger seating on the upper level and a dining area and washrooms below. The two levels were joined by a curved staircase.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car was entered through a vestibule that measured approximately 2.4 metres by 2.5 metres. A single step ran across the width of the vestibule so that entering passengers going to the seating or dining areas had to take one step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vestibule's windows were open on both sides. When its gate was closed and the train was running, the vestibule became an area where passengers could stand to take unobstructed photographs or enjoy fresh air. Windows in the seating area did not open. There were handrails along both sides of the vestibule, but none in the middle or across it, so passengers had cross a short open area before getting to or after leaving the handrails.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says in an affidavit that, approximately seven hours after boarding the train, she was seated in the passenger area when there was an announcement that the train was approaching a scenic area called "Devil's Gulch." She says she recalled hearing that passengers could take pictures through the open windows of the vestibule.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went downstairs to the vestibule, but says she found it was "packed" with passengers who were standing at the windows and holding onto the railings. She says that she managed to get to a spot where she could reach between two other people to grab hold of the railing, but decided the vestibule was too crowded for her to take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order to return to her seat, the plaintiff says she had to let go of the railing and cross the open area where there was nothing to hold onto. Just as she lifted her left foot to take the single step down, the train suddenly and without warning braked quickly "as if coming to an emergency stop," although it did not come to a complete stop. She says she was thrown forward and, with nothing to grab hold of, fell onto the metal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a result of her fall, the plaintiff suffered a broken kneecap. She left the train when it made its overnight stop at Kamloops and did not complete the trip. She says the knee injury still causes pain and limitations. Other injuries were largely resolved within about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the Rocky Mountaineer policy that, before the train departs, staff members aboard the Gold Leaf car are expected to read a safety announcement that advises passengers to "use the seat tops to balance yourself" when moving about the coach because "we sometimes encounter occasional bumps and jars." The plaintiff denies hearing that announcement, but says she was an experienced train traveller and familiar with such movements. The only references to the vestibule in the safety announcement warned passengers not to lean or lift children over the railings and to not to attempt to open the gates.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described by the plaintiff, the movement that caused her to fall was more than a matter of "occasional bumps and jars." She described a "sudden and dramatic deceleration," or a "lunge stop," but said she was also familiar with that kind of train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Doug Rogers, the defendant's senior manager of onboard operations says the only movement the plaintiff experienced was the "normal bumps and jarring." However, Mr. Rogers was not on the train at the time and did not ask any employees who were. He admitted on discovery that he has "no idea" of whether there was a bump or jar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His evidence is based solely on the fact that the defendant has no record of a sudden or significant jerking. He says there would be no reason to stop at that location and if the train had to stop for any reason the staff would have recorded it. But the plaintiff does not say the train came to a complete stop, only that it suddenly slowed as if it was about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was the defendant who chose to bring this summary trial application on the basis of the available evidence. Mr. Rogers' evidence is no more than speculation and conjecture based on a lack of records. The plaintiff's description of the train's motion as a sudden and significant deceleration beyond the normal "bumps and jarring" is therefore not contradicted and there is no reason to reject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Accepting the plaintiff's evidence of what happened does not in itself answer the question of whether the defendant negligently caused her injury. The plaintiff's claim is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common law.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does not apply because the definition of "premises" in s.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excludes railway cars in motion. However,the test for liability at common law is the same: to protect others from an objectively unreasonable risk of harm. The defendant is not required to remove every possible danger; the test is one of reasonableness: </w:t>
      </w:r>
      <w:r>
        <w:rPr>
          <w:rFonts w:ascii="arial" w:eastAsia="arial" w:hAnsi="arial" w:cs="arial"/>
          <w:i/>
          <w:color w:val="000000"/>
          <w:sz w:val="20"/>
          <w:lang w:val="en-US" w:eastAsia="en-US" w:bidi="ar-SA"/>
        </w:rPr>
        <w:t>Agar v. Weber</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2014 BCCA 297</w:t>
        </w:r>
      </w:hyperlink>
      <w:r>
        <w:rPr>
          <w:rFonts w:ascii="arial" w:eastAsia="arial" w:hAnsi="arial" w:cs="arial"/>
          <w:color w:val="000000"/>
          <w:sz w:val="20"/>
          <w:lang w:val="en-US" w:eastAsia="en-US" w:bidi="ar-SA"/>
        </w:rPr>
        <w:t xml:space="preserve"> at paras. 29 and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Although the duty may include a warning about a hazard, it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fail to warn an adult of "the ordinary risks arising from the exigencies of everyday life": </w:t>
      </w:r>
      <w:r>
        <w:rPr>
          <w:rFonts w:ascii="arial" w:eastAsia="arial" w:hAnsi="arial" w:cs="arial"/>
          <w:i/>
          <w:color w:val="000000"/>
          <w:sz w:val="20"/>
          <w:lang w:val="en-US" w:eastAsia="en-US" w:bidi="ar-SA"/>
        </w:rPr>
        <w:t>Malcolm v. B.C. Transit</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[1988] B.C.J. No. 1945</w:t>
        </w:r>
      </w:hyperlink>
      <w:r>
        <w:rPr>
          <w:rFonts w:ascii="arial" w:eastAsia="arial" w:hAnsi="arial" w:cs="arial"/>
          <w:color w:val="000000"/>
          <w:sz w:val="20"/>
          <w:lang w:val="en-US" w:eastAsia="en-US" w:bidi="ar-SA"/>
        </w:rPr>
        <w:t xml:space="preserve"> (5 October 1988), Vancouver CAV00450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passenger aboard a train is expected to be aware, as the plaintiff was, of the normal swaying, bumping and jarring and is expected to protect herself by at least holding on to what is available. That is what the defendant advised passengers to do while in the seating area. The movement the plaintiff describes was more sudden and dramatic than the normal motion, but not completely outside her experience on other trains.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There is no evidence of why this sudden deceleration occurred and no evidence from which it can be inferred to have been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defendant's employees. The question relates to the safety of the vestibule as an area passengers would be in and moving through while the train was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If passengers are expected to be aware of the risk of sudden movements and to take reasonable steps to care for their own safety, it follows that reasonable means for them to do so should exist in areas where they are likely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clear from Mr. Rogers' discovery evidence that the defendant knew that passengers congregated in the vestibule to take pictures and that there was a great deal of traffic in and through that area. In fact, the defendant at least impliedly encouraged passengers to use the vestibule. The whole tourist experience was based on the passengers' enjoying the scenery and the open air vestibule would clearly be seen by many passengers as the best place from which to take photographs. At the time the plaintiff fell the defendant knew or ought to have known the vestibule would be particularly well-used because there had been an announcement of an upcoming scenic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standard safety announcement in the Gold Leaf cars clearly indicated an expectation that some passengers would spend time in the vestibule. But it only warned against conduct, such as leaning out the open window, which might lead to passengers falling out of the train or being hit by objects the train was passing.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However, the train also had some single level cars where the vestibules were smaller. In those cars, passengers were advised that the defendant recommended a maximum of four people in the vestibule at one time. There was no maximum recommended in the Gold Leaf cars or any effort to control the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design of the vestibule in the Gold Leaf cars was such that passengers going in and out of the area had to, at some point, briefly cross a section where the handrails were out of reach. The defendant knew or ought to have known that at that moment, however briefly, passengers would be unsteady due to the normal movement of the train and at particular risk from the more pronounced movements that were to be expected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danger was increased by the presence of a step running across the vestibule. There was no evidence of the step's purpose or why it was a necessary part of the design. The plaintiff was aware of the step, but happened to be in a particularly vulnerable position-stepping down with no handrail-when the sudden deceleration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her affidavit the plaintiff lists a number of possible warnings that were not given. These are:</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entering, staying in or leaving the Vestibule while the train was in motion was risky or dangerous or that care needed to be taken while entering, leaving or staying in the Vestibule;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certain areas of the Vestibule do not have any railings or handles or anything to hold onto;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passengers entering the Vestibule should hold on to the railings in the Vestibule at all times;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the event the Vestibule was full of passengers who were holding onto all of the railings, entry into the Vestibule was unsafe and should not be undertaken;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were no staff present in or near the Vestibule to control or monitor the number of passengers who could access the Vestibule;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entering the Vestibule is at the passenger's risk; 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Rocky Mountaineer did not limit the number of people who could use the Vestibule at any given time and it was possible that there might be insufficient railings for passengers to hold 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 said that if any of those warnings had been given "I doubt very much that I would have entered the vestibule." The plaintiff's evidence on that point is not contradicted, but that is not conclusive. As Southin J.A. said in </w:t>
      </w:r>
      <w:r>
        <w:rPr>
          <w:rFonts w:ascii="arial" w:eastAsia="arial" w:hAnsi="arial" w:cs="arial"/>
          <w:i/>
          <w:color w:val="000000"/>
          <w:sz w:val="20"/>
          <w:lang w:val="en-US" w:eastAsia="en-US" w:bidi="ar-SA"/>
        </w:rPr>
        <w:t>Hongkong Bank of Can. v. Touche Ross &amp; Co.</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(1989), 36 B.C.L.R. (2d) 381</w:t>
        </w:r>
      </w:hyperlink>
      <w:r>
        <w:rPr>
          <w:rFonts w:ascii="arial" w:eastAsia="arial" w:hAnsi="arial" w:cs="arial"/>
          <w:color w:val="000000"/>
          <w:sz w:val="20"/>
          <w:lang w:val="en-US" w:eastAsia="en-US" w:bidi="ar-SA"/>
        </w:rPr>
        <w:t xml:space="preserve"> at 392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always easy for a witness to say what he would have done and for a judge to say he accepts that assertion. But such evidence is, in truth, not evidence of a fact but evidence of opinion. It should be tested in the crucible of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All of the warnings that the plaintiff postulates were warnings of a hazard that she was capable of recognizing on her own. But it must be remembered that she was on vacation aboard a luxury train where she was being encouraged to be aware of and enjoy the scenery. That is not a circumstance where people are thinking first and foremost about the risk of injury or carefully weighing the risks of every step they take. It was entirely foreseeable by the defendant that a passenger in the position of the plaintiff would be particularly relaxed and perhaps less careful than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those circumstances I am satisfied that a warning not to use the vestibule when it was too crowded or a reminder that it would not always be possible to reach the handrail would more likely than not have reminded the plaintiff of the danger and caused her not to enter the vestibule at that point. I find that the defendant's failure to provide such a reasonable warning against a foreseeable risk of harm to be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also find that the defendant was negligent in failing to provide something for passengers to hold onto when entering or leaving the vestibule. Just as there were handrails on each side of the vestibule, it would have been a simple matter to install a parallel handrail running all or partway down the middle of the vestibule.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Rogers says in his affidavit that such an additional railing would impede the ability of passengers to move through the vestibule or to disembark in an emergency. This is stated as a bald assertion with no explanation of why that would be the case or what danger it would create.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any event, the defendant knew or ought to have known that the step created a particular hazard or area of vulnerability. Even if a railing down the length of the vestibule was not possible, a single post at or near the step, or even a handhold hanging from the ceiling at that point, would have been a reasonable measure to protect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therefore find that the defendant was negligent in failing to provide a method for passengers to enter and leave the vestibule safely, as well as in failing to caution passengers against using the vestibule when it was too crowded and/or warn that they would not always be able to reach the handrails.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However, I also find that he plaintiff must bear some of the responsibility for her injury. On her own evidence, she knew the step was there and knew, having entered the vestibule that she had to cross an area with no handrails. She was also familiar with the unpredictable nature of train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Having reached a spot where she could hold the handrail, she chose to leave it and move through the vestibule and down the step without access to the handrail. If she was properly caring for her own safety, she would have waited until the vestibule became less crowded so she could have moved along the side at or near the handrail. That would have allowed her to at least make the step down with the aid of the handrail before she had to cross an open area. I asses her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35% and therefore find the defendant 65% liable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6"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Wardrope v. British Columbia (Minister of Justice), [2019] B.C.J. No. 486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MacNaughton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S1611344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486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443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Wardrope, Plaintiff, and The Minister of Justice for the Province of British Columbia and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7"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75" w:name="Keywords_38"/>
      <w:bookmarkEnd w:id="375"/>
      <w:r>
        <w:rPr>
          <w:rFonts w:ascii="arial" w:eastAsia="arial" w:hAnsi="arial" w:cs="arial"/>
          <w:b/>
          <w:color w:val="000000"/>
          <w:sz w:val="20"/>
          <w:lang w:val="en-US" w:eastAsia="en-US" w:bidi="ar-SA"/>
        </w:rPr>
        <w:t xml:space="preserve">Civil litigation — Civil procedure — Trials — Summary trials — Availability — Application by provincial Minister of Justice and Attorney General of Canada for summary trial to dismiss plaintiff's action dismissed — Plaintiff, former member of RCMP, alleged that due to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his former supervisors, he suffered mental and physical ailments — Plaintiff commenced action in 2016, four years after he had been diagnosed with post-traumatic stress disorder in relation to his work in child abuse and sexual offence unit — It was not clear at what point plaintiff actually suffered damages — Issue of postponement of limitation period was not suitable for decision by way of summary trial process — Limitation Act, s. 6(4)(b).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Civil litigation — Limitation of actions — Extension, interruption, suspension and inapplicability — Application by provincial Minister of Justice and Attorney General of Canada for summary trial to dismiss plaintiff's action dismissed — Plaintiff, former member of RCMP, alleged that due to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his former supervisors, he suffered mental and physical ailments — Plaintiff commenced action in 2016, four years after he had been diagnosed with post-traumatic stress disorder in relation to his work in child abuse and sexual offence unit — It was not clear at what point plaintiff actually suffered damages — Issue of postponement of limitation period was not suitable for decision by way of summary trial process — Limitation Act, s. 6(4)(b).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Crown — Actions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Practice and procedure — Limitation periods — Application by provincial Minister of Justice and Attorney General of Canada for summary trial to dismiss plaintiff's action dismissed — Plaintiff, former member of RCMP, alleged that due to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his former supervisors, he suffered mental and physical ailments — Plaintiff commenced action in 2016, four years after he had been diagnosed with post-traumatic stress disorder in relation to his work in child abuse and sexual offence unit — It was not clear at what point plaintiff actually suffered damages — Issue of postponement of limitation period was not suitable for decision by way of summary trial process — Limitation Act, s. 6(4)(b).</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76" w:name="Case Summary_35"/>
            <w:bookmarkEnd w:id="3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provincial Minister of Justice and the Attorney General of Canada for a summary trial to dismiss the plaintiff's action. The plaintiff, a former member of the RCMP, claimed damages on the basis the defendants had a duty to ensure his health was protected and he was free of harassment in his employment. He alleged that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his former supervisors, he suffered mental and physical ailments. The plaintiff commenced his action in 2016, four years after he had been diagnosed with post-traumatic stress disorder in relation to his work in the child abuse and sexual offence unit, where he had worked from 2009 to 2011. The plaintiff was medically discharged from the RCMP in 2018.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7" w:name="Holdings of Court_30"/>
            <w:bookmarkEnd w:id="37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situation was unique because of the complex interrelationship between his career with the RCMP and its management of his treatment, his efforts to return to his career, and his right to accommodation of his health issues. It was not at all clear on the record at what point the plaintiff actually suffered damages. The issue of postponement of the limitation period was not suitable for decision by way of a summary trial process. After trial, a judge might conclude the plaintiff's interests and circumstances were serious, significant, and compelling such that commencing litigation within two years of his PTSD diagnosis was not appropriate.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8" w:name="Legislation Cited_29"/>
      <w:bookmarkEnd w:id="3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8"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3(2)(a), s. 6(4), s. 6(4)(a), s. 6(4)(b), s.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79" w:name="Counsel_39"/>
      <w:bookmarkEnd w:id="3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9"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Carter.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 Pearson, A. Kirby,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0" w:name="Judgment_39"/>
      <w:bookmarkEnd w:id="380"/>
      <w:r>
        <w:pict>
          <v:line id="_x0000_s1220"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NATURE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WARDROPE'S HISTORY AS A MEMBER OF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APPLICABLE 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1" w:name="H. MacNAUGHTON"/>
            <w:bookmarkEnd w:id="381"/>
            <w:r>
              <w:rPr>
                <w:rFonts w:ascii="arial" w:eastAsia="arial" w:hAnsi="arial" w:cs="arial"/>
                <w:b/>
                <w:color w:val="000000"/>
                <w:sz w:val="30"/>
                <w:lang w:val="en-US" w:eastAsia="en-US" w:bidi="ar-SA"/>
              </w:rPr>
              <w:t>H. MacNAUGHTON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Minister of Justice for the Province of British Columbia and the Attorney General of Canada (jointly "Canada") apply for an order pursuant to the summary trial procedure set out in Rule 9-7(15)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Canada seeks dismissal of Michael Wardrope's action on the basis that his claim for damages is statute-barred and was extinguished pursuant to s. 9(1) of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Canada also seeks its costs of this application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There is no dispute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applies to this case. There is also no dispute that the applicable limitation period is two years pursuant to s. 3(2)(a)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dispute is about when that limitation period began to run and/or whether it has been postponed under s. 6(4)(b)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Wardrope submits that this application is not suitable for determination at a summary trial and that determining whether the limitation period has been postponed should be considered by the trial judge with the benefit of a full evidentiary picture.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Nature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Wardrope was a constable with the Royal Canadian Mounted Police ("RCMP"). He became a constable in January 2007 after graduating from what is known as Depot training. Until about March 2009, he worked as a general duty constable. On March 23, 2009, he began working in the Child Abuse and Sexual Offence ("CASO") unit of the Surrey RCMP detachment. He worked there until his transfer to the Youth Services unit of the same detachment on August 29,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the action, Mr. Wardrope claims damages on the basis that Canada had a duty to ensure that, as a member of the RCMP, his health was protected and that he was free of harassment in his employment. He alleges that,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his former RCMP supervisors in CASO, he suffered mental and physical ailments and disabilities. He also alleges that, during his recruitment to CASO, misrepresentations were made to him about the amount of overtime he would be expected to work and the extent of the child pornography that he would be required to review. These issues were important to him as he was a father of young children and he was concerned about the impacts of accepting a CASO position on him and on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Wardrope commenced this action on December 7, 2016, a date which was almost four years after he had been diagnosed with Post-Traumatic Stress Disorder ("PTSD") in relation to his work in the CASO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Canada filed a response to Mr. Wardrope's claim on October 13, 2017, and pled that Mr. Wardrope had brought his action after the expiration of two years after the date on which his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Having pled a defence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Canada did not bring this application until March 8, 2019, about seven weeks before the scheduled 15-day trial set to commence on April 29, 2019. The notice of trial was filed on November 8, 2017, some 16 months ago. A Trial Management Conference was scheduled for March 27, 2019. Mr. Wardrope has been examined for discover. He has commissioned and served a number of expert reports for use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following summary of Mr. Wardrope's history as a member of the RCMP is based on his affidavit sworn on March 1, 2019, and the documents attached to Bre Stuart's affidavit, sworn on February 20, 2019, on behalf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Wardrope's History as a Member of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Canada disputes Mr. Wardrope's characterization of his interactions with his supervisors and others at the RCMP, Mr. Wardrope's work history is not generally in dispute. I set out the following history to put this application in a factual context, I am not making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Wardrope says that, growing up, he had always considered a career with the RCMP. He applied to the RCMP in 2006, entered training at Depot in Regina in July 2006, and graduated in January 2007. He was ambitious and sought promotional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he graduated, Mr. Wardrope was assigned to General Duty with the Surrey detachment. While there, he worked on two child abuse files. His reports with respect to those files were sent to the CASO unit, part of the Major Crimes section in the Surrey detachment. He was commended for his work on one of those files and was recruited to transfer to CASO.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Wardrope explained that he was flattered by CASO's interest in him. CASO offered a career advancement step that he believed would reflect well on his résumé. However, as a father of young children, he was concerned about the amount of child pornography to which he would be exposed and the amount of overtime he would be required to work. He says that he received assurances that the amount of child pornography would be minimal and overtime was uncommon. He accepted the transfer to CASO in March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Wardrope says that, despite the assurances he was given, the workload was heavy and Mr. Wardrope's exposure to child pornography was overwhelming. Mr. Wardrope began to experience emotional and physical symptoms and became increasingly socially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fall of 2010, Mr. Wardrope approached his supervisor and told him he was falling apart and on the verge of a nervous breakdown. He was told that he would be transferred out of CASO. The transfer did not occur for another ten months during which he says his physical and emotional health continued to deteriorate.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Wardrope says that contrary to the RCMP Trauma Debriefing policy, he was never debriefed while working at CASO.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August 2011, Mr. Wardrope was transferred to a School Liaison Officer position. He assumed that his health would recover, as he was no longer dealing with graphic child pornography or the heavy workload. That assumption proved incorrect and matters deteriorated in the fall of 2012 when he was contacted by the Crown with respect to one of his CASO files. He broke down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Wardrope was already seeing specialists with respect to his physical ailments, but was not told about a connection between the physical and emotional aspects of his health issues. In November 2012, he began to see Dr. David Lingley, a psychologist, about his emotional difficulties. He did so on a weekly basis until April 2016 when he began receiving psychiatric assistance from Dr. Kristjana Cameron at the BC Operations Stress Injury Clinic ("BCOSI"). BCOSI provides counselling to members of the military or the RCMP for psychological difficulties arising from their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 December 17, 2012, Dr. Lingley diagnosed Mr. Wardrope with PTSD and placed him on medical leave. Canada relies on this date as the commencement of the two-year limitation period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Wardrope applied to Veteran Affairs Canada for a pension for PTSD. It was approved on May 9, 2013, effective January 3, 2013. Mr. Wardrope says that pensions are paid regardless of whether a member continues to serve in the RCMP even if they are earning full salary and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RCMP has a duty to accommodate members who have medical limitations. The Health Services Management Section of the RCMP ("Health Services"), staffed by doctors, nurses and occupational therapists, oversees the assessment of fitness for duty, graduated return to work ("GRTW") programs, and accommodation of member limitations. It also oversees and approves funding for medical treatment for RCMP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Health Services authorized and paid for the treatments Mr. Wardrope received from Dr. Lingley, and other medical specialists, and was provided with ongoing reports with respect to his treatment. Communications with respect to a member's health are recorded in an electronic information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Wardrope says that throughout his treatment, the goal was to stabilize his condition, and have him return to his career in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September 2013, Mr. Wardrope was cleared to return to work. He was posted to the Youth and Professional Standards Unit ("PSU") in the Surrey detachment. He worked two days a week from September 23, 2013 to June 2, 2014. He says that, because of triggers he experienced, he was signed off on medical leave again in June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From June 3, 2014, to February 1, 2015, Mr. Wardrope was on medical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2012, when he was a school liaison officer, and again in 2014 while on medical leave, Mr. Wardrope wrote the examination for promotion to Corporal.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the end of 2014, Mr. Wardrope says that he realized that he would likely have been promoted to Corporal if it had not been for his sick leave and his failed return to work attempt, and he contacted his Staff Relations Representative, Sgt. Dinwoodie, to seek advice about a potential grievance with respect to a promotion to Corporal. Mr. Wardrope met with Sgt. Dinwoodie twice. The second meeting was on January 19,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Sgt. Dinwoodie told Mr. Wardrope that his concerns were not grievable but advised him of an internal Alternate Dispute Resolution ("ADR") process which Mr. Wardrope might be able to access. Sgt. Dinwoodie contacted Supt. Sean Sullivan, the Employee Management Relations Officer for "E" Division (British Columbia) on Mr. Wardrope's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ADR did not proceed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October 15, 2014, Dr. Lingley provided Health Services with suggestions for Mr. Wardrope's successful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Wardrope returned to work in February 2015 in the PSU at "E" Division Headquarters. It continued until April 2016. By that time, Mr. Wardrope was working on a modified schedule three days a week but says that he often called in sick as a result of emotional and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Wardrope acknowledges that, in January 2015, he had never given any thought to a lawsuit against the RCMP. He says that his sole focus was continuing with his recovery, returning to work, obtaining a promotion, and furthering his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May 2015, Mr. Wardrope met Supt. Sullivan in person. After their meeting, Supt. Sullivan asked Mr. Wardrope to submit an ADR proposal. Supt. Sullivan passed Mr. Wardrope's ADR proposal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Although Mr. Wardrope had hoped that the ADR process would be resolved quickly, Supt. Sullivan requested an investigation into Mr. Wardrope's allegations about CASO. The ADR process took over a year. Mr. Wardrope met with Supt. Sullivan on July 12, 2016 and he was told that, after Supt. Sullivan received the results of the investigation, he was going to seek a legal opinion from the Department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first time there was any discussion with Supt. Sullivan about litigation was in an email exchange on July 14, 2015. Mr. Wardrope expressed his desire to have his concerns resolved through the ADR process but that litigation was a possibility. Supt. Sullivan said that he too preferred the ADR option but "if we can't settle then litigation is an option for you." Mr. Wardrope indicated that he would wait and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June 13, 2016, Mr. Wardrope asked Supt. Sullivan for an update on the ADR process, and the following day, was told that the legal opinion was expected by the end of July.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April 2016, Mr. Wardrope was referred to BCOSI where he first saw Dr. Cameron. On April 18, 2016, Dr. Cameron assessed Mr. Wardrope as unfit for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August 2016, Mr. Wardrope received an email from a Return to Work/Medical Discharge Facilitator within Health Services asking whether he wanted to proceed with a medical retirement. Mr. Wardrope indicated that he did not as he was still receiving treatment and hoped to return to his career with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Wardrope was not able to return to work and was medically discharged from the RCMP on March 29, 2018. He did not voluntarily leave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Wardrope did not take any steps with respect to this action until after his ADR attempts were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affidavit, Mr. Wardrope says that he continues to have severe emotional and physical symptoms, which are debilitating and crippling, associated with PTSD. He has been told that his physical issues are secondary to his PTSD. He has also been diagnosed with somatic symptom disorder. He says that, in the past, there were times when he was suicidal. The loss of his RCMP career has been devastating. A vocational rehabilitation assessment prepared for the litigation has concluded that Mr. Wardrope is competitively unemployable.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Applicable 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Rule 9-7 allows for the summary determination of a claim without the time and expense of full trial. Under Rule 9-7(15), the court may grant judgment in favour of any party, either on an issue or generally, on hearing a summary trial application, unless the judge concludes that he or she is unable to find the facts necessary to decide the issues or is of the view that it would be unjust to do so: see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at paras. 30-35.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fact that there may be conflicts in the evidence does not mean that a matter is not suitable for summary trial: </w:t>
      </w:r>
      <w:r>
        <w:rPr>
          <w:rFonts w:ascii="arial" w:eastAsia="arial" w:hAnsi="arial" w:cs="arial"/>
          <w:i/>
          <w:color w:val="000000"/>
          <w:sz w:val="20"/>
          <w:lang w:val="en-US" w:eastAsia="en-US" w:bidi="ar-SA"/>
        </w:rPr>
        <w:t>Bell v. Ries and Wigmore</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2016 BCSC 309</w:t>
        </w:r>
      </w:hyperlink>
      <w:r>
        <w:rPr>
          <w:rFonts w:ascii="arial" w:eastAsia="arial" w:hAnsi="arial" w:cs="arial"/>
          <w:color w:val="000000"/>
          <w:sz w:val="20"/>
          <w:lang w:val="en-US" w:eastAsia="en-US" w:bidi="ar-SA"/>
        </w:rPr>
        <w:t xml:space="preserve"> at para. 34. The court need only be able to decide the issue fairly without the benefit of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Where a claim is statute-barred and the essential facts underlying the application of the limiting statute are not fundamentally in dispute, a summary trial may be an appropriate way to resolve this critical issue quickly, efficiently, and fairly: see, for example, </w:t>
      </w:r>
      <w:r>
        <w:rPr>
          <w:rFonts w:ascii="arial" w:eastAsia="arial" w:hAnsi="arial" w:cs="arial"/>
          <w:i/>
          <w:color w:val="000000"/>
          <w:sz w:val="20"/>
          <w:lang w:val="en-US" w:eastAsia="en-US" w:bidi="ar-SA"/>
        </w:rPr>
        <w:t>Olenga v. Royal Columbian Hospital (R.C.H.)</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2017 BCSC 975</w:t>
        </w:r>
      </w:hyperlink>
      <w:r>
        <w:rPr>
          <w:rFonts w:ascii="arial" w:eastAsia="arial" w:hAnsi="arial" w:cs="arial"/>
          <w:color w:val="000000"/>
          <w:sz w:val="20"/>
          <w:lang w:val="en-US" w:eastAsia="en-US" w:bidi="ar-SA"/>
        </w:rPr>
        <w:t xml:space="preserve"> at para. 9, aff'd </w:t>
      </w:r>
      <w:hyperlink r:id="rId851" w:history="1">
        <w:r>
          <w:rPr>
            <w:rFonts w:ascii="arial" w:eastAsia="arial" w:hAnsi="arial" w:cs="arial"/>
            <w:i/>
            <w:color w:val="0077CC"/>
            <w:sz w:val="20"/>
            <w:u w:val="single"/>
            <w:shd w:val="clear" w:color="auto" w:fill="FFFFFF"/>
            <w:lang w:val="en-US" w:eastAsia="en-US" w:bidi="ar-SA"/>
          </w:rPr>
          <w:t>2018 BCCA 349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Mr. Wardrope's claim against Canada is for damages for the injuries he alleges he has suffered, pursuant to s. 3(2)(a)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his claim for damages was subject to a two-year limitation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 periods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(2) After the expiration of 2 years after the date on which the right to do so arose a person may not bring any of the following actions:</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 (k), for damages in respect of injury to person or property, including economic loss arising from the injury, whether based on contract, tort or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Canada argues that Mr. Wardrope's right of action expired on December 17, 2014, two years after he received Dr. Lingley's diagnosis of PTSD on December 17, 2012. Canada submits that, at that point, Mr. Wardrope knew all of the elements which formed the basis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However, to determine when the running of time should commence for an action, the court is generally directed to consider the actions of a reasonable person in the particular plaintiff's circumstances. The plaintiff bears the burden of proving that the running of time has been postponed in their case: </w:t>
      </w:r>
      <w:r>
        <w:rPr>
          <w:rFonts w:ascii="arial" w:eastAsia="arial" w:hAnsi="arial" w:cs="arial"/>
          <w:i/>
          <w:color w:val="000000"/>
          <w:sz w:val="20"/>
          <w:lang w:val="en-US" w:eastAsia="en-US" w:bidi="ar-SA"/>
        </w:rPr>
        <w:t>Novak v. Bond</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xml:space="preserve"> at para.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Section 6(4)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provided at the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Running of time postponed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Section 6(4)(a) allowed postponement of the running of a limitation period until a plaintiff has, or ought to have, sufficient knowledge of the identity of the defendants and the underlying facts to realize his claim has a reasonable prospect of success and is therefore worth bringing.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Section 6(4)(b) considers the plaintiff's interest and circumstances. It incorporates a subjective/objective test. In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the Court explained the meaning of the subsection: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 s. 6(4)(b) may be read as denoting a time at which a reasonable person would consider that someone in the plaintiff's position, acting reasonably in light of his or her own circumstances and interests, could - not necessarily should - bring an action. This approach is neither purely subjective nor purely objective. The question becomes: "in light of his or her own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Purely tactical considerations have no place in this analysis. In my view, this approach best accords with the purposes of modern limitations statutes, gives a sensible meaning to the terms of s. 6(4)(b), and is most likely to result in clear and fair results in the majority of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 On the interpretation I have proposed, the court's central task is to identify the point at which the reasonable person who animates s. 6(4) would consider that the plaintiff, in light of his or her own interests and circumstances, could reasonably have brought an action. Section 6(4)(b) therefore refers to a time at which, in light of the plaintiff's particular situation, the bringing of a suit is reasonably possible, not when it would be ideal from the plaintiff's perspective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[90] I conclude that delay beyond the prescribed limitation period is only justifiable if the individual plaintiff's interests and circumstances are so pressing that a reasonable person would conclude that, in light of them, the plaintiff could not reasonably bring an action at the time his or her bare legal rights crystallized. The task in every case is to determine the point at which the plaintiff reasonably could bring an action, taking into account his or her own interests and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explained that, whether a particular interest or circumstance prevents a plaintiff from pursuing an action is a case specific inquiry and assessed with respect to each individual plaintiff. The Court outlined the types of "interests and circumstances" of a plaintiff which should be considered and determined: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 ... Practically speaking, the reasonable person would only consider that the plaintiff could not have brought an action at the time the right to do so first arose if the plaintiff's own interests and circumstances were serious, significant, and compelling. For example, a plaintiff may not reasonably be able to bring an action when, viewed objectively but with regard to the plaintiff's own situation, the costs and strain of litigation would be overwhelming to him or her, the possible damages recoverable would be minimal or speculative at best, or other personal circumstances combine to make it unfeasible to initiate an action. Litigation is never a process to be embarked upon casually and sometimes a plaintiff's individual circumstances and interests may mean that he or she cannot reasonably bring an action at the time it first materializes. This approach makes good policy sense. To force a plaintiff to sue without having regard to his or her own circumstances may be unfair to the plaintiff and may also disserve the defendant by forcing him or her to meet an action pressed into court prematurely: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Court referred to comments made in a report of the New South Wales Law Reform Commission as assisting in determining what factors may lead a reasonable person to conclude that the plaintiff could not reasonably have brought an action at the normally prescribed time. As it relates to the issues in this case, the following paragraph of the Law Reform Commission Report, as cited by the Court in para. 87 of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is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 ... the Commission stated at p. 135: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An injured employee may, for example, reasonably take the view that an action against his employer may jeopardize the future course of his employment to an extent which outweighs the prospective damages for the injuries at first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Crown submits that, to the extent that Mr. Wardrope's allegations of tortious conduct have a reasonable prospect of success, he was aware of the conduct of his supervisors by the end of his tenure at CASO. Therefore, the Crown submits that the only question is when he knew, or ought to have known, enough about the damages he suffered to support a claim with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Crown also submits that the fact that injuries prove to be more severe than initially believed will not, or that Mr. Wardrope may have had reason to believe that his condition was temporary, and would subside, is not enough to support a postponement: </w:t>
      </w:r>
      <w:r>
        <w:rPr>
          <w:rFonts w:ascii="arial" w:eastAsia="arial" w:hAnsi="arial" w:cs="arial"/>
          <w:i/>
          <w:color w:val="000000"/>
          <w:sz w:val="20"/>
          <w:lang w:val="en-US" w:eastAsia="en-US" w:bidi="ar-SA"/>
        </w:rPr>
        <w:t>Craig v. Insurance Corporation of British Columbia</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2005 BCCA 275</w:t>
        </w:r>
      </w:hyperlink>
      <w:r>
        <w:rPr>
          <w:rFonts w:ascii="arial" w:eastAsia="arial" w:hAnsi="arial" w:cs="arial"/>
          <w:color w:val="000000"/>
          <w:sz w:val="20"/>
          <w:lang w:val="en-US" w:eastAsia="en-US" w:bidi="ar-SA"/>
        </w:rPr>
        <w:t xml:space="preserve"> at para. 14 and </w:t>
      </w:r>
      <w:r>
        <w:rPr>
          <w:rFonts w:ascii="arial" w:eastAsia="arial" w:hAnsi="arial" w:cs="arial"/>
          <w:i/>
          <w:color w:val="000000"/>
          <w:sz w:val="20"/>
          <w:lang w:val="en-US" w:eastAsia="en-US" w:bidi="ar-SA"/>
        </w:rPr>
        <w:t>Bell v. Wigmore</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2017 BCCA 82</w:t>
        </w:r>
      </w:hyperlink>
      <w:r>
        <w:rPr>
          <w:rFonts w:ascii="arial" w:eastAsia="arial" w:hAnsi="arial" w:cs="arial"/>
          <w:color w:val="000000"/>
          <w:sz w:val="20"/>
          <w:lang w:val="en-US" w:eastAsia="en-US" w:bidi="ar-SA"/>
        </w:rPr>
        <w:t xml:space="preserve"> at para.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cases relied on by Canada all involve situations in which the limitation period issue arose in circumstances in which the plaintiff and the defendant(s) had no continuing relationship. In fact, most involved a patient's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treating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Wardrope's situation is unique because of the complex interrelationship between his career with the RCMP and its management of his treatment, his efforts to return to his career, and his right to accommodation of his health issues. All of that complexity must be considered with respect to his interests and circumstances in assessing the reasonableness of commencing a lawsuit against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application of the analysis set out in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is best left for an assessment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not at all clear on the materials before me at what point Mr. Wardrope actually suffered damages. For example, if his initial return to work had been successful, Mr. Wardrope's damages may have been minimal or speculative. He may well have gone on to have the RCMP career he had planned for. Assessing when/if that changed should be done on a full evidentiary record as opposed to a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Wardrope was a member of the RCMP appointed by Order in Council. He was pursuing a career with the RCMP. His focus was on working to recover his career, a reasonable person might conclude that his interest in doing so was potentially counter to his interest in pursuing a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Wardrope was entitled to be accommodated in his workplace and was reliant on the RCMP for accommodations with respect to both the types of work he was able to do and the hours in which he was able to do it. Ultimately, it was the RCMP which decided to medically discharge him. Mr. Wardrope did not resign.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accept that Mr. Wardrope's personal interests and circumstances should extend to a consideration of the particular environment of his career with RCMP. After trial, a judge might conclude that Mr. Wardrope's interests and circumstances were serious, significant, and compelling such that commencing litigation within two years of his PTSD diagnosis was not appropriate. As Justice Levine wrote for the court in </w:t>
      </w:r>
      <w:r>
        <w:rPr>
          <w:rFonts w:ascii="arial" w:eastAsia="arial" w:hAnsi="arial" w:cs="arial"/>
          <w:i/>
          <w:color w:val="000000"/>
          <w:sz w:val="20"/>
          <w:lang w:val="en-US" w:eastAsia="en-US" w:bidi="ar-SA"/>
        </w:rPr>
        <w:t>Owners, Strata Plan LMS1725 v. Star Masonry Ltd.</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2007 BCCA 611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case are replete with observations of chambers judges that the determination of whether a limitation period has been postponed is difficult, and may be unjust, in the absence of a factual matrix that in many cases may only become evident following at least examinations for discovery and perhaps a trial: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Canada's application is dismissed on the basis that, in the particular circumstances of this case, the issue of the postponement of the limitation period is not suitable for decision by way of a summary trial process. The issue of when the applicable limitation period commenced, and/or whether it was postponed, is so factually entwined with the complexities of Mr. Wardrope's membership in the RCMP that the limitation issue should be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MacNAUGHTON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1"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6"/>
          <w:headerReference w:type="default" r:id="rId857"/>
          <w:footerReference w:type="even" r:id="rId858"/>
          <w:footerReference w:type="default" r:id="rId859"/>
          <w:headerReference w:type="first" r:id="rId860"/>
          <w:footerReference w:type="first" r:id="rId8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2" w:history="1">
        <w:r>
          <w:rPr>
            <w:rFonts w:ascii="arial" w:eastAsia="arial" w:hAnsi="arial" w:cs="arial"/>
            <w:b/>
            <w:bCs/>
            <w:i/>
            <w:color w:val="0077CC"/>
            <w:kern w:val="32"/>
            <w:sz w:val="28"/>
            <w:szCs w:val="32"/>
            <w:u w:val="single"/>
            <w:shd w:val="clear" w:color="auto" w:fill="FFFFFF"/>
            <w:lang w:val="en-US" w:eastAsia="en-US" w:bidi="ar-SA"/>
          </w:rPr>
          <w:t>Watt v. Health Sciences Assn. of British Columbia, [2018] B.C.J. No. 574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28-29,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S-134066, S-120334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574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512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 C.P.C. (8th) 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290 A.C.W.S. (3d) 500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77 C.C.L.I. (5th) 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753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Nina Watt and James Hensman, Plaintiffs, and Health Sciences Association of British Columbia, Reid Johnson, Valerie Avery and Bruce MacDonald in their capacity as the Trustees of The Health Sciences Association of B.C. Trust Fund and the said The Health Sciences Association of B.C. Trust Fund, Reid Johnson, Bruce MacDonald and Marg Beddis in their capacity as the Trustees of the HSA LTD Trust No. 2, and the said The HSA LTD Trust No. 2, Reid Johnson, Bruce MacDonald, Valerie Avery and Marg Beddis in their capacity as the Trustees of the HSA LTD Trust No. 3, and the said The HSA LTD Trust No. 3, and Reid Johnson, Bruce MacDonald, Valerie Avery and Marg Beddis, Defendants (Brought Under the Provisions of the British Columbia Class Proceedings Act) And between Health Sciences Association of British Columbia ("HSA"), Reid Johnson Val Avery and Joan Magee, in their capacity as the Trustees of the Health Sciences Association Long Term Disability Trust for members of the HSA who became disabled between March 1, 1989 and February 28, 1999; Reid Johnson, Bruce MacDonald and Joan Magee in their capacity as the Trustees of the HSA LTD Trust No. 2 for members of the HSA who became disabled between March 1, 1999 and August 3, 2006, Plaintiffs, and Hewitt Associates Corp., carrying on business as "AON Hewitt", Peter Muirhead, Defendants, and The Trustees of the Healthcare Benefit Trust,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2"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82" w:name="Keywords_39"/>
      <w:bookmarkEnd w:id="382"/>
      <w:r>
        <w:rPr>
          <w:rFonts w:ascii="arial" w:eastAsia="arial" w:hAnsi="arial" w:cs="arial"/>
          <w:b/>
          <w:color w:val="000000"/>
          <w:sz w:val="20"/>
          <w:lang w:val="en-US" w:eastAsia="en-US" w:bidi="ar-SA"/>
        </w:rPr>
        <w:t>Civil litigation — Civil procedure — Actions — Causes of action — Joinder and consolidation — Pre-trial procedures — Preliminary determinations — Question of fact — Question of law — Trial of an issue — Application by defendant trustees to have class action ("Watt action") heard at same time as another action in which they were plaintiffs ( "Hewitt action") and to have two questions of fact and law at issue in both actions summarily determined before other issues dismissed — Plaintiffs in Watt action alleged trustees breached fiduciary duties and were negligent in underfunding long-term disability plan and trustees, in Hewitt action, claimed Hewitt was negligent in calculating amount required to fund plan — Actions involved different parties and claims and were not so interwoven that they should be heard together — Resolution of questions would not resolve claims.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83" w:name="Case Summary_36"/>
            <w:bookmarkEnd w:id="3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trustees to have this class action (the "Watt action") heard at the same time as another action in which they were the plaintiffs (the "Hewitt action") and to have the two questions of fact and law at issue in both actions determined before any other issues. The plaintiffs in the Watt action were members of a trade union and recipients of employee-funded long-term disability ("LTD") benefits. In 2006, during bargaining, the employees agreed to assume responsibility for the LTD benefits, but would not agree to assume responsibility for payment of benefits for existing claims. The union and trusts continued to be responsible for those claims. A portion of signing bonuses was put towards the deficits of the plans, but the plans were significantly under-funded. As a result, the trustees reduced the LTD benefits and introduced a mandatory early retirement program. A referendum on the issue of increasing union fees to ensure benefits levels remained at their previous level failed. The plaintiffs alleged that the trustees breached their fiduciary duties by actively opposing the referendum. The plaintiffs also claimed that the trustees were negligent as they did not reasonably administer the trust or consult with actuaries. In the Hewitt action, the plaintiff trustees alleged that Hewitt miscalculated the amount required to stabilize the plans. They sought damages from Hewitt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Watt action had been certified as a class action and, while further discoveries were required, the plaintiffs were ready to set the action down for trial. No discoveries had been held in the Hewitt action, documentary discovery was not complete and no trial had been set.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84" w:name="Holdings of Court_31"/>
            <w:bookmarkEnd w:id="384"/>
            <w:r>
              <w:rPr>
                <w:rFonts w:ascii="arial" w:eastAsia="arial" w:hAnsi="arial" w:cs="arial"/>
                <w:color w:val="000000"/>
                <w:sz w:val="20"/>
                <w:lang w:val="en-US" w:eastAsia="en-US" w:bidi="ar-SA"/>
              </w:rPr>
              <w:t>HELD: Applications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actions should not be heard at the same time. There was a lack of commonality between the two actions. The actions involved different parties and different claims, and the risk of inconsistent findings was not significant. The actions were not so interwoven that separate trials were undesirable, the actions were at different states, joining the actions would delay resolution, the class action would be inconvenienced and the expenses of the actions would be increased. Furthermore, class action counsel would lose control of the class action to some extent. The two issues proposed to be resolved in advance were not discrete issues and their resolution would not finally dispose of either action. The resolution of the issues would not clearly result in a significant saving of court time and unnecessary expenditure of legal fees. Instead, severing the two issues would likely impede the speedy resolution of the actions.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85" w:name="Legislation Cited_30"/>
      <w:bookmarkEnd w:id="3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3"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863" w:history="1">
        <w:r>
          <w:rPr>
            <w:rFonts w:ascii="arial" w:eastAsia="arial" w:hAnsi="arial" w:cs="arial"/>
            <w:i/>
            <w:color w:val="0077CC"/>
            <w:sz w:val="20"/>
            <w:u w:val="single"/>
            <w:shd w:val="clear" w:color="auto" w:fill="FFFFFF"/>
            <w:lang w:val="en-US" w:eastAsia="en-US" w:bidi="ar-SA"/>
          </w:rPr>
          <w:t>R.S.B.C. 1996, c. 50, s. 12</w:t>
        </w:r>
      </w:hyperlink>
      <w:r>
        <w:rPr>
          <w:rFonts w:ascii="arial" w:eastAsia="arial" w:hAnsi="arial" w:cs="arial"/>
          <w:color w:val="000000"/>
          <w:sz w:val="20"/>
          <w:lang w:val="en-US" w:eastAsia="en-US" w:bidi="ar-SA"/>
        </w:rPr>
        <w:t>, s.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Act, s. 116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12-5</w:t>
      </w:r>
      <w:r>
        <w:rPr>
          <w:rFonts w:ascii="arial" w:eastAsia="arial" w:hAnsi="arial" w:cs="arial"/>
          <w:color w:val="000000"/>
          <w:sz w:val="20"/>
          <w:lang w:val="en-US" w:eastAsia="en-US" w:bidi="ar-SA"/>
        </w:rPr>
        <w:t>(67), Rule 12-5(68), Rule 22-5(8)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86" w:name="Counsel_40"/>
      <w:bookmarkEnd w:id="38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4"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D.P. Church, Q.C., I.G. Schildt.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Health Sciences Association: C.A.B. Ferris, Q.C., A.M. Nathanson.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Trustees in Class Action and Hewitt Action: L.A.E. Blake.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Peter Muirhead in Hewitt Action: J.C. McArthur, A.C. Luchenko, S. Smith,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in Hewitt action: D.M. Gyton, J. Smith,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7" w:name="Judgment_40"/>
      <w:bookmarkEnd w:id="387"/>
      <w:r>
        <w:pict>
          <v:line id="_x0000_s1225"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8" w:name="R.D. PUNNETT J._0"/>
            <w:bookmarkEnd w:id="388"/>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applicant Trustees seek to have this Class Action (also referred to in these reasons as the "Watt Action"), in which they are the defendants, heard at the same time as a civil action in which they are the plaintiffs (the "Hewitt Action"). In addition, even if the two actions are not to be heard at the same time, the applicants apply to have two questions of fact and law at issue in both actions summarily determined before any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December 19, 2017 the parties were advised by memorandum that both applications were dismissed with reasons to follow. These are those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This class action of some 220 members was commenced by Ms. Watt and Mr. Hensman, members of the Health Sciences Association of British Columbia (the "HSA") on May 31, 2013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respecting long-term disability benefits payable to them and deductions made to those benefits. I certified the action as a class proceeding in reasons for judgment dated July 24, 2015: </w:t>
      </w:r>
      <w:r>
        <w:rPr>
          <w:rFonts w:ascii="arial" w:eastAsia="arial" w:hAnsi="arial" w:cs="arial"/>
          <w:i/>
          <w:color w:val="000000"/>
          <w:sz w:val="20"/>
          <w:lang w:val="en-US" w:eastAsia="en-US" w:bidi="ar-SA"/>
        </w:rPr>
        <w:t>Watt v. Health Sciences</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2015 BCSC 1290</w:t>
        </w:r>
      </w:hyperlink>
      <w:r>
        <w:rPr>
          <w:rFonts w:ascii="arial" w:eastAsia="arial" w:hAnsi="arial" w:cs="arial"/>
          <w:color w:val="000000"/>
          <w:sz w:val="20"/>
          <w:lang w:val="en-US" w:eastAsia="en-US" w:bidi="ar-SA"/>
        </w:rPr>
        <w:t xml:space="preserve">. The Court of Appeal varied certain common issues in </w:t>
      </w:r>
      <w:hyperlink r:id="rId865" w:history="1">
        <w:r>
          <w:rPr>
            <w:rFonts w:ascii="arial" w:eastAsia="arial" w:hAnsi="arial" w:cs="arial"/>
            <w:i/>
            <w:color w:val="0077CC"/>
            <w:sz w:val="20"/>
            <w:u w:val="single"/>
            <w:shd w:val="clear" w:color="auto" w:fill="FFFFFF"/>
            <w:lang w:val="en-US" w:eastAsia="en-US" w:bidi="ar-SA"/>
          </w:rPr>
          <w:t>2016 BCCA 325</w:t>
        </w:r>
      </w:hyperlink>
      <w:r>
        <w:rPr>
          <w:rFonts w:ascii="arial" w:eastAsia="arial" w:hAnsi="arial" w:cs="arial"/>
          <w:color w:val="000000"/>
          <w:sz w:val="20"/>
          <w:lang w:val="en-US" w:eastAsia="en-US" w:bidi="ar-SA"/>
        </w:rPr>
        <w:t>. A full explanation of the background and issues in the Class Action are found in those two sets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Court of Appeal described the class proceeding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These appeals are brought from a certification order made in Supreme Court docket S134066 pursuant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plaintiffs are members of the defendant trade union, Health Sciences Association of British Columbia ("HSA"),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recipients of benefits under employee-funded long-term disability ("LTD") plans established by the union for the benefit of its members. The plaintiffs' claims against HSA raise some challenging issues - including the jurisdiction of the courts to try the case at all, and the nature and capacity of unions. The claims pleaded against the individual defendants, who are members of the union's board of directors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trustees of trusts established by the union to administer the LTD plans, also raise difficult issues regarding the trustees' duties to the recipients of LTD benefits from the trusts. The plaintiffs assert that the trustees' interests are in conflict with those of the overall membership or of the union itself.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Between January and March 2006, the HSA bargained for a new collective agreement for its B.C. members. During these negotiations the employers of those members agreed to assume responsibility for long-term disability ("LTD") benefits to their employees, but would not agree to assume responsibility for payment of benefits for existing claims. The HSA's LTD Plans and Trusts continued to be responsible for these payments, with such payments being made from Trusts No. 1 and No.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the course of bargaining, the employers offered to pay a signing bonus of $3,300 to each individual full-time employee upon acceptance and ratification of a new collective agreement. For the HSA, there was $45,870,000 available for signing bonuses (the "Bonus Pool"). The parties agreed that a portion of the Bonus Pool would be used to eliminate the known deficit position of the LTD Plans. The HSA directed that $17,000,000 from the Bonus Pool be used to eliminate the accrued deficiency in the Plans (the "LTD Stabilization Grant") and these funds were used to fund HSA LTD Trust No. 3, which was set up on or around April 19, 2006 to fund Plans No. 1 and No. </w:t>
      </w:r>
      <w:r>
        <w:rPr>
          <w:rFonts w:ascii="arial" w:eastAsia="arial" w:hAnsi="arial" w:cs="arial"/>
          <w:i/>
          <w:color w:val="000000"/>
          <w:sz w:val="20"/>
          <w:lang w:val="en-US" w:eastAsia="en-US" w:bidi="ar-SA"/>
        </w:rPr>
        <w:t>2</w:t>
      </w:r>
      <w:r>
        <w:rPr>
          <w:rFonts w:ascii="arial" w:eastAsia="arial" w:hAnsi="arial" w:cs="arial"/>
          <w:color w:val="000000"/>
          <w:sz w:val="20"/>
          <w:lang w:val="en-US" w:eastAsia="en-US" w:bidi="ar-SA"/>
        </w:rPr>
        <w:t>. HSA LTD Plan No. 3 was also created. The $17,000,000 was paid to the trustees of Trust No. 3, and was used to establish Fund No.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Despite receipt of the LTD Stabilization Grant, in 2008 it was determined that the three Plans were significantly underfunded. This unfunded liability eventually led to the Trustees deciding, effective June 1, 2012, to amend Plan No. 1 and Plan No. 3 to reduce the long-term disability benefits by approximately 34% and to introduce a mandatory early retirement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HSA Annual Convention in 2012 delegates requested a referendum on the issue. A referendum was held by the HSA to increase union dues to ensure that benefit levels for the disabled HSA members receiving benefits through Plans No. 1 and No. 3 remained at their January 2012 level despite the shortfall. The referendum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amended pleadings of the plaintiffs in the Class Action now allege that the Trustees of Trust No.1, 2 and 3, in breach of their fiduciary duties, "actively opposed" the referendum seeking support to raise HSA union dues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37E. In July 2012, HSA and/or the Trust No. 1 Trustees, Trust No. 2 Trustees and Trust No. 3 Trustees actively opposed a referendum seeking support to raise HSA union dues from 1.6% to 2% in order to ensure that the Disabled HSA Members' benefits were maintained at their January 2012 Level. That referendum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Trustees deny that they "actively opposed" the referendum and allege that they took no position on the referendum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also advance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Trustees:</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Trustees of Trust No. 1 owed a duty of care to the Disabled HSA Members whose benefits were paid out of Trust No. 1, to act reasonably in the administration of Trust No. 1 and to act in accordance with sound business practices, custom, usage and applicable law in the administration of Trust No. 1. The Trustees of Trust No. 1 were negligent, or grossly negligent, and breached their duty of care to the Disabled HSA Members whose benefits were paid out of Trust No. 1 and failed to act in accordance with sound business practice, custom, usage and applicable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Trustees of Trust No. 2 owed a duty of care to the Disabled HSA Members whose benefits were paid out of Trust No. 2, to act reasonably in the administration of Trust No. 2 and to act in accordance with sound business practices, custom, usage and applicable law in the administration of Trust No. 2. The Trustees of Trust No. 2 were negligent, or grossly negligent, and breached their duty of care to the Disabled HSA Members whose benefits were paid out of Trust No. 2 and failed to act in accordance with sound business practice, custom, usage and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They further allege that the Trustees "failed to consult with their actuaries" and that at the time they closed Trust No. 2 they "failed to obtain actuarial advice as to the effect such closure would have on the ability of Trust No. 2 to fund HSA's ongoing liabilities to HSA members disabled between March 1, 1999 and August 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plaintiffs responded to a request for particulars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Trustees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that the particulars of those paragraphs are set out in the common issue ... Instead our allegation is a much broader one, namely that the Trustees did not properly instruct their actuaries (which includes not providing the actuaries with all required information), did not properly understand or act upon the actuarial advice which they did receive, and/or that the Trustees did not direct the proper inquiries to their actuaries in order to obtain information to determine the proper amount required to be placed in Trust 3 to fully fund Trusts 1 and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Class Action the Trustees plead that when they were asked to advise the HSA on the amount of the LTD Stabilization Grant in March of 2006, they requested that AON Hewitt advise them of the amount required to eliminate the deficit for the funding of Plans No. 1 and 2, advised Hewitt that Plan No. 2 was to be closed and the opportunity to obtain the LTD Stabilization Grant was a one-time opportunity, and finally asked Hewitt to advise them of the amount required for the LTD Stabilization Grant, using the most conservative actuarial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Hewitt Action, the plaintiff Trustees allege that Hewitt, when asked in 2006 to calculate the LTD Stabilization Grant, told them that the additional amount required to fund the liabilities was $12,000,000. The HSA advised the employers they wished to add an additional $5,000,000 to this figure as a contingency reserve fund for adverse actuarial experience such as poor investment returns, which resulted in the $17,000,000 LTD Stabilization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in the Hewitt Action allege that the $12,000,000 figure was incorrect, saying Hewitt had: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materially understated the liabilities for future administrative expenses in Plans No. 1 and No. 2;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made no allowance for the liability for the Medical Premium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plaintiffs in the Hewitt Action accordingly seek damages from Hewitt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alleging that but for Hewitt's error, the HSA would have obtained a higher LTD Stabilization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their original Response to Civil Claim filed on June 22, 2012, Hewitt denied that they were asked to calculate the LTD Stabilization Grant, denied they made an error and understated the liabilities of the Plans for administrative expenses, and denied they were ever told about the Medical Premium Benefit. Hewitt further claims contribution and indemnity from a third party, the Trustees of the Healthcare Benefit Trust ("HBT"), who they say were acting as agents for the applicant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two actions are at different stages. The Hewitt Action was commenced in January 2012, approximately 16 months prior to the commencement of the Class Action. To date no oral discoveries have been held and no trial date has been set. Discovery of documents was being made by HSA and the Trustees as late as August 2017 and is still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Class Action has completed the certification process, been appealed and the common issues determined. While further discoveries are required counsel for the plaintiffs are now seeking to set the matter down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Orders Sought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Trustees seek these orders: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within action (the "Class Action") and Action No. S-120334 (the "Hewitt Action") be heard at the same time, subject to the direction of the trial judge;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implied undertaking of confidentiality be varied in the two actions and that all parties to both actions be authorized to use all pleadings, all documents produced by any party, all transcripts of examinations for discovery, and all Affidavit material filed in either action;</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following two questions of fact and law be tried and determined before any others: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Did the Trustees breach their fiduciary duty to the Disabled HSA Members by failing to actively support a referendum seeking support to raise HSA union dues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Were the trustees of Trust No. 1 and Trust No. 2 negligent or grossly negligent or, in the alternative, did the trustees of Trust No. 1 and Trust No. 2 fail to act in accordance with sound business practice by failing to properly obtain, and utilize, actuarial advice in determining the amount of funds to be placed in Trust No.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applicant Trustees submit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in the Class Action have now clearly put the central issue from the Hewitt Action before the court hearing the Class Action. It is clearly now a "common claim, dispute and relationship" central to both the Class Action and the Hewitt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allegations that the Trustees were negligent involve the identical factual and legal issues which are raised in the Hewitt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 comparison of the respective factual and legal issues in the two actions reveals that is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Class Action the common issues are:</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HSA enter into a binding agreement with its members to provide various benefits, specifically though LTD Agreement #1 and LTD Agreement #2, as alleged in the Further Amended Notice of Civil Claim?</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HSA did enter into LTD Agreement #1 and LTD Agreement #2, what were the terms thereof?</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HSA breach LTD Agreement #1 through one or more of the following, with respect to HSA members who became disabled between March 1,1989 and February 28,1999:</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reduction in long term disability benefits;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imposition of early retirement and the concurrent discontinuance of long term disability benefits; and / or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termination of group life insurance and AD&amp;D insurance.</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HSA breach LTD Agreement #2 through one or more of the following, with respect to HSA members who became disabled between March 1, 1999 and August 3, 2006:</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reduction in long term disability payments under the Index Removal;</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reduction in long term disability benefits; and / 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imposition of early retirement and the concurrent discontinuance of long term disability benefits?</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steps identified in paragraph 3, above, did not constitute a breach of LTD Agreement #1, on the basis that the terms thereof permitted HSA to undertake such actions: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LTD Agreement #1 "group insurance" within the meaning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HSA an "insurer" within the meaning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HSA thus precluded from taking the steps identified in paragraph 3, above, by sections 58 and / or 116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steps identified in paragraph 4, above, did not constitute a breach of the LTD Agreement #2, on the basis that the terms thereof permitted HSA to undertake such steps:</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LTD Agreement #2 "group insurance" within the meaning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HSA an "insurer" within the meaning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and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HSA thus precluded from taking the steps identified in paragraph 4, above, by section 116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 by the Court of Appeal's Order].</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 by the Court of Appeal's Order].</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Trustees breach their fiduciary duty to the Disabled HSA Members by failing to actively support a referendum seeking support to raise HSA union dues?</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trustees of Trust No. 1 and trustees of Trust No. 2 owe one or more of the following duties of care to the Disabled HSA Members, who are the beneficiaries of the Trusts:</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act reasonably in the administration of each trust; and/or</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act in accordance with sound business practices, custom, usage and applicable law in the administration of each trust</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trustees of Trust No. 1 and Trust No. 2 negligent or grossly negligent or, in the alternative, did the trustees of Trust No. 1 and Trust No. 2 fail to act in accordance with sound business practice by failing to properly obtain, and utilize, actuarial advice in determining the amount of funds to be placed in Trust No. 3?</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that the court concludes that there was a breach of contract (or contracts) on the part of HSA and/or breach of fiduciary duty on the part of the Trustees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trustees of Trust No. 1 or Trust No. 2, what damages were suffered by the class members as a result thereof?</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punitive damages be awarded to the Class members against any of the Defendants?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Therefore the issues that the applicants hope to have determined before any others are common issues No. 10 and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Hewitt Action given its current status not all issues can be identified. However Hewitt notes that based on the pleadings some of the liability and causation issues are likely to be:</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was Aon Hewitt's client?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Aon Hewitt's advice governed by [the] Master Consulting Agreement [between it and the HBT/HBT Trustees]?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any claim barred by the contractual limitation period in the Master Consulting Agreement?</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any claim covered by the indemnity provision with respect to claims by the HBT or their affiliates?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scope of administrative services that the HBT agreed to provide Trust No. 1 and Trust No. 2 under the Administration Agreement dated October 1, 1999?</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scope of Aon Hewitt's work on Trust No.1 and Trust No. 2?</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course of dealings between the parties for the actuarial work from the creation of Trust No. 1 from 1999?</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Aon Hewitt retained to provide advice with respect to collective bargaining matters by the HSA?</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this advice include advice in terms of what the allocation should be of the Government of BC's signing bonus of $45.87 million between bonus payments to individual HSA members and Trust No. 1 and Trust No. 2?</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advice, if any, from Aon Hewitt (and others) did the HSA, the Plaintiff Trustees or the HBT/HBT Trustees rely on in making the allocation between bonus payments and payments to the Trusts?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advice given by Aon Hewitt regarding the allocation (or other advice related to the Trusts) did it meet an actuary's professional standard of care?</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professional standard of care in the circumstances?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it be said that the alleged advice to the HSA or the Plaintiff Trustees caused a loss to the HSA?</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it be said that the alleged advice to the HSA or the Plaintiff Trustees caused a loss to the Plaintiff Trustees?</w:t>
      </w:r>
    </w:p>
    <w:p>
      <w:pPr>
        <w:numPr>
          <w:numId w:val="5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impact on causation that the HSA (through its members) received the same signing bonus of $45.87 million regardless of any alleged advice? Did HSA suffer any loss?</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is the HSA legally distinct from its members?</w:t>
      </w:r>
    </w:p>
    <w:p>
      <w:pPr>
        <w:numPr>
          <w:numId w:val="5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there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the actions of the HSA, Plaintiff Trustees or the HBT/HBT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 to Hear Both Proceedings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application is brought under Rule 22-5(8)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may be consolidated at any time by order of the court or may be ordered to be tried at the same time or on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relief sought is discretionary. In exercising its discretion a court must "decide whether the degree of commonality and intertwining of issues as revealed in the pleadings outweighs prejudicial factors raised by the party opposing the order" (</w:t>
      </w:r>
      <w:r>
        <w:rPr>
          <w:rFonts w:ascii="arial" w:eastAsia="arial" w:hAnsi="arial" w:cs="arial"/>
          <w:i/>
          <w:color w:val="000000"/>
          <w:sz w:val="20"/>
          <w:lang w:val="en-US" w:eastAsia="en-US" w:bidi="ar-SA"/>
        </w:rPr>
        <w:t>Liu v. Tsai</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2017 BCSC 221</w:t>
        </w:r>
      </w:hyperlink>
      <w:r>
        <w:rPr>
          <w:rFonts w:ascii="arial" w:eastAsia="arial" w:hAnsi="arial" w:cs="arial"/>
          <w:color w:val="000000"/>
          <w:sz w:val="20"/>
          <w:lang w:val="en-US" w:eastAsia="en-US" w:bidi="ar-SA"/>
        </w:rPr>
        <w:t xml:space="preserve">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"foundation" of an application under Rule 22-5(8) is the pleadings: </w:t>
      </w:r>
      <w:r>
        <w:rPr>
          <w:rFonts w:ascii="arial" w:eastAsia="arial" w:hAnsi="arial" w:cs="arial"/>
          <w:i/>
          <w:color w:val="000000"/>
          <w:sz w:val="20"/>
          <w:lang w:val="en-US" w:eastAsia="en-US" w:bidi="ar-SA"/>
        </w:rPr>
        <w:t>Merritt v. Imasco Enterprises Inc.</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[1992] B.C.J. No. 160</w:t>
        </w:r>
      </w:hyperlink>
      <w:r>
        <w:rPr>
          <w:rFonts w:ascii="arial" w:eastAsia="arial" w:hAnsi="arial" w:cs="arial"/>
          <w:color w:val="000000"/>
          <w:sz w:val="20"/>
          <w:lang w:val="en-US" w:eastAsia="en-US" w:bidi="ar-SA"/>
        </w:rPr>
        <w:t xml:space="preserve">, [1992] B.C.W.L.D. 513 (B.C.S.C.) at para. 19 (W.L.), followed in </w:t>
      </w:r>
      <w:r>
        <w:rPr>
          <w:rFonts w:ascii="arial" w:eastAsia="arial" w:hAnsi="arial" w:cs="arial"/>
          <w:i/>
          <w:color w:val="000000"/>
          <w:sz w:val="20"/>
          <w:lang w:val="en-US" w:eastAsia="en-US" w:bidi="ar-SA"/>
        </w:rPr>
        <w:t>Van Der Beke v. Halford Estate</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2005 BCSC 270</w:t>
        </w:r>
      </w:hyperlink>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Egan v. Insurance Corporation of British Columbia</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2010 BCSC 1042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Robak Industries Ltd. v. Gardner</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2006 BCSC 1628</w:t>
        </w:r>
      </w:hyperlink>
      <w:r>
        <w:rPr>
          <w:rFonts w:ascii="arial" w:eastAsia="arial" w:hAnsi="arial" w:cs="arial"/>
          <w:color w:val="000000"/>
          <w:sz w:val="20"/>
          <w:lang w:val="en-US" w:eastAsia="en-US" w:bidi="ar-SA"/>
        </w:rPr>
        <w:t>, Satanove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The parties agree that my decision is a discretionary one to be exercised after weighing the factors set out in </w:t>
      </w:r>
      <w:r>
        <w:rPr>
          <w:rFonts w:ascii="arial" w:eastAsia="arial" w:hAnsi="arial" w:cs="arial"/>
          <w:i/>
          <w:color w:val="000000"/>
          <w:sz w:val="20"/>
          <w:lang w:val="en-US" w:eastAsia="en-US" w:bidi="ar-SA"/>
        </w:rPr>
        <w:t>Merritt v. Imasco Enterprises Inc</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(1992), 2 C.P.C. (3d) 275</w:t>
        </w:r>
      </w:hyperlink>
      <w:r>
        <w:rPr>
          <w:rFonts w:ascii="arial" w:eastAsia="arial" w:hAnsi="arial" w:cs="arial"/>
          <w:color w:val="000000"/>
          <w:sz w:val="20"/>
          <w:lang w:val="en-US" w:eastAsia="en-US" w:bidi="ar-SA"/>
        </w:rPr>
        <w:t xml:space="preserve"> at 282 (B.C.S.C.). In </w:t>
      </w:r>
      <w:r>
        <w:rPr>
          <w:rFonts w:ascii="arial" w:eastAsia="arial" w:hAnsi="arial" w:cs="arial"/>
          <w:i/>
          <w:color w:val="000000"/>
          <w:sz w:val="20"/>
          <w:lang w:val="en-US" w:eastAsia="en-US" w:bidi="ar-SA"/>
        </w:rPr>
        <w:t>Merritt, supra</w:t>
      </w:r>
      <w:r>
        <w:rPr>
          <w:rFonts w:ascii="arial" w:eastAsia="arial" w:hAnsi="arial" w:cs="arial"/>
          <w:color w:val="000000"/>
          <w:sz w:val="20"/>
          <w:lang w:val="en-US" w:eastAsia="en-US" w:bidi="ar-SA"/>
        </w:rPr>
        <w:t>, Master Kirkpatrick, as she then was, set out these two tests to be met for separate actions to be heard together:</w:t>
      </w:r>
    </w:p>
    <w:p>
      <w:pPr>
        <w:numPr>
          <w:numId w:val="5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pleadings disclose common claims, disputes and relationships between the parties?</w:t>
      </w:r>
    </w:p>
    <w:p>
      <w:pPr>
        <w:numPr>
          <w:numId w:val="6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regard to matters outside the pleadings, are the claims so interwoven as to make separate trials at different times before different judges undesirable and fraught with problems and economic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If the first test is passed then I must go on to consider the second test and specifically whether:</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sought will create a saving in pre-trial procedures;</w:t>
      </w:r>
    </w:p>
    <w:p>
      <w:pPr>
        <w:numPr>
          <w:numId w:val="6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a real reduction in the number of trial days taken up by the trials being heard at the same time;</w:t>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potential for a party to be seriously inconvenienced by being required to attend a trial in which that party may have only a marginal interest;</w:t>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a real savings in experts' time and witness fees;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actions is at a more advanced stage than the other;</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will result in a delay of the trial of one of the actions and, if so, whether any prejudice which a party may suffer as a result of that delay outweighs the potential benefits which a combined trial might otherwise have; and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substantial risk that separate trials will result in inconsistent findings on identical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 result, there is a threshold test of commonality and only if that is met does the analysis proceed to the second test, which considers the more practical matters arising from the proposed joint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Additional to the above considerations however is that the Watt Action is a class action and the Hewitt Action is not. As a class action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governs the Watt Action. The application to have a civil proceeding heard at the same time as a class action raises several issues and complexities which will be discussed further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applicants say the events that give rise to both actions are not in dispute. They submit that the key issues common to both actions are the determination of the amount of the LTD Stabilization Grant in March of 2006, and the 2012 HSA referendum. They submit that the answer to those questions will require the same witnesses, the same legal argument, and the same court time be spent on it in each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They argue that hearing the two actions at the same time would:</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Avoid the necessity for witnesses to testify twice;</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Eliminate the significant risk that separate trials may cause inconsistent findings on identical issues;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Avoid the unnecessary legal costs and duplication of court time resulting from having the same issue and evidence heard twice.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in 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Watt and Mr. Hensman oppose the applications on several grounds. Firstly with respect to hearing the two actions at the same time they submit:</w:t>
      </w:r>
      <w:r>
        <w:rPr>
          <w:rFonts w:ascii="arial" w:eastAsia="arial" w:hAnsi="arial" w:cs="arial"/>
          <w:sz w:val="20"/>
          <w:lang w:val="en-US" w:eastAsia="en-US" w:bidi="ar-SA"/>
        </w:rPr>
        <w:cr/>
      </w:r>
    </w:p>
    <w:p>
      <w:pPr>
        <w:numPr>
          <w:numId w:val="7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Class Action different law firms represent the HSA and the Trustees and in the Hewitt Action the same counsel represents the HSA and the two Trusts. The applicants did not provide any suggestions on how the mechanics of a trial of both actions at the same time would work given the fact that the HSA would be represented by two sets of different lawyers;</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Hewitt Action are different parties than in the Class Action. The plaintiffs in the Class Action are not parties to the Hewitt Action. Hewitt is a defendant in the Hewitt Action but not the Class Action. In addition, Hewitt has made a third party claim against the Trustees of the HBT who are alleged to have administered the trusts on behalf of the Trustees. The HBT has its own counsel. The HBT is not a party to the Class Action. Finally, Trust 3 is not a party to the Hewitt Action;</w:t>
      </w:r>
    </w:p>
    <w:p>
      <w:pPr>
        <w:numPr>
          <w:numId w:val="7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case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should not be heard with another civil proceeding as the certification process has addressed judicial economy already by having several similar cases tried together, and to further consolidate may defeat the benefits of the class action legislation; and,</w:t>
      </w:r>
    </w:p>
    <w:p>
      <w:pPr>
        <w:numPr>
          <w:numId w:val="7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claims, disputes and relationships do not exist between the parties. The two actions are not so interwoven that separate trials at different times would be undesirable. There is unlikely to be any savings in pre-trial procedures by having the two actions heard simultaneously.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Hewitt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Hewitt claims that the orders sought will not serve the objectives of a just, speedy and inexpensive determination of the Hewitt Action. The Hewitt Action has remained in infancy due to years of inaction by the plaintiffs who have clearly focused on the Class Action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Hewitt claims it was retained by the HBT as agent of the applicant Trustees, not by the HSA. Further, Hewitt alleges that it was never retained regarding advice related to the collective bargaining that led to the 2006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Hewitt also pleads that the civil plaintiffs' reliance on Hewitt's valuations for the years leading up to the collective agreement is in issue as the valuations were not prepared for collective bargaining or future planning, were not used by the civil plaintiffs at the time for the purposes now asserted, and if they were used they should not have been used in that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They also deny there was a deficit and if there was it was not caused or contributed to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Finally, Hewitt submits that the nature of the claim in the Hewitt Action and the key issues are significantly different than in the Class Action to which they are not a party nor had any involvement.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HSA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Ferris, Q.C., counsel for HSA in the Class Action, submits the issue in the Class Action is now whether there was a contract and, if so, was it breached. He argues the reference to two different counsel representing the HSA in the Class Action and in the Hewitt Action must be assessed not on general principle but on whether it will make a difference. He submits it will not, saying that there is no overlap of issues but rather simply a minor overlap in witnesses, namely Cindy Stewart and Reid Johnson, who were both Trustees and Presidents of the HSA at one time. He submits the trial judge can manage the issue and that it is really a question of whether or not a party will be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He further submits that the question of hearing the Class Action with the Hewitt Action, because of the stages of the actions in the litigation process, does not raise issues that would have arisen if the application had been made before certification. He suggests that the procedural issues now do not differ significantly and the terms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do not at this stage change the nature of the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Trustees of the Healthcare Benefits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Trustees of the HBT take no position on the relief sought in the application other than a request that if the application to have the actions heard at the same time is granted that they not be bound by the litigation plan as they took no part in its creation.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Respecting Hearing the Two Proceedings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preliminary test of whether or not common claims, disputes and relationships exist between the parties is not met. This issue is resolved on the pleadings. There are different parties and in particular different plaintiffs in the two actions. In addition the contractual claims differ. The Class Action involves two contracts. It involves a claim for breach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which is not a claim in the Hewitt Action. The Class Action also involves a breach of fiduciary duty claim, while the Hewitt Action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addition, while issues related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 in both Actions, the duties of care, their scope, and to whom they were owed differ. The Hewitt Action relates to the duties actuaries owe to their clients. In contrast the Class Action relates to the duties of the HSA and the Trustees to individual disabled members of the HSA. The damages claimed differ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is apparent the potential areas of commonality are limited in light of the issues in the Class Action and the issues in the Hewitt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Of particular significance is the fact that one action is a class action and the other a civil action. The applicants refer to a number of cases, all of which are either distinguishable on their facts or are authorities where the application to hear matters at the same time was refused. In </w:t>
      </w:r>
      <w:r>
        <w:rPr>
          <w:rFonts w:ascii="arial" w:eastAsia="arial" w:hAnsi="arial" w:cs="arial"/>
          <w:i/>
          <w:color w:val="000000"/>
          <w:sz w:val="20"/>
          <w:lang w:val="en-US" w:eastAsia="en-US" w:bidi="ar-SA"/>
        </w:rPr>
        <w:t>Peel v. Western Delta</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2003 BCSC 784</w:t>
        </w:r>
      </w:hyperlink>
      <w:r>
        <w:rPr>
          <w:rFonts w:ascii="arial" w:eastAsia="arial" w:hAnsi="arial" w:cs="arial"/>
          <w:color w:val="000000"/>
          <w:sz w:val="20"/>
          <w:lang w:val="en-US" w:eastAsia="en-US" w:bidi="ar-SA"/>
        </w:rPr>
        <w:t xml:space="preserve">, counsel for the plaintiffs was the same in both actions and did not oppose the application to have the two matters set for hearing at the same time (para. 5).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the defendants and plaintiffs in the two actions were both represented by the same counsel hence joinder was practical. Both cases are clearly distinguishable on their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applicants also refer to </w:t>
      </w:r>
      <w:r>
        <w:rPr>
          <w:rFonts w:ascii="arial" w:eastAsia="arial" w:hAnsi="arial" w:cs="arial"/>
          <w:i/>
          <w:color w:val="000000"/>
          <w:sz w:val="20"/>
          <w:lang w:val="en-US" w:eastAsia="en-US" w:bidi="ar-SA"/>
        </w:rPr>
        <w:t>Simmonds v. Victoria (City)</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2016 BCSC 951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Norman v. Maple Ridge (District)</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2015 BCSC 17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Hurstfield v. Hektoen</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2011 BCSC 1289</w:t>
        </w:r>
      </w:hyperlink>
      <w:r>
        <w:rPr>
          <w:rFonts w:ascii="arial" w:eastAsia="arial" w:hAnsi="arial" w:cs="arial"/>
          <w:color w:val="000000"/>
          <w:sz w:val="20"/>
          <w:lang w:val="en-US" w:eastAsia="en-US" w:bidi="ar-SA"/>
        </w:rPr>
        <w:t>, all of which are cases where orders that the trials be heard at the same time were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addition, none of the cases cited by the Trustees involved a class action certified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or similar legislation, being heard at the same time as a civil action. Indeed the weight of authority is against such joinder.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Abdulrahim v. Nav Canada</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2010 ONSC 5542</w:t>
        </w:r>
      </w:hyperlink>
      <w:r>
        <w:rPr>
          <w:rFonts w:ascii="arial" w:eastAsia="arial" w:hAnsi="arial" w:cs="arial"/>
          <w:color w:val="000000"/>
          <w:sz w:val="20"/>
          <w:lang w:val="en-US" w:eastAsia="en-US" w:bidi="ar-SA"/>
        </w:rPr>
        <w:t>, a class action arising from the crash of an Air France plane, the defendant Nav Canada sought an order that other actions arising from the same crash be either consolidated into a single liability trial or, in the alternative that the actions be tried one after the other. The class action was ready for trial. Passengers that had opted out of the class action brought the other actions. They were not ready for trial. The Court denied the application and, noting the difference between class proceedings and regular proceedings, said this:</w:t>
      </w:r>
      <w:r>
        <w:rPr>
          <w:rFonts w:ascii="arial" w:eastAsia="arial" w:hAnsi="arial" w:cs="arial"/>
          <w:sz w:val="20"/>
          <w:lang w:val="en-US" w:eastAsia="en-US" w:bidi="ar-SA"/>
        </w:rPr>
        <w:cr/>
      </w:r>
    </w:p>
    <w:p>
      <w:pPr>
        <w:numPr>
          <w:numId w:val="7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authorities acknowledge that class actions, by their very nature, avoid a multiplicity of proceedings and that the rules concerning consolidation of ordinary actions should be applied with some caution to class actions. ... a class action cannot be treated as being the same as any other action for the purposes of a motion such as this. A class action is the very embodiment of the principle that a multiplicity of proceedings should be avoided. In permitting a claim to be advanced on behalf of numerous similarly-situated individuals, the class action promotes access to justice and judicial economy. ... It would be a strange perversion of the intent of the statute if those who opt out are permitted to fetter the progress of the class action. It would be even stranger if those opt-outs could sit on the sidelines and do nothing while the class action marches to the finish line and then call "time out" so they can catch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Kotai v. Queen of the North (Ship)</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2008 BCSC 1398</w:t>
        </w:r>
      </w:hyperlink>
      <w:r>
        <w:rPr>
          <w:rFonts w:ascii="arial" w:eastAsia="arial" w:hAnsi="arial" w:cs="arial"/>
          <w:color w:val="000000"/>
          <w:sz w:val="20"/>
          <w:lang w:val="en-US" w:eastAsia="en-US" w:bidi="ar-SA"/>
        </w:rPr>
        <w:t>, the court refused to permit a class action and other actions arising from the sinking of the vessel to be heard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Northfield Capital Corp. v. Aurelian Resources Inc</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(2007), 84 O.R. (3d) 748</w:t>
        </w:r>
      </w:hyperlink>
      <w:r>
        <w:rPr>
          <w:rFonts w:ascii="arial" w:eastAsia="arial" w:hAnsi="arial" w:cs="arial"/>
          <w:color w:val="000000"/>
          <w:sz w:val="20"/>
          <w:lang w:val="en-US" w:eastAsia="en-US" w:bidi="ar-SA"/>
        </w:rPr>
        <w:t xml:space="preserve"> (Ont. S.C.), the court declined to permit consolidation of a trial of a civil action and a class action or joint discoveries in the two actions noting that such would be contrary to the purpose and goals of the </w:t>
      </w:r>
      <w:r>
        <w:rPr>
          <w:rFonts w:ascii="arial" w:eastAsia="arial" w:hAnsi="arial" w:cs="arial"/>
          <w:i/>
          <w:color w:val="000000"/>
          <w:sz w:val="20"/>
          <w:lang w:val="en-US" w:eastAsia="en-US" w:bidi="ar-SA"/>
        </w:rPr>
        <w:t>Class Proceedings Act 1992</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S.O. 1992, c. 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view the application to have the actions heard at the same time should be dismissed because, in addition to the lack of commonality discussed above:</w:t>
      </w:r>
      <w:r>
        <w:rPr>
          <w:rFonts w:ascii="arial" w:eastAsia="arial" w:hAnsi="arial" w:cs="arial"/>
          <w:sz w:val="20"/>
          <w:lang w:val="en-US" w:eastAsia="en-US" w:bidi="ar-SA"/>
        </w:rPr>
        <w:cr/>
      </w:r>
    </w:p>
    <w:p>
      <w:pPr>
        <w:numPr>
          <w:numId w:val="7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are not so interwoven that separate trials are undesirable;</w:t>
      </w:r>
    </w:p>
    <w:p>
      <w:pPr>
        <w:numPr>
          <w:numId w:val="7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are at different stages;</w:t>
      </w:r>
    </w:p>
    <w:p>
      <w:pPr>
        <w:numPr>
          <w:numId w:val="7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Joining the actions as requested would likely delay resolution of both with particular prejudice to the plaintiffs in the Class Action including loss of the proposed trial dates in 2019;</w:t>
      </w:r>
    </w:p>
    <w:p>
      <w:pPr>
        <w:numPr>
          <w:numId w:val="7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Action trial would be inconvenienced and in all probability the plaintiffs' expenses would increase;</w:t>
      </w:r>
    </w:p>
    <w:p>
      <w:pPr>
        <w:numPr>
          <w:numId w:val="8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Hewitt Action would also face increased expenses including attendance at the Class Action trial and potentially addressing the 65,000 pages of documents disclosed in the Class Action as compared to the 3,900 pages produced in the Hewitt Action;</w:t>
      </w:r>
    </w:p>
    <w:p>
      <w:pPr>
        <w:numPr>
          <w:numId w:val="8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estimates of alleged time savings suggested by the applicants are just that, estimates and in my view do not form a sufficiently reliable basis to conclude time savings would result;</w:t>
      </w:r>
    </w:p>
    <w:p>
      <w:pPr>
        <w:numPr>
          <w:numId w:val="8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costs can be awarded in the Hewitt Action they cannot in the Class Action (s. 37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hence Class Action members would have no claim for costs arising from the prolongation of the class proceeding if heard at the same time;</w:t>
      </w:r>
    </w:p>
    <w:p>
      <w:pPr>
        <w:numPr>
          <w:numId w:val="8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in the Class Action is, as in most class proceedings, working on a contingency fee basis. Such fee arrangements increase access to justice. If class counsel are faced with additional time and cost because of another action being heard at the same time, lawyers in the future may be discouraged from taking on class proceedings;</w:t>
      </w:r>
    </w:p>
    <w:p>
      <w:pPr>
        <w:numPr>
          <w:numId w:val="8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Class Action counsel would to an extent lose control of the conduct of the Class Action;</w:t>
      </w:r>
    </w:p>
    <w:p>
      <w:pPr>
        <w:numPr>
          <w:numId w:val="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risk of inconsistent findings is not significant as the presumption is that findings will be consistent: </w:t>
      </w:r>
      <w:r>
        <w:rPr>
          <w:rFonts w:ascii="arial" w:eastAsia="arial" w:hAnsi="arial" w:cs="arial"/>
          <w:i/>
          <w:color w:val="000000"/>
          <w:sz w:val="20"/>
          <w:lang w:val="en-US" w:eastAsia="en-US" w:bidi="ar-SA"/>
        </w:rPr>
        <w:t>McMartin v. Nestoruk</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2002 BCSC 282</w:t>
        </w:r>
      </w:hyperlink>
      <w:r>
        <w:rPr>
          <w:rFonts w:ascii="arial" w:eastAsia="arial" w:hAnsi="arial" w:cs="arial"/>
          <w:color w:val="000000"/>
          <w:sz w:val="20"/>
          <w:lang w:val="en-US" w:eastAsia="en-US" w:bidi="ar-SA"/>
        </w:rPr>
        <w:t xml:space="preserve"> at para. 11.</w:t>
      </w:r>
    </w:p>
    <w:p>
      <w:pPr>
        <w:numPr>
          <w:numId w:val="8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possible to anticipate issues that might arise if the matters were heard at the same time nor is it clear that such can be managed as asserted by the applicants. As the Court of Appeal noted on the appeal of the certification this case already raises "challenging issues" and "difficult issues of contract law" (paras. 1 and 2). It would not serve the interests of any of the parties to make a complex case more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noted by counsel for Hewitt the applicants are asking this court to venture into uncharted waters and the proposed order is completely unworkable.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application to have the two actions heard at the same time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turn now to the application to summarily resolve the two issues raised by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 to Hear Two Questions Ahead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For convenience I repeat the two questions that the applicants apply to have resolved in advance: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the Trustees breach their fiduciary duty to the Disabled HSA Members by failing to actively support a referendum seeking support to raise HSA union dues?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Were the trustees of Trust No. 1 and Trust No. 2 negligent or grossly negligent or, in the alternative, did the trustees of Trust No. 1 and Trust No. 2 fail to act in accordance with sound business practice by failing to properly obtain, and utilize, actuarial advice in determining the amount of funds to be placed in Trust No.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application is brought under Rule 12-5(67)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which allows the court to order, "one or more questions of fact or law arising in an action be tried and determined before the others", and Rule 12-5(68) that permits separate issues to be heard by different modes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test for such an order is found in </w:t>
      </w:r>
      <w:r>
        <w:rPr>
          <w:rFonts w:ascii="arial" w:eastAsia="arial" w:hAnsi="arial" w:cs="arial"/>
          <w:i/>
          <w:color w:val="000000"/>
          <w:sz w:val="20"/>
          <w:lang w:val="en-US" w:eastAsia="en-US" w:bidi="ar-SA"/>
        </w:rPr>
        <w:t>Nguyen v. Bains</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2001 BCSC 1130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Rule itself does not say how that power should be exercised. Rather, assistance is provided in two ways. The first is found in Rule 1(5). The second is in previous decisions of the Court.</w:t>
      </w:r>
    </w:p>
    <w:p>
      <w:pPr>
        <w:numPr>
          <w:numId w:val="8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1(5) sets out the overall object of the Supreme Court Rules. That object is "to secure the just, speedy and inexpensive determination of every proceeding on its merits." Rule 39(29) must be interpreted with that object in mind.</w:t>
      </w:r>
    </w:p>
    <w:p>
      <w:pPr>
        <w:numPr>
          <w:numId w:val="8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Courts have considered the question of when some issues should be tried before others. These are some of the points that have been made:</w:t>
      </w:r>
    </w:p>
    <w:p>
      <w:pPr>
        <w:numPr>
          <w:numId w:val="9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judge's discretion to sever an issue is probably not restricted to extraordinary or exceptional cases. However, it should not be exercised in favour of severance unless there is a real likelihood of a significant saving in time and expense.</w:t>
      </w:r>
    </w:p>
    <w:p>
      <w:pPr>
        <w:numPr>
          <w:numId w:val="9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may be appropriate if the issue to be tried first could be determinative in that its resolution could put an end to the action for one or more parties.</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is most appropriate when the trial is by judge alone.</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should generally not be ordered when the issue to be tried is interwoven with other issues in the trial. This concern may be addressed by having the same judge hear both parts of the trial and ordering that the evidence in the first part applies to the second part.</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party's financial circumstances are one factor to consider in the exercise of the discretion.</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pre-trial severance ruling will be subject to the ultimate discretion of the trial judge.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BC Practice: Issue 37 (May/00) where the authors provide a useful overview of the relevant cases and issues arising from them, and </w:t>
      </w:r>
      <w:r>
        <w:rPr>
          <w:rFonts w:ascii="arial" w:eastAsia="arial" w:hAnsi="arial" w:cs="arial"/>
          <w:i/>
          <w:color w:val="000000"/>
          <w:sz w:val="20"/>
          <w:lang w:val="en-US" w:eastAsia="en-US" w:bidi="ar-SA"/>
        </w:rPr>
        <w:t>Goldman, Sachs, &amp; Co. v. Sessions</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[1999] B.C.J. No. 1226</w:t>
        </w:r>
      </w:hyperlink>
      <w:r>
        <w:rPr>
          <w:rFonts w:ascii="arial" w:eastAsia="arial" w:hAnsi="arial" w:cs="arial"/>
          <w:color w:val="000000"/>
          <w:sz w:val="20"/>
          <w:lang w:val="en-US" w:eastAsia="en-US" w:bidi="ar-SA"/>
        </w:rPr>
        <w:t xml:space="preserve"> (S.C.).)</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of these points is that the Court must be satisfied that there is a real likelihood of a significant saving in time and expense. More than a bare, or mere, assertion that there is a real likelihood of a significant saving in time and expense is required to satisfy the Court. That is, there must be case specific information that there will likely be a significant saving in time and expense. The Court should be told what specific issues, evidence or legal arguments would be avoided and why, as well as how much time and money would likely be saved as a result.</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also a number of practical concerns that should be taken into account in deciding whether there is a real likelihood of a significant saving in time and expense. The following are examples.</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Scheduling a Second Hearing</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the second hearing will immediately follow the first, even if one Judge hears both parts of the trial, and even if the evidence of the first part applies to the second. Instead, the Judge will probably need to reserve the decision and give the result later on. The second part of the hearing cannot take place until that decision is made. It is often difficult to find an early court date for the second part of the trial. It must, of course, suit the Judge's schedule. This can be difficult because the Court is a Circuit Court where Judges travel throughout the Province. Judges receive their assignments at least a year in advance.</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Scheduling problems also arise with respect to the parties, the lawyers and the witnesses. Lawyers' schedules are difficult to co-ordinate, particularly when several lawyers are involved. The parties and the witnesses will generally have busy schedules as well.</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Unforeseen Events</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noted by Mr. Justice Thackray in </w:t>
      </w:r>
      <w:r>
        <w:rPr>
          <w:rFonts w:ascii="arial" w:eastAsia="arial" w:hAnsi="arial" w:cs="arial"/>
          <w:i/>
          <w:color w:val="000000"/>
          <w:sz w:val="20"/>
          <w:lang w:val="en-US" w:eastAsia="en-US" w:bidi="ar-SA"/>
        </w:rPr>
        <w:t>Beddow v. Megyesi</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(1992), 63 B.C.L.R. (2d) 158</w:t>
        </w:r>
      </w:hyperlink>
      <w:r>
        <w:rPr>
          <w:rFonts w:ascii="arial" w:eastAsia="arial" w:hAnsi="arial" w:cs="arial"/>
          <w:color w:val="000000"/>
          <w:sz w:val="20"/>
          <w:lang w:val="en-US" w:eastAsia="en-US" w:bidi="ar-SA"/>
        </w:rPr>
        <w:t xml:space="preserve"> (S.C.), other problems can arise. A party, a lawyer or even Judge may become permanently unavailable for a wide variety of reasons.</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Preparing for the Case More than Once</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participants will have to "get up to speed" on all of the issues for the second trial because of the passage of time and intervening events. That is time consuming and expensive for the parties to the law suit.</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Memory of the Evidence</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will not have to be repeated if the same Judge hears the first and second part of the trial. However, if there is a delay between the first part of the trial and the second part of the trial, it is more difficult for everyone involved to remember the evidence presented at the first hearing accurately.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discretion under Rules 12-5(67) and (68) is to be exercised "in accordance with the general objective of the Rules to 'secure the just, speedy and inexpensive determination of every proceeding on its merits'" (</w:t>
      </w:r>
      <w:r>
        <w:rPr>
          <w:rFonts w:ascii="arial" w:eastAsia="arial" w:hAnsi="arial" w:cs="arial"/>
          <w:i/>
          <w:color w:val="000000"/>
          <w:sz w:val="20"/>
          <w:lang w:val="en-US" w:eastAsia="en-US" w:bidi="ar-SA"/>
        </w:rPr>
        <w:t>Blue Line Hockey Acquisition Co. v. Orca Bay Hockey Limited Partnership</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2006 BCSC 1716</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applicants submit that resolution of the two discrete issues will create significant savings in time and expense. In particular they say that determination of common issue No. 12, namely whether the trustees of Trust No. 2 and Trust No. 3 were negligent or grossly negligent or in the alternative did trustees of Trust No. 1 and Trust No. 2 fail to act under sound business practice by failing to properly obtain, and utilize, actuarial advice in determining the funds to be placed in Trust No. 2 will be finally dispositive of either the Class Act or the Hewitt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They argue resolution of the issues will be finally dispositive because if the Trustees asked Hewitt for their actuarial advice in determining the proper amount required for the LTD Stabilization Grant, then the Class Action allegation that they were negligent in failing to do so is finally determined. If they did not ask Hewitt for their actuarial advice in determining the proper amount for the LTD Stabilization Grant, then their claim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finally determined. In any event, one of these actions will be finally determined (as it relates to the Trustees) and neither the court time nor the counsel expense will be required to pursue one of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They further submit that since both actions will be held before a Judge alone "any issues arising from the severance can be dealt with by effective case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They also submit: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of whether Hewitt was asked by the Trustees to determine the amount of the LTD Stabilization Grant is not interwoven with other issues in the trial. Rather, it is a preliminary issue from which additional issues only arise if the Trustees did in fact ask Hewitt to make that calculation. Any concerns arising out of this issue being heard first could be addressed by having the same judge hear both parts of the trial, and making an order that the evidence in the first part of the trial applies to the second part of the trial. It is clear that severing these two issues will advance the two proceedings, and eliminate the necessity for other issues to be heard at all. This will undoubtedly result in a significant savings of both legal expense and the Court's time.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in 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state that their submissions on the application to have the two actions heard simultaneously apply equally to the application to try the two issues in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Firstly, they submit that none of the authorities relied on by the Trustees on trying certain questions before the others involve class action decisions. They also note that s. 40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provides that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"apply to class proceedings to the extent that those rules are not in conflict with this Act" and that s. 12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addresses the Court's ability to manage the proceeding:</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at any time make any order it considers appropriate respecting the conduct of a class proceeding to ensure its fair and expeditious determination and, for that purpose, may impose on one or more of the parties the terms it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They further submit that to try common issues 10 and 12 first and in isolation from the other common issues does not make sense, noting that because there is an overlap between the Trustees and the senior executives of the HSA the same witnesses will likely testify about all of the common issues. Relatedly, there are 11 common issues in the class action, six of which involve the HSA only, and of the remaining five issues two involve determinations against the Trustees and the HSA jointly and three are against the Trustees alone (issues 10, 11 and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addition, the plaintiffs say that since the Trusts lack sufficient funds to pay the judgment sought in the Class Action, trying the issues against the Trustees in isolation would still require a determination of the issues against the HSA whereas the converse would not necessarily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They also submit that while common issues 10 and 12 ask whether the Trustees breached their fiduciary duty to the class members and whether the Trustees were negligent or grossly negligent or failed to act in accordance with sound business practice, the applicants have ignored common issue 11. That issue asks whether the Trustees owed certain duties of care to the disabled HSA members and is tied to common issue 12 and potentially common issue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Finally, the plaintiffs note that if the issues are capable of summary resolution there has been no explanation for why the applicants have not sought to determine the Hewitt Action summarily.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Hewitt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Hewitt takes no position on whether the requested severance makes sense in the Class Action. However, they submit there is no principled basis upon which to delineate the two issues raised by the civil plaintiffs in the Hewitt Action. Therefore Hewitt also opposes the application to summarily determine the two issues. They submit that the proposed order would amount to litigating in a piecemeal fashion and that doing so would problematically force the resolution of those issues to take place in a vacuum. They submit severance would more likely impede than effect a just and speedy resolution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They also submit that in the Hewitt Action there are several interwoven issues that render severing of any portion of the Hewitt Action unmanageable. For example, they rely on the lengthy list of potential issues in the Hewitt Action set out earlier in this judgment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Additionally, they note that fundamental issues exist in the Hewitt Action in respect of the alleged damages suffered by the civil plaintiffs, namely:</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Assuming Aon Hewitt's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established, what loss, if any was suffered by the HSA as a result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Assuming Aon Hewitt's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established, what loss, if any was suffered by the Plaintiff Trustees as a result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was any deficien[cy] in Trust No. 1 and Trust No. 2 the result of the economic downturn in 2008?</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was any deficien[cy] in Trust No. 1 and Trust No. 2 the result of investment decisions made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Finally, while Hewitt is not saying no issues may be suitable for summary trial they submit that almost all issues in the Hewitt Action require evidence from discoveries and potentially further document production.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HSA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HSA submits the fact the plaintiffs in the Class Action want other issues resolved is not the test. Rather it is whether the issues raised by the applicants can be resolved summarily.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of Severance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two issues proposed to be resolved in advance are not discrete issues as suggested by the applicants. Nor will their resolution be finally dispositive of either the Class Action or the Hewitt Action. They will not "clearly result in a significant saving of court time and unnecessary expenditure of legal fees" as submitted by the applicants. To the contrary their severance is likely to impede the "just, speedy and inexpensive determination" of the actions. Resolution of the two issues would not end matters between the parties to 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It is readily apparent that the proposed issues to be severed are interwoven with the remaining issues in the Hewitt Action including issues of causation,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damages. The questions that the applicants have excised for separate consideration should not be answered except in the context of all evidence relevant to the parties' relationship including Hewitt's relationship with the HSA, the Trustees and the HBT/HBT Trustees. Similar concerns arise in the Class Action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O'Neill v. Doe</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2016 BCSC 2056</w:t>
        </w:r>
      </w:hyperlink>
      <w:r>
        <w:rPr>
          <w:rFonts w:ascii="arial" w:eastAsia="arial" w:hAnsi="arial" w:cs="arial"/>
          <w:color w:val="000000"/>
          <w:sz w:val="20"/>
          <w:lang w:val="en-US" w:eastAsia="en-US" w:bidi="ar-SA"/>
        </w:rPr>
        <w:t>, severing issues must be approached with caution: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starting point for severance is Rule 12-5(67), which permits the court to order that one or more questions of fact or law be tried and determined before others. The court's authority to grant severance is discretionary.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 precise standard that governs the exercise of that discretion is not entirely settled. It is clear, however, that severance orders are to be made infrequently, carefully and bearing in mind that multiplicity of proceedings is to be discouraged (</w:t>
      </w:r>
      <w:r>
        <w:rPr>
          <w:rFonts w:ascii="arial" w:eastAsia="arial" w:hAnsi="arial" w:cs="arial"/>
          <w:i/>
          <w:color w:val="000000"/>
          <w:sz w:val="20"/>
          <w:lang w:val="en-US" w:eastAsia="en-US" w:bidi="ar-SA"/>
        </w:rPr>
        <w:t>Kitsul v. Slater Vecchio LLP</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2015 BCSC 1394</w:t>
        </w:r>
      </w:hyperlink>
      <w:r>
        <w:rPr>
          <w:rFonts w:ascii="arial" w:eastAsia="arial" w:hAnsi="arial" w:cs="arial"/>
          <w:color w:val="000000"/>
          <w:sz w:val="20"/>
          <w:lang w:val="en-US" w:eastAsia="en-US" w:bidi="ar-SA"/>
        </w:rPr>
        <w:t xml:space="preserve"> at para. 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Most often the court has articulated the test for severing liability from damages as requiring extraordinary, exceptional or compelling reasons. In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Justice McEwan emphasized at para. 16 that "where there is a doubt about the justification for severance the court ought to rule against it." The burden, certainly, is on the applicant.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courts have noted that the interrelatedness of issues is not always obvious or immediately apparent, and are inclined to find it inappropriate to determine an issue summarily where it may be or is likely intertwined with others. In </w:t>
      </w:r>
      <w:r>
        <w:rPr>
          <w:rFonts w:ascii="arial" w:eastAsia="arial" w:hAnsi="arial" w:cs="arial"/>
          <w:i/>
          <w:color w:val="000000"/>
          <w:sz w:val="20"/>
          <w:lang w:val="en-US" w:eastAsia="en-US" w:bidi="ar-SA"/>
        </w:rPr>
        <w:t>SmartCentres Inc. v. EBA Engineering Consultants Ltd.</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2014 BCSC 2271</w:t>
        </w:r>
      </w:hyperlink>
      <w:r>
        <w:rPr>
          <w:rFonts w:ascii="arial" w:eastAsia="arial" w:hAnsi="arial" w:cs="arial"/>
          <w:color w:val="000000"/>
          <w:sz w:val="20"/>
          <w:lang w:val="en-US" w:eastAsia="en-US" w:bidi="ar-SA"/>
        </w:rPr>
        <w:t xml:space="preserve">, for example, which involved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land developers against engineering and environmental consultants regarding the preparation of their reports, Justice Butler concluded the issue of whether the limitation clause in the contract applied was not suitable for summary trial, although it was framed as a matter of contractual interpretation only. He found at para. 26 that the issue was likely intertwined with others, the full extent of which would only be determined at trial, and it would be problematic to address contentious contractual issues in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As submitted by counsel for Hewitt by way of analogy this is, in the context of a severance application, precisely the type of litigating in slices that the Court of Appeal has cautioned against in the summary trial context: see </w:t>
      </w:r>
      <w:r>
        <w:rPr>
          <w:rFonts w:ascii="arial" w:eastAsia="arial" w:hAnsi="arial" w:cs="arial"/>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summary, the applicants have not established that summary disposition of the two issues will save time or expense nor that summary disposition would be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application for severance and summary disposition of the two issues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6"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5"/>
          <w:headerReference w:type="default" r:id="rId886"/>
          <w:footerReference w:type="even" r:id="rId887"/>
          <w:footerReference w:type="default" r:id="rId888"/>
          <w:headerReference w:type="first" r:id="rId889"/>
          <w:footerReference w:type="first" r:id="rId8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1" w:history="1">
        <w:r>
          <w:rPr>
            <w:rFonts w:ascii="arial" w:eastAsia="arial" w:hAnsi="arial" w:cs="arial"/>
            <w:b/>
            <w:bCs/>
            <w:i/>
            <w:color w:val="0077CC"/>
            <w:kern w:val="32"/>
            <w:sz w:val="28"/>
            <w:szCs w:val="32"/>
            <w:u w:val="single"/>
            <w:shd w:val="clear" w:color="auto" w:fill="FFFFFF"/>
            <w:lang w:val="en-US" w:eastAsia="en-US" w:bidi="ar-SA"/>
          </w:rPr>
          <w:t>Westbank Society Seniors Housing Society v. Scuka Enterprises Ltd., [2013] B.C.J. No. 2825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 4, 10, 11 and 13,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S123787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2825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2360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236 A.C.W.S. (3d) 306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C.L.R. (4th) 114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C.C.L.T. (4th) 145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3896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Westbank Society Seniors Housing Society, Interior Health Authority and British Columbia Housing Management Commission, Plaintiffs, and Scuka Enterprises Ltd., Calibre Geotechnical Engineering Ltd., CBA Architecture Corp., Weiler Smith Bowers also known as Weiler Smith Bowers Consulting Structural Engineers, and EBA Engineering Consultants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7"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89" w:name="Keywords_40"/>
      <w:bookmarkEnd w:id="389"/>
      <w:r>
        <w:rPr>
          <w:rFonts w:ascii="arial" w:eastAsia="arial" w:hAnsi="arial" w:cs="arial"/>
          <w:b/>
          <w:color w:val="000000"/>
          <w:sz w:val="20"/>
          <w:lang w:val="en-US" w:eastAsia="en-US" w:bidi="ar-SA"/>
        </w:rPr>
        <w:t>Civil litigation — Civil procedure — Judgments and orders — Summary judgments — To dismiss action — Motion by the defendants for summary judgment dismissing the claim by the Health Authority dismissed — Plaintiffs permitted to amend pleadings — Plaintiffs sued defendants for negligent construction of an addition to a seniors' home — Health Authority claimed damages resulting from relocating tenants from addition after addition was evacuated and other associated losses — Health Authority's pleadings were deficient since they did not disclose basis of its claim in relation to addition — Not plain and obvious that Health Authority's claim for negligent performance of services and relational economic loss disclosed no reasonable cause of action.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Motion by the defendants for summary judgment dismissing the claim by the Health Authority dismissed — Plaintiffs permitted to amend pleadings — Plaintiffs sued defendants for negligent construction of an addition to a seniors' home — Health Authority claimed damages resulting from relocating tenants from addition after addition was evacuated and other associated losses — Health Authority's pleadings were deficient since they did not disclose basis of its claim in relation to addition — Not plain and obvious that Health Authority's claim for negligent performance of services and relational economic loss disclosed no reasonable cause of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90" w:name="Case Summary_37"/>
            <w:bookmarkEnd w:id="3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defendants for summary judgment dismissing the claim by the Health Authority on the grounds that the claim presented no general issue for trial or disclosed no reasonable claim. The defendant Scuka Enterprises constructed a 40-unit addition to a non-profit seniors' housing complex owned by the plaintiff Society. Shortly after occupying the building, structural defects were observed, and the addition was evacuated and later demolished. The Health Authority responsible for ensuring publicly-funded health services were provided, claimed damages resulting from relocating the tenants in the addition after the addition was evacuated and other associated losses. The Health Authority alleged the defendants owed a duty of care in the addition's design and construction and a breach of those duties of care. The Health Authority argued that it relied on the defendants in performing their roles to construct and design the addition.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91" w:name="Holdings of Court_32"/>
            <w:bookmarkEnd w:id="391"/>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Health Authority's pleadings were deficient since they did not disclose the basis of its claim in relation to the addition, including any facts relating to its contractual obligations or rights connected to the addition. No facts were pleaded to support the claim that the Health Authority had an interest in the addition such that the defendants should have taken care of its interests. The facts regarding the Health Authority's interest were material facts necessary to establish the defendants' tortious liability for the Health Authority's losses. Without a factual allegation that it had an interest in the addition, the claim failed to plead a material fact essential to its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pleaded and the action was bound to fail. Dismissing this claim would, however, be unjust because the claim was capable of amendment to support the claim for pure economic loss by the Health Authority. Assuming the facts stated in the claim could be proved, it was not plain and obvious that the Health Authority's claim for negligent performance of services and relational economic loss disclosed no reasonable cause of action. The plaintiffs would be able to amend their statement of claim to properly address the issues arising under the relational economic loss category. The plaintiffs might successfully plead and prove the addition was part of a joint venture or common venture between the Health Authority, the Society and BC Housing to provide assisted living housing to tenants occupying the addition when it began to fail as a result of ground movement.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92" w:name="Legislation Cited_31"/>
      <w:bookmarkEnd w:id="3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8"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1-3(1), Rule 9-5, Rule 9-6, Rule 9-6(5)(d)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93" w:name="Counsel_41"/>
      <w:bookmarkEnd w:id="3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9"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P.J. Selinger and J.B. Maryniuk.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Scuka Enterprises Ltd.: S.J. Berezowskyj.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Weiler Smith Bowers: T.D. Goepel.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94" w:name="Judgment_41"/>
      <w:bookmarkEnd w:id="394"/>
      <w:r>
        <w:pict>
          <v:line id="_x0000_s1230"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re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Interior Health Authority Claims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5" w:name="T.C. ARMSTRONG J._0"/>
            <w:bookmarkEnd w:id="395"/>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November 2005, Scuka Enterprises Ltd. ("Scuka") completed constructing a 40-unit Addition ("Addition") to a non-profit seniors' housing complex in West Kelowna, BC that Westbank Society Seniors Housing Society ("the Society") owned. Shortly after occupying the building, structural defects were observed, and the Addition was evacuated and later demolished.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allege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Scuka and Weiler Smith Bowers ("WSB") contributed to the defects and damages to the Addition. They also claim that Scuka breached its construction agreement with the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One of the plaintiffs, Interior Health Authority ("IHA"), is responsible for ensuring publicly-funded health services are provided to BC's southern interior. IHA claims damages resulting from relocating the tenants in the Addition after the Addition was evacuated and other associated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apply to dismiss IHA's claims pursuant to Rule 9-6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or, alternatively, that IHA's claims be struck pursuant to Rule 9-5. These reasons deal only with the claims of IHA that have been assigned to BC Housing. Where I refer to the plaintiff or plaintiffs in these reasons, I am referring only to the claims of IHA.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Rules 9-5 and 9-6 require the Court to consider all pleaded facts to be true. Some of the following background information is not in issue, and the parties anticipate some information, though necessarily true, will be proven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British Columbia Housing Management Commission ("BC Housing") is a Crown corporation mandated to develop affordable housing for low income persons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1998, the Society leased land on Gellatly Road in West Kelowna ("the Lands") from BC Housing, and it constructed a non-profit seniors' housing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2004, IHA issued a Request for Proposals ("RFP") under the Independent Living British Columbia program. The BC Government initiated the program to provide assisted living residences to "people of the Southern Interior of British Columbia". IHA initiated this request for proposals in conjunction with BC Housing.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Society responded to the RFP, and in 2004, it secured the contract to supply accommodation and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winning the RFP and becoming the service provider, the Society engaged the general contractor Scuka to design and build the Addition, and on November 3, 2004, Scuka entered into a design/build contract with the Society, and it engaged WSB as the project's structural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IHA was not directly involved in preparing the specifications for the Addition; nor was it involved in selecting Scuka as the Addition's contractor. Additionally, IHA was not party to the Addition's construction contract between Scuka and the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Society and Scuka's construction contract did not identify IHA as having any role or involvement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According to the pleadings, IHA's connection to the project was limited to discharging its general responsibility to provide publicly-funded assisted living services to "people of the Southern Interior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BC Housing financed the construction of the Addition, and IHA claims it participated in planning to ensure the Addition's suitability for tenants requiring assisted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late 2004, the construction of the Addition began on the land the Society leased from BC Housing; the Addition was connected to the original structure the Society built. IHA had no ownership interest in the Lands where the Addition was constructed, nor did it lease any part of the Addition or lands. In late 2005, tenants occupied the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June 2005, the Society entered into a tripartite agreement with IHA and InSite Hospitality and Health Services Inc. ("InSite") whereby the Society would be the sole provider of the assisted living services to the tenants after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Society had no experience in providing assisted living services. So in September 2005, InSite and IHA entered into an agreement ("IHA/InSite agreement") whereby InSite provided all assisted living services to the Addition's tenants and mentoring services to train the Society to assume full responsibility for the tenants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IHA/InSite agreement defines assisted living services as comprising "a private housing unit with a lockable door, hospitality services, and personal care services". Persons wishing to reside in the Addition required IHA's approval and had to enter into a tenancy agreement with InSite as the facility's operator. Presumably, although not stated, the Society would assume those tenancy agreements after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By late 2007, defects and damage to the Addition were observed, and by March 2008, all of the units had been evacuated. The building foundations of the Addition had begun to slide down the slope because of a previously undetected landslide causing the structure to be unsafe for occupancy.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Most of the tenants relocated to temporary facilities that did not provide assisted living services. IHA incurred additional expenses to provide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January 2012, the Addition was deemed unsafe for entry by anyone, and in June 2012, it was demolished.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BC Housing is the assignee of the rights, claims and causes of action of the Society and IHA.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November 2009, this action was commenced, and in January 2011, the amended statement of claim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plaintiffs have resolved their claims against various defendants, and their current claims are now against WSB and Scuka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against Scuka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apply to dismiss IHA's claims under Rules 9-6 (Summary Judgment) and 9-5 (Striking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Under Rule 9-6, the defendants argue the notice of civil claim dated January 31, 2011 ("NOCC") does not plead sufficient material facts to support IHA's claim for recovery of pure economic loss and cannot be improved by any amendments. Because the evidence before the Court fails to show the necessary elements of the pleaded cause of action, it lacks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and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Alternatively, under Rule 9-5, the defendants argue that it is plain and obvious that the pleadings disclose no reasonable claim and should be struck. IHA's NOCC, as it exists or as it may be amended, cannot succeed as a matter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 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argue that summary judgment should be granted because the pleadings do not reveal a genuine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To resist summary judgment, sufficient evidence should support a plaintiff's allegations to disclose a genuine issue for trial: </w:t>
      </w:r>
      <w:r>
        <w:rPr>
          <w:rFonts w:ascii="arial" w:eastAsia="arial" w:hAnsi="arial" w:cs="arial"/>
          <w:i/>
          <w:color w:val="000000"/>
          <w:sz w:val="20"/>
          <w:lang w:val="en-US" w:eastAsia="en-US" w:bidi="ar-SA"/>
        </w:rPr>
        <w:t>Healey v. Royal Bank of Canada et al</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2003 BCSC 342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Skybridge Investments Ltd. v. Metro Motors Ltd. (c.o.b. Metro Ford)</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Skybridge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If the necessary elements of the cause of action are not pleaded, then no genuine issues for trial exist and the action is bound to fail: </w:t>
      </w:r>
      <w:r>
        <w:rPr>
          <w:rFonts w:ascii="arial" w:eastAsia="arial" w:hAnsi="arial" w:cs="arial"/>
          <w:i/>
          <w:color w:val="000000"/>
          <w:sz w:val="20"/>
          <w:lang w:val="en-US" w:eastAsia="en-US" w:bidi="ar-SA"/>
        </w:rPr>
        <w:t>Memphis Rogues Ltd. v. Skalbania</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[1982] B.C.J. No. 1489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Scuka highlighted the following facts and argues the issue should be considered via summary trial:</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Scuka was not aware of IHA's involvement in the Addition when it contracted with the Society;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Scuka was not aware that IHA had any obligations regarding caring for or housing the Addition's tenants;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Scuka was not aware of what, if any, economic interests IHA had in the Addition;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Scuka was not aware, nor did it ever understand, that IHA was relying on it to protect its economic interests;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Scuka did not provide advice to IHA regarding the Addition;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IHA does not recall whether it was aware that Scuka was constructing the Addition;</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IHA does not recall having information about Scuka's skill or experience;</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IHA has no interest in the land or the Addition;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IHA was not involved in preparing the Addition's specifications;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IHA's connection to the project is limited to its responsibility for providing publicly funded healthcare services to the Addition's occupants.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argue the NOCC only contains allegations of damages regarding investigating the Addition's repair and the cost of relocating and housing its tenants. The claim contains no pleading about the additional cost of healthcare services or any other damages that IHA could have possibly suffered based on the pleaded facts. Moreover, IHA did not produce evidence on the application to establish its actual loss, nor did it plead the differential costs of providing healthcare services.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argue the defendants have not met the high threshold of demonstrating beyond a doubt that IHA's NOCC provides no genuine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Generally, parties do not file evidence supporting this application other than to confirm the pleaded facts and to state that no other facts are known that support the claim: </w:t>
      </w:r>
      <w:r>
        <w:rPr>
          <w:rFonts w:ascii="arial" w:eastAsia="arial" w:hAnsi="arial" w:cs="arial"/>
          <w:i/>
          <w:color w:val="000000"/>
          <w:sz w:val="20"/>
          <w:lang w:val="en-US" w:eastAsia="en-US" w:bidi="ar-SA"/>
        </w:rPr>
        <w:t>Sharrock v. Moneyflow Capital Corp</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2010 BCSC 1219</w:t>
        </w:r>
      </w:hyperlink>
      <w:r>
        <w:rPr>
          <w:rFonts w:ascii="arial" w:eastAsia="arial" w:hAnsi="arial" w:cs="arial"/>
          <w:color w:val="000000"/>
          <w:sz w:val="20"/>
          <w:lang w:val="en-US" w:eastAsia="en-US" w:bidi="ar-SA"/>
        </w:rPr>
        <w:t xml:space="preserve"> at paras.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 court should only decide issues of law if the material facts are not an issue and the issues of law are well-settled. Rule 9(6) is not well-suited for deciding novel points of law: </w:t>
      </w:r>
      <w:r>
        <w:rPr>
          <w:rFonts w:ascii="arial" w:eastAsia="arial" w:hAnsi="arial" w:cs="arial"/>
          <w:i/>
          <w:color w:val="000000"/>
          <w:sz w:val="20"/>
          <w:lang w:val="en-US" w:eastAsia="en-US" w:bidi="ar-SA"/>
        </w:rPr>
        <w:t>L.D. (Guardian ad litem of) v. Provincial Health Services Authority</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2011 BCSC 628</w:t>
        </w:r>
      </w:hyperlink>
      <w:r>
        <w:rPr>
          <w:rFonts w:ascii="arial" w:eastAsia="arial" w:hAnsi="arial" w:cs="arial"/>
          <w:color w:val="000000"/>
          <w:sz w:val="20"/>
          <w:lang w:val="en-US" w:eastAsia="en-US" w:bidi="ar-SA"/>
        </w:rPr>
        <w:t xml:space="preserve"> at para. 20, rev'd </w:t>
      </w:r>
      <w:hyperlink r:id="rId897" w:history="1">
        <w:r>
          <w:rPr>
            <w:rFonts w:ascii="arial" w:eastAsia="arial" w:hAnsi="arial" w:cs="arial"/>
            <w:i/>
            <w:color w:val="0077CC"/>
            <w:sz w:val="20"/>
            <w:u w:val="single"/>
            <w:shd w:val="clear" w:color="auto" w:fill="FFFFFF"/>
            <w:lang w:val="en-US" w:eastAsia="en-US" w:bidi="ar-SA"/>
          </w:rPr>
          <w:t>2012 BCCA 491</w:t>
        </w:r>
      </w:hyperlink>
      <w:r>
        <w:rPr>
          <w:rFonts w:ascii="arial" w:eastAsia="arial" w:hAnsi="arial" w:cs="arial"/>
          <w:color w:val="000000"/>
          <w:sz w:val="20"/>
          <w:lang w:val="en-US" w:eastAsia="en-US" w:bidi="ar-SA"/>
        </w:rPr>
        <w:t xml:space="preserve"> on other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court should not weigh evidence to determine an issue or fact on an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plaintiffs argue the Court must address two questions. First, does a triable issue exist on the material before the Court? If a court must consider or weigh evidence to arrive at summary judgment, the "plain and obvious" or "beyond a doubt" tests have not been met: </w:t>
      </w:r>
      <w:r>
        <w:rPr>
          <w:rFonts w:ascii="arial" w:eastAsia="arial" w:hAnsi="arial" w:cs="arial"/>
          <w:i/>
          <w:color w:val="000000"/>
          <w:sz w:val="20"/>
          <w:lang w:val="en-US" w:eastAsia="en-US" w:bidi="ar-SA"/>
        </w:rPr>
        <w:t>Skybridge</w:t>
      </w:r>
      <w:r>
        <w:rPr>
          <w:rFonts w:ascii="arial" w:eastAsia="arial" w:hAnsi="arial" w:cs="arial"/>
          <w:color w:val="000000"/>
          <w:sz w:val="20"/>
          <w:lang w:val="en-US" w:eastAsia="en-US" w:bidi="ar-SA"/>
        </w:rPr>
        <w:t xml:space="preserve"> at para. 12. Second, did the plaintiff plead sufficient facts regarding the cause of action? The plaintiff must plead facts demonstrating the essential elements it must prove to establish the cause of action: </w:t>
      </w:r>
      <w:r>
        <w:rPr>
          <w:rFonts w:ascii="arial" w:eastAsia="arial" w:hAnsi="arial" w:cs="arial"/>
          <w:i/>
          <w:color w:val="000000"/>
          <w:sz w:val="20"/>
          <w:lang w:val="en-US" w:eastAsia="en-US" w:bidi="ar-SA"/>
        </w:rPr>
        <w:t>Skybridge</w:t>
      </w:r>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argue they pleaded that the defendants owed IHA a duty of care to construct the Addition with reasonable care, skill, diligence and competence and without construction deficiencies and design defects. The NOCC alleges that Scuka knew or ought to have known that IHA was relying on it to exercise care in constructing the Addition; moreover, it alleged the defendants owed IHA a duty to ensure the Addition would be safe and fit for human occupation. The defendants breached that duty and caused IHA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Judgment 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Supreme Court Civil Rules</w:t>
      </w:r>
      <w:r>
        <w:rPr>
          <w:rFonts w:ascii="arial" w:eastAsia="arial" w:hAnsi="arial" w:cs="arial"/>
          <w:b/>
          <w:color w:val="000000"/>
          <w:sz w:val="20"/>
          <w:lang w:val="en-US" w:eastAsia="en-US" w:bidi="ar-SA"/>
        </w:rPr>
        <w:t>: Rule 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Rule 9-6(5) states: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analyzing a summary judgment application, a court should:</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examine the pleaded facts to determine which causes of action they may support;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the essential elements required to be proved at trial to succeed on each cause of action;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determine if sufficient material facts have been pleaded to support each element of a given cause of action: </w:t>
      </w:r>
      <w:r>
        <w:rPr>
          <w:rFonts w:ascii="arial" w:eastAsia="arial" w:hAnsi="arial" w:cs="arial"/>
          <w:i/>
          <w:color w:val="000000"/>
          <w:sz w:val="20"/>
          <w:lang w:val="en-US" w:eastAsia="en-US" w:bidi="ar-SA"/>
        </w:rPr>
        <w:t>Skybridge</w:t>
      </w:r>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NOCC's facts pleaded are assumed to be true unless the facts are speculative or incapable of proof: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If insufficient material facts have been pleaded to support every element of the cause of action, then, beyond a doubt, the cause of action is bound to fail: </w:t>
      </w:r>
      <w:r>
        <w:rPr>
          <w:rFonts w:ascii="arial" w:eastAsia="arial" w:hAnsi="arial" w:cs="arial"/>
          <w:i/>
          <w:color w:val="000000"/>
          <w:sz w:val="20"/>
          <w:lang w:val="en-US" w:eastAsia="en-US" w:bidi="ar-SA"/>
        </w:rPr>
        <w:t>Skybridge</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An application to strike a claim because it fails to plead sufficient facts must be considered generously in the claimant's favour. The pleadings must be read broadly, and the claim should only be struck out if it cannot succeed: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at paras. 15,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test under Rule 9-6 is whether the claimant's claim is bound to fail: </w:t>
      </w:r>
      <w:r>
        <w:rPr>
          <w:rFonts w:ascii="arial" w:eastAsia="arial" w:hAnsi="arial" w:cs="arial"/>
          <w:i/>
          <w:color w:val="000000"/>
          <w:sz w:val="20"/>
          <w:lang w:val="en-US" w:eastAsia="en-US" w:bidi="ar-SA"/>
        </w:rPr>
        <w:t>Serup v. School District No. 57</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(1989), 54 B.C.L.R. (2d) 258</w:t>
        </w:r>
      </w:hyperlink>
      <w:r>
        <w:rPr>
          <w:rFonts w:ascii="arial" w:eastAsia="arial" w:hAnsi="arial" w:cs="arial"/>
          <w:color w:val="000000"/>
          <w:sz w:val="20"/>
          <w:lang w:val="en-US" w:eastAsia="en-US" w:bidi="ar-SA"/>
        </w:rPr>
        <w:t xml:space="preserve"> (C.A.). If the material discloses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the application must be refused.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NOCC identifies IHA's purpose as "insuring publicly funded health services are provided to the people of the Southern Interior of British Columbia". Nothing further is mentioned about IHA's role or connection to the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Several agreements included in IHA's material disclose a relationship between the Society, IHA and InSite. IHA also included documents that it expects will be adduced at trial to establish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damages. This group of documents included budgets, email communications, RFP documents, meeting notes, and general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IHA highlighted the contents of a document entitled "Westbank Lions RFP Letter Response" in Scuka's listed documents that Scuka apparently received in 2004. This document contains references to an operating agreement between IHA and BC Housing. These notes include details of several requirements to be satisfied during construction, and they explicitly refer to a "third party mentor" to be identified. The roles of the Society, IHA and the mentor were also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IHA pointed to various other documents they intend to adduce at trial:</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change order dated August 3, 2005 where Scuka indicated the change was "in accordance with direction from the Society, InSite and IHA";</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change order that was revised on August 12, 2005 "in accordance with direction from the Society, InSite and IHA";</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notes of Scuka site meetings where InSite presented IHA's requests for Addition redesigns (these notes were also sent to WSB);</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InSite emails that were forwarded to Scuka during the construction;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construction documents Scuka received referring to the requests of InSite and IHA.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IHA's pleadings clearly allege the defendants owed a duty of care in the Addition's design and construction and a breach of those duties of care. The NOCC includes particulars of the defendants'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IHA alleges it relied on Scuka and WSB in performing their roles to construct and design the Addition. IHA pleaded that the defendants knew or ought to have known that it was relying on the defendants. Finally, IHA pleaded it suffered damages because of these breaches, including additional expenses to relocate and house the Addition's former occupants.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correctly highlight the NOCC's deficiencies. Specifically, it fails to identify IHA's role in developing the Addition, and it does not reference IHA's role in operating or administering the assisted living facility. The pleadings do not disclose the basis of IHA's claim in relation to the Addition including any facts relating to its contractual obligations or rights connected to the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IHA's failure to identify its involvement with or connection to the Addition is a significant flaw in the NOCC. The NOCC ought to state the relationship between IHA, the Addition and the defendants;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issue is whether IHA's failure to plead facts about its relationship to the Addition, the defendants, the Society, or BC Housing results in a claim that is bound to fail due to the absence of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disclosed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underscored a claimant's obligation to plead the facts necessary to establish its claim. Although referring to Rule 9-5(2), the Court's remarks about pleadings are informative when dealing with an application under Rule 9-6. At para. 22, McLachlin C.J.C.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A motion to strike for failure to disclose a reasonable cause of action proceeds on the basis that the facts pleaded are true, unless they are manifestly incapable of being proven: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p. 455. No evidence is admissible on such a motion: r. 19(27)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(now r. 9-5(2) of the Supreme Court Civil Rules). It is incumbent on the claimant to clearly plead the facts upon which it relies in making its claim. A claimant is not entitled to rely on the possibility that new facts may turn up as the case progresses. The claimant may not be in a position to prove the facts pleaded at the time of the motion. It may only hope to be able to prove them. But plead them it must. The facts pleaded are the firm basis upon which the possibility of success of the claim must be evaluated. If they are not pleaded, the exercise cannot be properly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this case, no facts are pleaded to support the claim that IHA had an interest in the Addition such that the defendants should have taken care of its interests. The facts regarding IHA's interest are material facts necessary to establish the defendants' tortious liability for IHA's losses. IHA's pleading of an alleged duty and the defendants' resulting breach fail to meet the requirement that it plead all material facts to support its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IHA was required to plead facts that demonstrate: it had an interest in the Addition; the defendants owed a duty of care to IHA related to that interest; and breach of that duty caused damage to IHA. The NOCC's allegation is that the defendants owed a duty of care to IHA, but it does not specify the facts giving rise to that duty. IHA must plead it had some interest in the Lands or the Addition as a basis for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absence of any allegation of fact in the NOCC connecting IHA to the Addition is a significant flaw in IHA's claim. Without a factual allegation that IHA had an interest in the Addition, the NOCC fails to plead a material fact essential to its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WSB and Scuka and, as pleaded, the action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My analysis does not, however, end here. Rule 9-6(5)(d) entitles me to "make any other order it considers will further the object of these Supreme Court Civil Rules." Rule 1-3(1) dictates that the purpose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is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This claim has important implications for IHA. In this instance, dismissing this claim under Rule 9-6(a) would be unjust because the NOCC is capable of amendment to support the claim presented by IHA on this application. Therefore, I order the plaintiffs be at liberty to amend their claim within 14 days to include the necessary facts to meet the threshold to advance their claims for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If the plaintiffs do not pursue this amendment, the defendants can apply to dismiss IHA's action on the materials contained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 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argue the NOCC is deficient, incapable of amendment, and does not establish a cause of action. Consequently, it cannot succeed as a matter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argue that IHA's claims of recovery of pure economic loss, without any evidence of damage to persons or property, should not be allowed. IHA claims damages for increased costs of providing health services and early termination of the InSite/IHA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argue this claim cannot legally succeed without a more direct connection to the Addition or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Moreover, the defendants argue these claims do not fall within the established areas of recoverable pure economic loss, and the claims do not meet the policy criteria that might support a new category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They argue:</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IHA's claim does not involve the negligent performance of a service because neither WSB or Scuka voluntarily undertook to perform a service on its behalf, and it did not rely on WSB or Scuka;</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IHA's claim does not meet the test for relational economic loss because IHA had no proprietary or possessory interest in the Addition and was not involved in the joint venture with the property's owners;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IHA's claim does not amount to a negligent provision of shoddy goods or other structures;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IHA's losses are too remote;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IHA's type of claim was considered in </w:t>
      </w:r>
      <w:r>
        <w:rPr>
          <w:rFonts w:ascii="arial" w:eastAsia="arial" w:hAnsi="arial" w:cs="arial"/>
          <w:i/>
          <w:color w:val="000000"/>
          <w:sz w:val="20"/>
          <w:lang w:val="en-US" w:eastAsia="en-US" w:bidi="ar-SA"/>
        </w:rPr>
        <w:t>British Columbia v. R.B.O. Architecture Inc.</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[1994] B.C.J. No. 1297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R.B.O.</w:t>
      </w:r>
      <w:r>
        <w:rPr>
          <w:rFonts w:ascii="arial" w:eastAsia="arial" w:hAnsi="arial" w:cs="arial"/>
          <w:color w:val="000000"/>
          <w:sz w:val="20"/>
          <w:lang w:val="en-US" w:eastAsia="en-US" w:bidi="ar-SA"/>
        </w:rPr>
        <w:t xml:space="preserve"> (C.A.)] and rejected, in part, because the defendant did not know about the plaintiff or its role in funding the construction project; and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IHA's relationship lacks the required proximity to the defendants because IHA did not have the financial or proprietary interest in the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Moreover, IHA's claim does not qualify as a new category of recovery for pure economic loss. The pleadings could not establish a duty of care based on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[1978] A.C. 728 (H.L.)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IHA argues it is not plain and obvious on the pleaded facts that its claim cannot succeed as a matter of law. Striking pleadings is reserved for cases that undoubtedly cannot succeed as a matter of law. If the pleadings are deficient, the usual remedy is to allow an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IHA argues its pleadings allege that the defendants owed a duty of care to ensure that the Addition was constructed with reasonable care, skill, diligence and competence and without construction deficiencies and design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IHA argues its pleadings allege the defendants knew or ought to have known IHA was relying on them to exercise care in designing and constructing the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plaintiffs say that liability for economic loss has been recognized where losses are not connected to physical damage in </w:t>
      </w:r>
      <w:r>
        <w:rPr>
          <w:rFonts w:ascii="arial" w:eastAsia="arial" w:hAnsi="arial" w:cs="arial"/>
          <w:i/>
          <w:color w:val="000000"/>
          <w:sz w:val="20"/>
          <w:lang w:val="en-US" w:eastAsia="en-US" w:bidi="ar-SA"/>
        </w:rPr>
        <w:t>R.B.O.</w:t>
      </w:r>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paras. 47-65.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IHA also argues that its relationship to the defendants falls within or is analogous to the recognized relationships giving rise to a duty of care under pure economic loss: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performance of a service;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supply of shoddy goods or structures; and</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relational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Alternatively, IHA argues that if its claim does not come within an established category or a recognized duty of care,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supports its claim to establish a new category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Finally, the damages are not too remote: they directly arose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led to evacuating the occupants and the resulting costs. The harm was reasonably foreseeable by a reasonable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Consequently, it is not plain and obvious that the circumstances do not disclose reasonably foreseeable harm and sufficient proximity to establish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 court should not dismiss a novel claim without hearing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Striking Pleadings 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Supreme Court Civil Rules</w:t>
      </w:r>
      <w:r>
        <w:rPr>
          <w:rFonts w:ascii="arial" w:eastAsia="arial" w:hAnsi="arial" w:cs="arial"/>
          <w:b/>
          <w:color w:val="000000"/>
          <w:sz w:val="20"/>
          <w:lang w:val="en-US" w:eastAsia="en-US" w:bidi="ar-SA"/>
        </w:rPr>
        <w:t>: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Rule 9-5(1) states:</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Under this rule, a court may strike out a pleading where it is "plain and obvious" that the pleading discloses no reasonable claim. The NOCC's facts pleaded are assumed to be true unless the facts are speculative or incapable of proof: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the Court described the obligation to plead the necessary facts to advance a claim. McLachlin C.J.C. said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Before us, Imperial and the other tobacco companies argued that the motion to strike should take into account, not only the facts pleaded, but the possibility that as the case progressed, the evidence would reveal more about Canada's conduct and role in promoting the use of low-tar cigarettes. </w:t>
      </w:r>
      <w:r>
        <w:rPr>
          <w:rFonts w:ascii="arial" w:eastAsia="arial" w:hAnsi="arial" w:cs="arial"/>
          <w:color w:val="000000"/>
          <w:sz w:val="20"/>
          <w:u w:val="single"/>
          <w:lang w:val="en-US" w:eastAsia="en-US" w:bidi="ar-SA"/>
        </w:rPr>
        <w:t>This fundamentally misunderstands what a motion to strike is about. It is not about evidence, but the pleadings. The facts pleaded are taken as true. Whether the evidence substantiates the pleaded facts, now or at some future date, is irrelevant to the motion to strike. The judge on the motion to strike cannot consider what evidence adduced in the future might or might not show. To require the judge to do so would be to gut the motion to strike of its logic and ultimately render it useless.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para. 28, the Court endorsed the test set out in </w:t>
      </w:r>
      <w:r>
        <w:rPr>
          <w:rFonts w:ascii="arial" w:eastAsia="arial" w:hAnsi="arial" w:cs="arial"/>
          <w:i/>
          <w:color w:val="000000"/>
          <w:sz w:val="20"/>
          <w:lang w:val="en-US" w:eastAsia="en-US" w:bidi="ar-SA"/>
        </w:rPr>
        <w:t>Minnes v. Minnes</w:t>
      </w:r>
      <w:r>
        <w:rPr>
          <w:rFonts w:ascii="arial" w:eastAsia="arial" w:hAnsi="arial" w:cs="arial"/>
          <w:color w:val="000000"/>
          <w:sz w:val="20"/>
          <w:lang w:val="en-US" w:eastAsia="en-US" w:bidi="ar-SA"/>
        </w:rPr>
        <w:t>, (1962) 39 W.W.R. 112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So long as the statement of claim, as it stands </w:t>
      </w:r>
      <w:r>
        <w:rPr>
          <w:rFonts w:ascii="arial" w:eastAsia="arial" w:hAnsi="arial" w:cs="arial"/>
          <w:color w:val="000000"/>
          <w:sz w:val="20"/>
          <w:u w:val="single"/>
          <w:lang w:val="en-US" w:eastAsia="en-US" w:bidi="ar-SA"/>
        </w:rPr>
        <w:t>or as it may be amended</w:t>
      </w:r>
      <w:r>
        <w:rPr>
          <w:rFonts w:ascii="arial" w:eastAsia="arial" w:hAnsi="arial" w:cs="arial"/>
          <w:color w:val="000000"/>
          <w:sz w:val="20"/>
          <w:lang w:val="en-US" w:eastAsia="en-US" w:bidi="ar-SA"/>
        </w:rPr>
        <w:t>, discloses some question fit to be tried by a judge or jury, the mere fact that the case is weak or not likely to succeed is no ground for striking it out.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the Court at para. 33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Dempsey v. Envision Credit Union</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Garson J. (as she then was) summarized the authorities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a pleading will be struck out if:</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pleadings are unintelligible, confusing and Foreign aid Reform, </w:t>
      </w:r>
      <w:r>
        <w:rPr>
          <w:rFonts w:ascii="arial" w:eastAsia="arial" w:hAnsi="arial" w:cs="arial"/>
          <w:b/>
          <w:i/>
          <w:color w:val="000000"/>
          <w:sz w:val="20"/>
          <w:lang w:val="en-US" w:eastAsia="en-US" w:bidi="ar-SA"/>
        </w:rPr>
        <w:t>supra</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do not establish a cause of action and do not advance a claim known in law (</w:t>
      </w:r>
      <w:r>
        <w:rPr>
          <w:rFonts w:ascii="arial" w:eastAsia="arial" w:hAnsi="arial" w:cs="arial"/>
          <w:b/>
          <w:i/>
          <w:color w:val="000000"/>
          <w:sz w:val="20"/>
          <w:lang w:val="en-US" w:eastAsia="en-US" w:bidi="ar-SA"/>
        </w:rPr>
        <w:t>Citizens for Foreign aid Reform</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supra</w:t>
      </w:r>
      <w:r>
        <w:rPr>
          <w:rFonts w:ascii="arial" w:eastAsia="arial" w:hAnsi="arial" w:cs="arial"/>
          <w:color w:val="000000"/>
          <w:sz w:val="20"/>
          <w:lang w:val="en-US" w:eastAsia="en-US" w:bidi="ar-SA"/>
        </w:rPr>
        <w:t>);</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without substance in that they are groundless, fanciful and trifle with the Court's time (</w:t>
      </w:r>
      <w:r>
        <w:rPr>
          <w:rFonts w:ascii="arial" w:eastAsia="arial" w:hAnsi="arial" w:cs="arial"/>
          <w:b/>
          <w:i/>
          <w:color w:val="000000"/>
          <w:sz w:val="20"/>
          <w:lang w:val="en-US" w:eastAsia="en-US" w:bidi="ar-SA"/>
        </w:rPr>
        <w:t>Borsato v. Basra</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[2000] B.C.J. No. 84</w:t>
        </w:r>
      </w:hyperlink>
      <w:r>
        <w:rPr>
          <w:rFonts w:ascii="arial" w:eastAsia="arial" w:hAnsi="arial" w:cs="arial"/>
          <w:color w:val="000000"/>
          <w:sz w:val="20"/>
          <w:lang w:val="en-US" w:eastAsia="en-US" w:bidi="ar-SA"/>
        </w:rPr>
        <w:t>)</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not bona fides, are oppressive and are designed to cause the Defendants anxiety, trouble and expense (</w:t>
      </w:r>
      <w:r>
        <w:rPr>
          <w:rFonts w:ascii="arial" w:eastAsia="arial" w:hAnsi="arial" w:cs="arial"/>
          <w:b/>
          <w:i/>
          <w:color w:val="000000"/>
          <w:sz w:val="20"/>
          <w:lang w:val="en-US" w:eastAsia="en-US" w:bidi="ar-SA"/>
        </w:rPr>
        <w:t>Borsato v. Basra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supra</w:t>
      </w:r>
      <w:r>
        <w:rPr>
          <w:rFonts w:ascii="arial" w:eastAsia="arial" w:hAnsi="arial" w:cs="arial"/>
          <w:color w:val="000000"/>
          <w:sz w:val="20"/>
          <w:lang w:val="en-US" w:eastAsia="en-US" w:bidi="ar-SA"/>
        </w:rPr>
        <w:t>);</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brought for an improper purpose, particularly the harassment and oppression of the Defendants (</w:t>
      </w:r>
      <w:r>
        <w:rPr>
          <w:rFonts w:ascii="arial" w:eastAsia="arial" w:hAnsi="arial" w:cs="arial"/>
          <w:b/>
          <w:i/>
          <w:color w:val="000000"/>
          <w:sz w:val="20"/>
          <w:lang w:val="en-US" w:eastAsia="en-US" w:bidi="ar-SA"/>
        </w:rPr>
        <w:t>Ebrahim v. Ebrahim</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2002 BCSC 466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Under Rule 9-5, the defendants must undoubtedly demonstrate that IHA's claim will fail. The question is: assuming the facts stated in the NOCC can be proved, is it "plain and obvious" that IHA's claim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pleaded facts are the basis for evaluating the prospects of a successful outcome and if, as the pleadings stand or as they may be amended, IHA's claim for recovery of pure economic loss has no chance of success, the claim must be struck. Assessing the prospects cannot turn on the possibility that new facts may become known during the trial's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IHA advances its claim for pure economic loss of $3,552,670 arising from the costs it incurred to relocate the Addition's occupants after evacuating the structure. It also claims $792,457 for money paid to InSite when it cancelled the five-year contract for InSite's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Claims for pure economic loss are presumptively not recoverable in tort because economic risks are properly dealt with in contract between interested parties: Joost Blom,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Tort, Contract and the Allocation of Risk" (2002) 17 SCLR 92 289; </w:t>
      </w:r>
      <w:r>
        <w:rPr>
          <w:rFonts w:ascii="arial" w:eastAsia="arial" w:hAnsi="arial" w:cs="arial"/>
          <w:i/>
          <w:color w:val="000000"/>
          <w:sz w:val="20"/>
          <w:lang w:val="en-US" w:eastAsia="en-US" w:bidi="ar-SA"/>
        </w:rPr>
        <w:t>Martel Building Ltd. v. Canada</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Martel</w:t>
      </w:r>
      <w:r>
        <w:rPr>
          <w:rFonts w:ascii="arial" w:eastAsia="arial" w:hAnsi="arial" w:cs="arial"/>
          <w:color w:val="000000"/>
          <w:sz w:val="20"/>
          <w:lang w:val="en-US" w:eastAsia="en-US" w:bidi="ar-SA"/>
        </w:rPr>
        <w:t>]. However, no absolute bar to recovery of economic damages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Supreme Court of Canada endorsed the five categories of cases described by Bruce Feldthusen in "Economic Loss in the Supreme Court of Canada: Yesterday and Tomorrow" (1991) 17 Can. Bus. L.J. 356 at 357-58 where pure economic loss may be possible:</w:t>
      </w:r>
      <w:r>
        <w:rPr>
          <w:rFonts w:ascii="arial" w:eastAsia="arial" w:hAnsi="arial" w:cs="arial"/>
          <w:sz w:val="20"/>
          <w:lang w:val="en-US" w:eastAsia="en-US" w:bidi="ar-SA"/>
        </w:rPr>
        <w:cr/>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independent liability of statutory public authorities;</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performance of the service;</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supply of shoddy goods or structures; and</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relational economic loss: See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at para. 12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defendants argue that IHA's claims do not fall into any of the categories or relationships where a duty of care can be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plaintiffs argue their claim falls under the previously recognized categories: negligent performance of the service; negligent supply of shoddy goods or structures; and relational economic loss. Regarding the latter, IHA alleges the case falls under the rubric of a joint venture or common venture exception that permits recovery for relational loss: </w:t>
      </w:r>
      <w:r>
        <w:rPr>
          <w:rFonts w:ascii="arial" w:eastAsia="arial" w:hAnsi="arial" w:cs="arial"/>
          <w:i/>
          <w:color w:val="000000"/>
          <w:sz w:val="20"/>
          <w:lang w:val="en-US" w:eastAsia="en-US" w:bidi="ar-SA"/>
        </w:rPr>
        <w:t>Bow Valley Husky (Bermuda) Ltd. v. Saint John Shipbuilding Ltd.</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at para. 48 [</w:t>
      </w:r>
      <w:r>
        <w:rPr>
          <w:rFonts w:ascii="arial" w:eastAsia="arial" w:hAnsi="arial" w:cs="arial"/>
          <w:i/>
          <w:color w:val="000000"/>
          <w:sz w:val="20"/>
          <w:lang w:val="en-US" w:eastAsia="en-US" w:bidi="ar-SA"/>
        </w:rPr>
        <w:t>Bow Valley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Alternatively, IHA argues if its claim is not within the recognized categories, then the Court must consider a new category by undertaking a duty of care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McLachlin C.J.C discussed the appropriate approach to recovering pure economic loss in </w:t>
      </w:r>
      <w:r>
        <w:rPr>
          <w:rFonts w:ascii="arial" w:eastAsia="arial" w:hAnsi="arial" w:cs="arial"/>
          <w:i/>
          <w:color w:val="000000"/>
          <w:sz w:val="20"/>
          <w:lang w:val="en-US" w:eastAsia="en-US" w:bidi="ar-SA"/>
        </w:rPr>
        <w:t>Canadian National Railway Co. v. Norsk Pacific Steamship Co.</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the Court said pure economic loss's categories of claims were not closed; all matters should be considered from the view of duty and proximity. At paras. 256-261,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[256] The matter may be put thus: before the law will impose liability there must be a connection between the defendant's conduct and plaintiff's loss which makes it just for the defendant to indemnify the plaintiff. In contract, the contractual relationship provides this link. In trust, it is the fiduciary obligation which establishes the necessary connection. In tort, the equivalent notion is proximity. Proximity may consist of various forms of closeness -- physical, circumstantial, causal or assumed -- which serve to identify the categories of cases in which liability 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[257] Viewed thus, the concept of proximity may be seen as an umbrella, covering a number of disparate circumstances in which the relationship between the parties is so close that it is just and reasonable to permit recovery in tort. The complexity and diversity of the circumstances in which tort liability may arise defy identification of a single criterion capable of serving as the universal hallmark of liability. The meaning of "proximity" is to be found rather in viewing the circumstances in which it has been found to exist and determining whether the case at issue is similar enough to justify a similar finding.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[258] In summary, it is my view that the authorities suggest that pure economic loss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recoverable where, in addition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foreseeable loss, there is sufficient proximity between the negligent act and the loss. Proximity is the controlling concept which avoids the spectre of unlimited liability. Proximity may be established by a variety of factors, depending on the nature of the case.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[260] Viewed in this way, proximity may be seen as paralleling the requirement in civil law that damages be direct and certain. Proximity, like the requirement of directness, posits a close link between the negligent act and the resultant loss. Distant losses which arise from collateral relationships do not qualify for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[261] ... </w:t>
      </w:r>
      <w:r>
        <w:rPr>
          <w:rFonts w:ascii="arial" w:eastAsia="arial" w:hAnsi="arial" w:cs="arial"/>
          <w:color w:val="000000"/>
          <w:sz w:val="20"/>
          <w:u w:val="single"/>
          <w:lang w:val="en-US" w:eastAsia="en-US" w:bidi="ar-SA"/>
        </w:rPr>
        <w:t>A more comprehensive, and I submit objective, consideration of proximity requires that the court review all of the factors connecting the negligent act with the loss; this includes not only the relationship between the parties but all forms of proximity -- physical, circumstantial, causal or assumed indicators of closeness.</w:t>
      </w:r>
      <w:r>
        <w:rPr>
          <w:rFonts w:ascii="arial" w:eastAsia="arial" w:hAnsi="arial" w:cs="arial"/>
          <w:color w:val="000000"/>
          <w:sz w:val="20"/>
          <w:lang w:val="en-US" w:eastAsia="en-US" w:bidi="ar-SA"/>
        </w:rPr>
        <w:t xml:space="preserve"> While it is impossible to define comprehensively what will satisfy the requirements of proximity or directness, precision may be found as types of relationships or situations are defined in which the necessary closeness between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loss exists.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the Court approved exceptions to the rule because sufficient proximity existed to base a duty of care in the absence of contrary policy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Any consideration of new categories must take into account policy considerations arising in the alleged duty of care: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at para. 41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at para. 12; </w:t>
      </w:r>
      <w:r>
        <w:rPr>
          <w:rFonts w:ascii="arial" w:eastAsia="arial" w:hAnsi="arial" w:cs="arial"/>
          <w:i/>
          <w:color w:val="000000"/>
          <w:sz w:val="20"/>
          <w:lang w:val="en-US" w:eastAsia="en-US" w:bidi="ar-SA"/>
        </w:rPr>
        <w:t>Fullowka v. Pinkerton's Canada</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2010 SCC 5</w:t>
        </w:r>
      </w:hyperlink>
      <w:r>
        <w:rPr>
          <w:rFonts w:ascii="arial" w:eastAsia="arial" w:hAnsi="arial" w:cs="arial"/>
          <w:color w:val="000000"/>
          <w:sz w:val="20"/>
          <w:lang w:val="en-US" w:eastAsia="en-US" w:bidi="ar-SA"/>
        </w:rPr>
        <w:t xml:space="preserve"> at para. 57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plaintiffs frame the two-stage test for their claim as follows:</w:t>
      </w:r>
      <w:r>
        <w:rPr>
          <w:rFonts w:ascii="arial" w:eastAsia="arial" w:hAnsi="arial" w:cs="arial"/>
          <w:sz w:val="20"/>
          <w:lang w:val="en-US" w:eastAsia="en-US" w:bidi="ar-SA"/>
        </w:rPr>
        <w:cr/>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circumstances disclose a reasonably foreseeable risk of harm and proximity sufficient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and</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 any policy considerations negate imposing a duty of care on the defendants: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paras. 37-39; </w:t>
      </w:r>
      <w:r>
        <w:rPr>
          <w:rFonts w:ascii="arial" w:eastAsia="arial" w:hAnsi="arial" w:cs="arial"/>
          <w:i/>
          <w:color w:val="000000"/>
          <w:sz w:val="20"/>
          <w:lang w:val="en-US" w:eastAsia="en-US" w:bidi="ar-SA"/>
        </w:rPr>
        <w:t>Design Services Ltd. v. Canada</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2008 SCC 22</w:t>
        </w:r>
      </w:hyperlink>
      <w:r>
        <w:rPr>
          <w:rFonts w:ascii="arial" w:eastAsia="arial" w:hAnsi="arial" w:cs="arial"/>
          <w:color w:val="000000"/>
          <w:sz w:val="20"/>
          <w:lang w:val="en-US" w:eastAsia="en-US" w:bidi="ar-SA"/>
        </w:rPr>
        <w:t xml:space="preserve"> at paras. 45-47 [</w:t>
      </w:r>
      <w:r>
        <w:rPr>
          <w:rFonts w:ascii="arial" w:eastAsia="arial" w:hAnsi="arial" w:cs="arial"/>
          <w:i/>
          <w:color w:val="000000"/>
          <w:sz w:val="20"/>
          <w:lang w:val="en-US" w:eastAsia="en-US" w:bidi="ar-SA"/>
        </w:rPr>
        <w:t>Design Services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137.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James v. British Columbia</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2005 BCCA 136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James</w:t>
      </w:r>
      <w:r>
        <w:rPr>
          <w:rFonts w:ascii="arial" w:eastAsia="arial" w:hAnsi="arial" w:cs="arial"/>
          <w:color w:val="000000"/>
          <w:sz w:val="20"/>
          <w:lang w:val="en-US" w:eastAsia="en-US" w:bidi="ar-SA"/>
        </w:rPr>
        <w:t>] for the proposition that detrimental reliance is not a necessary element of the claim for pure economic loss, except where based on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James</w:t>
      </w:r>
      <w:r>
        <w:rPr>
          <w:rFonts w:ascii="arial" w:eastAsia="arial" w:hAnsi="arial" w:cs="arial"/>
          <w:color w:val="000000"/>
          <w:sz w:val="20"/>
          <w:lang w:val="en-US" w:eastAsia="en-US" w:bidi="ar-SA"/>
        </w:rPr>
        <w:t xml:space="preserve">, the Court dealt with an allegation that the provincial Crown was vicariously liable for a minister's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inadvertently failing to include an important clause in a timber licence that adversely affected the mill's employees. The minister, though not a party to a contract, was subject to statutory powers and duties that provided a basis for conferring the clause's benefit on the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Court found that the absence of reliance did not preclude recovery because the minister's role was akin to a voluntary assumption of responsibility as had been considered in </w:t>
      </w:r>
      <w:r>
        <w:rPr>
          <w:rFonts w:ascii="arial" w:eastAsia="arial" w:hAnsi="arial" w:cs="arial"/>
          <w:i/>
          <w:color w:val="000000"/>
          <w:sz w:val="20"/>
          <w:lang w:val="en-US" w:eastAsia="en-US" w:bidi="ar-SA"/>
        </w:rPr>
        <w:t>Whittingham v. Crease &amp; Co.</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(1978), 88 D.L.R. (3d) 353</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Analogous Categories of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first inquiry must address whether the instant case falls within or is analogous to a category of cases where a duty of care has been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plaintiffs argue that analogous cases have recognized liability to a plaintiff whose losses were not connected to the building's physical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They referred to </w:t>
      </w:r>
      <w:r>
        <w:rPr>
          <w:rFonts w:ascii="arial" w:eastAsia="arial" w:hAnsi="arial" w:cs="arial"/>
          <w:i/>
          <w:color w:val="000000"/>
          <w:sz w:val="20"/>
          <w:lang w:val="en-US" w:eastAsia="en-US" w:bidi="ar-SA"/>
        </w:rPr>
        <w:t>British Columbia v. R.B.O. Architecture Inc.,</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[1993] B.C.J. No. 48</w:t>
        </w:r>
      </w:hyperlink>
      <w:r>
        <w:rPr>
          <w:rFonts w:ascii="arial" w:eastAsia="arial" w:hAnsi="arial" w:cs="arial"/>
          <w:color w:val="000000"/>
          <w:sz w:val="20"/>
          <w:lang w:val="en-US" w:eastAsia="en-US" w:bidi="ar-SA"/>
        </w:rPr>
        <w:t xml:space="preserve"> (S.C.) and</w:t>
      </w:r>
      <w:r>
        <w:rPr>
          <w:rFonts w:ascii="arial" w:eastAsia="arial" w:hAnsi="arial" w:cs="arial"/>
          <w:i/>
          <w:color w:val="000000"/>
          <w:sz w:val="20"/>
          <w:lang w:val="en-US" w:eastAsia="en-US" w:bidi="ar-SA"/>
        </w:rPr>
        <w:t xml:space="preserve"> R.B.O.</w:t>
      </w:r>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R.B.O. contracted to provide design services for a housing development that BC Housing was subsidizing. PJB Engineering (PJB) provided the development's structural drawings, and BC Housing claimed for a faulty building design that resulted in the project being $1 million over budget. No property damage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Court of Appeal emphasized that the analysis must be made after consideration of all of the evidence. The Court said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reliance is pleaded, and there is evidence that the Co-Operative relied on the expertise of the design professionals by treating the design and other criteria as a foundation for its contract with R.B.O. There is also the affidavit evidence of Mr. Roth that "the Government" relied upon the design professionals. The extent of that reliance, and whether the design professionals are to be taken as having given a voluntary undertaking to exercise their expertise in a way that is analogous to contract, is a matter to be determined upon a consideration of the evidence. The position of "the Government" is that, given the nature of the program which made the housing project possible, and the fact that the design professionals were fully aware of the program, they ought to have known that "the Government" was, in reality, the risk taker and, as such, was relying on their expertise. If that is established at trial then, subject to what I will say about the provisions of the contract between the Co-Operative and R.B.O., it may be possible to imply an assumption of liability by the design professionals to "the Government". Given such proof the necessary proximity would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And the Court went on to find at para. 62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there is evidence of reasonable reliance by the plaintiffs, and if there is a basis for finding an implied undertaking on the part of the individual defendants to exercise care for the plaintiffs' economic interests, Ostrander and Balayo as employees of their respective companies may be liable in tort on the basis of the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xml:space="preserve"> principle, as discussed above by Taylor J.A. in </w:t>
      </w:r>
      <w:r>
        <w:rPr>
          <w:rFonts w:ascii="arial" w:eastAsia="arial" w:hAnsi="arial" w:cs="arial"/>
          <w:i/>
          <w:color w:val="000000"/>
          <w:sz w:val="20"/>
          <w:lang w:val="en-US" w:eastAsia="en-US" w:bidi="ar-SA"/>
        </w:rPr>
        <w:t>Kripps</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[1992] B.C.J. No. 1550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 consideration of the evidence is not appropriate at this stage of the proceeding. It is clear that there may be some evidence to support the assertions by IHA that it relied on professional parties to ensure the Addition was built in conformity to the relevant standards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plaintiffs argue that </w:t>
      </w:r>
      <w:r>
        <w:rPr>
          <w:rFonts w:ascii="arial" w:eastAsia="arial" w:hAnsi="arial" w:cs="arial"/>
          <w:i/>
          <w:color w:val="000000"/>
          <w:sz w:val="20"/>
          <w:lang w:val="en-US" w:eastAsia="en-US" w:bidi="ar-SA"/>
        </w:rPr>
        <w:t>R.B.O.</w:t>
      </w:r>
      <w:r>
        <w:rPr>
          <w:rFonts w:ascii="arial" w:eastAsia="arial" w:hAnsi="arial" w:cs="arial"/>
          <w:color w:val="000000"/>
          <w:sz w:val="20"/>
          <w:lang w:val="en-US" w:eastAsia="en-US" w:bidi="ar-SA"/>
        </w:rPr>
        <w:t>'s facts are indistinguishable from the plaintiffs' claim in this action. They allege IHA treated the design and construction of the Addition in compliance with the required standards as an important feature of the InSite contract and its decision to subsidize the residents' care. They argue the question of reliance is a question of fact that needs to be fully fleshed out at trial; consequently, the Court cannot find that they have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British Columbia advanced claims against R.B.O and PJB. Eventually, these claims against R.B.O and PJB were joined for trial. On a Rule 18A (now Rule 9-5) application to dismiss the claims in </w:t>
      </w:r>
      <w:r>
        <w:rPr>
          <w:rFonts w:ascii="arial" w:eastAsia="arial" w:hAnsi="arial" w:cs="arial"/>
          <w:i/>
          <w:color w:val="000000"/>
          <w:sz w:val="20"/>
          <w:lang w:val="en-US" w:eastAsia="en-US" w:bidi="ar-SA"/>
        </w:rPr>
        <w:t>British Columbia v. R.B.O. Architecture Inc</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[1995] B.C.J. No. 587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R.B.O.</w:t>
      </w:r>
      <w:r>
        <w:rPr>
          <w:rFonts w:ascii="arial" w:eastAsia="arial" w:hAnsi="arial" w:cs="arial"/>
          <w:color w:val="000000"/>
          <w:sz w:val="20"/>
          <w:lang w:val="en-US" w:eastAsia="en-US" w:bidi="ar-SA"/>
        </w:rPr>
        <w:t xml:space="preserve"> (S.C.)], Preston J. considered all of the evidence and reached the following conclusion regarding PJB at paras. 41-42: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In this case, PJB did not know that the Commission was going to rely on its structural design drawings nor did it have sufficient information upon which it could have assessed the potential risk of reliance.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Imposing a duty of care on PJB in those circumstances would require a relaxation of the standard which has been applied by the courts to achieve the goal of strictly limiting the classes of persons to whom a duty of care is owed in cases of economic loss. A consideration of the degree of proximity, the clarity of foreseeability, and the strength of reliance leads me to the conclusion that it would be unsafe to imply an undertaking on the part of PJB to care for the economic interests of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defendants argue that Preston J. repeated the law on recoverability of pure economic circumstances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In order to establish that PJB owed it a duty of care the Commission must show:</w:t>
      </w:r>
    </w:p>
    <w:p>
      <w:pPr>
        <w:numPr>
          <w:numId w:val="4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Commission's loss was a direct result of the negligent act or omission of PJB (proximity).</w:t>
      </w:r>
    </w:p>
    <w:p>
      <w:pPr>
        <w:numPr>
          <w:numId w:val="4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Commission's loss was foreseeable by PJB (foreseeability).</w:t>
      </w:r>
    </w:p>
    <w:p>
      <w:pPr>
        <w:numPr>
          <w:numId w:val="4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Commission relied on PJB in circumstances from which the court is able to infer an undertaking on the part of PJB to take care for the Commission's economic interests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Court concluded that PJB did not know about the Commission, did not understand the parties' relationship on the project, and could not have the necessary reliance to create a duty of care. However, the Court found that R.B.O. owed a duty of care to BC Housing in designing the building because it was reasonably apparent that BC Housing's interests could be adversely affected by R.B.O.'s carelessness.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defendants argue that IHA has not pleaded the details of its relationship with the Society or BC Housing. Further, the conclusions rejecting claims against PJB would be the same in this case because the defendants had no knowledge of IHA, and IHA did not rely on the defendants. Although the defendants referred to discovery evidence on this point, I am satisfied that a more fulsome exploration of the evidence beyond the responses to discovery questions cited by the defendants is necessary to address the issues about knowledge and reliance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my view, the parties' references to the </w:t>
      </w:r>
      <w:r>
        <w:rPr>
          <w:rFonts w:ascii="arial" w:eastAsia="arial" w:hAnsi="arial" w:cs="arial"/>
          <w:i/>
          <w:color w:val="000000"/>
          <w:sz w:val="20"/>
          <w:lang w:val="en-US" w:eastAsia="en-US" w:bidi="ar-SA"/>
        </w:rPr>
        <w:t>R.B.O.</w:t>
      </w:r>
      <w:r>
        <w:rPr>
          <w:rFonts w:ascii="arial" w:eastAsia="arial" w:hAnsi="arial" w:cs="arial"/>
          <w:color w:val="000000"/>
          <w:sz w:val="20"/>
          <w:lang w:val="en-US" w:eastAsia="en-US" w:bidi="ar-SA"/>
        </w:rPr>
        <w:t xml:space="preserve"> cases are of marginal assistance. The question of reliance is dependent on the facts that might be established at trial; I am not to assess or weigh evidence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Preston J.'s evaluation of the facts led him to conclusions regarding PJB's knowledge of the Commission's role in that construction project. The documents the plaintiffs tendered on this application raise questions relating to Scuka's knowledge of IHA's involvement and InSite's role in the Addition's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This application is not a summary trial, and I am not permitted to consider the evidence except in very limited circumstances. I am satisfied it would not be appropriate to dismiss this aspect of the plaintiffs' claim without a fulsome review of all of the evidence that both parties might tender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will address each of the three other categories IHA relied on to support its right to pursue the action for recovery of pure economic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Negligent Performance of a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Pure economic loss may be recovered when a defendant negligently provided services and had assumed a voluntary undertaking to carefully perform that service for the plaintiff's benefit coupled with the plaintiff's detrimental reliance on that undertaking: Lewis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5th ed. (Toronto: Carswell, 2012) at 267.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defendants argue the plaintiffs must show reasonable reliance on the undertaking to perform the service and that they suffered a loss arising from that reliance. They argue the direct evidence does not demonstrate IHA relied on the defendants; moreover, the defendants gave no undertaking to IHA. IHA did not know Scuka was constructing the Addition or that WSB was providing professional services. Accordingly, IHA could not have relied 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plaintiffs argue the Court may be able to conclude that Scuka and WSB owed duties of care for the losses IHA suffered. As in this case, where a professional's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performing engineering services may foreseeably cause damage to a third party, the engineer can be held liable to the third party: the plaintiffs rely on </w:t>
      </w:r>
      <w:r>
        <w:rPr>
          <w:rFonts w:ascii="arial" w:eastAsia="arial" w:hAnsi="arial" w:cs="arial"/>
          <w:i/>
          <w:color w:val="000000"/>
          <w:sz w:val="20"/>
          <w:lang w:val="en-US" w:eastAsia="en-US" w:bidi="ar-SA"/>
        </w:rPr>
        <w:t>Burnett v. Took Engineering Inc.</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2000 BCSC 1630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Took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Took</w:t>
      </w:r>
      <w:r>
        <w:rPr>
          <w:rFonts w:ascii="arial" w:eastAsia="arial" w:hAnsi="arial" w:cs="arial"/>
          <w:color w:val="000000"/>
          <w:sz w:val="20"/>
          <w:lang w:val="en-US" w:eastAsia="en-US" w:bidi="ar-SA"/>
        </w:rPr>
        <w:t>, the plaintiff purchased land to build the family home. The municipality required a satisfactory soils report before issuing a building permit. The builder retained the defendant Took to investigate the property and provide the requisite report. After several years, settlement problems with the house emerged, and the plaintiff sued the defendant to recover the remedial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builder gave a copy of the flawed soils report to the plaintiff. Ralph J. concluded the plaintiff had relied on the report before he proceeded with further construction work, notwithstanding that the plaintiff had not seen the report when he made his decision to proceed. Ralph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In the recent decision of </w:t>
      </w:r>
      <w:r>
        <w:rPr>
          <w:rFonts w:ascii="arial" w:eastAsia="arial" w:hAnsi="arial" w:cs="arial"/>
          <w:i/>
          <w:color w:val="000000"/>
          <w:sz w:val="20"/>
          <w:lang w:val="en-US" w:eastAsia="en-US" w:bidi="ar-SA"/>
        </w:rPr>
        <w:t>Earl v. Wilhelm</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(2000), 189 Sask. R. 71</w:t>
        </w:r>
      </w:hyperlink>
      <w:r>
        <w:rPr>
          <w:rFonts w:ascii="arial" w:eastAsia="arial" w:hAnsi="arial" w:cs="arial"/>
          <w:color w:val="000000"/>
          <w:sz w:val="20"/>
          <w:lang w:val="en-US" w:eastAsia="en-US" w:bidi="ar-SA"/>
        </w:rPr>
        <w:t xml:space="preserve">, 216 W.A.C. 51 (Sask. C.A.), the Saskatchewan Court of Appeal adopted the principle enunciated in </w:t>
      </w:r>
      <w:r>
        <w:rPr>
          <w:rFonts w:ascii="arial" w:eastAsia="arial" w:hAnsi="arial" w:cs="arial"/>
          <w:i/>
          <w:color w:val="000000"/>
          <w:sz w:val="20"/>
          <w:lang w:val="en-US" w:eastAsia="en-US" w:bidi="ar-SA"/>
        </w:rPr>
        <w:t>White v Jones</w:t>
      </w:r>
      <w:r>
        <w:rPr>
          <w:rFonts w:ascii="arial" w:eastAsia="arial" w:hAnsi="arial" w:cs="arial"/>
          <w:color w:val="000000"/>
          <w:sz w:val="20"/>
          <w:lang w:val="en-US" w:eastAsia="en-US" w:bidi="ar-SA"/>
        </w:rPr>
        <w:t xml:space="preserve">, [1995] 1 All E.R. 691 (H.L.) to the effect that a lawyer, in drawing and executing a will, owes a duty of care to the beneficiaries named therein. A breach of that duty will give rise to liability to pay damages suffered by the beneficiaries as a result of the breach. The remedy extended to the beneficiaries was characterized as one arising under "the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xml:space="preserve"> principle", [1964] A.C. 465.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w:t>
      </w:r>
      <w:r>
        <w:rPr>
          <w:rFonts w:ascii="arial" w:eastAsia="arial" w:hAnsi="arial" w:cs="arial"/>
          <w:color w:val="000000"/>
          <w:sz w:val="20"/>
          <w:u w:val="single"/>
          <w:lang w:val="en-US" w:eastAsia="en-US" w:bidi="ar-SA"/>
        </w:rPr>
        <w:t>I think that these decisions support a conclusion that where a person provides a professional service, such as that of an engineer, in which it is reasonably foreseeable that a third party may suffer damage as a result of a negligent performance of that service, that professional person may owe a duty of care to the third party.</w:t>
      </w:r>
      <w:r>
        <w:rPr>
          <w:rFonts w:ascii="arial" w:eastAsia="arial" w:hAnsi="arial" w:cs="arial"/>
          <w:color w:val="000000"/>
          <w:sz w:val="20"/>
          <w:lang w:val="en-US" w:eastAsia="en-US" w:bidi="ar-SA"/>
        </w:rPr>
        <w:t xml:space="preserve"> That duty will be limited, however, by the application of the two-part test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In my view, it was within the reasonable contemplation of Mr. Klarich that carelessness on his part would cause damage to a person in the position of Mr. Burnett and I conclude that Mr. Klarich owed a duty of care to Mr. Burnett.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plaintiffs argue that, after hearing all the evidence at trial, the Court may conclude that both Scuka and WSB owed a duty of care to IHA.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plaintiffs argue it is not necessary to establish actual knowledge of IHA's reliance; rather, the Court must only find IHA belonged to a "limited class" of persons reasonably within the defendants' contemplation. These considerations will involve assessing the evidence. Consequently, assessing the claim on the affidavit evidence before the Court is premature: </w:t>
      </w:r>
      <w:r>
        <w:rPr>
          <w:rFonts w:ascii="arial" w:eastAsia="arial" w:hAnsi="arial" w:cs="arial"/>
          <w:i/>
          <w:color w:val="000000"/>
          <w:sz w:val="20"/>
          <w:lang w:val="en-US" w:eastAsia="en-US" w:bidi="ar-SA"/>
        </w:rPr>
        <w:t>Haig v. Bamford</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[1977] 1 S.C.R. 466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Moreover, the plaintiffs argue that courts have relaxed the requirement to prove reliance. An innocent third party within a limited class is not required to prove actual reliance when professionals' advice or services cause a loss. In any event, the plaintiffs argue they pleaded reliance, and that pleading must be taken as true for the application's purposes: </w:t>
      </w:r>
      <w:r>
        <w:rPr>
          <w:rFonts w:ascii="arial" w:eastAsia="arial" w:hAnsi="arial" w:cs="arial"/>
          <w:i/>
          <w:color w:val="000000"/>
          <w:sz w:val="20"/>
          <w:lang w:val="en-US" w:eastAsia="en-US" w:bidi="ar-SA"/>
        </w:rPr>
        <w:t>R.B.O.</w:t>
      </w:r>
      <w:r>
        <w:rPr>
          <w:rFonts w:ascii="arial" w:eastAsia="arial" w:hAnsi="arial" w:cs="arial"/>
          <w:color w:val="000000"/>
          <w:sz w:val="20"/>
          <w:lang w:val="en-US" w:eastAsia="en-US" w:bidi="ar-SA"/>
        </w:rPr>
        <w:t xml:space="preserve"> (C.A.) at para. 67; </w:t>
      </w:r>
      <w:r>
        <w:rPr>
          <w:rFonts w:ascii="arial" w:eastAsia="arial" w:hAnsi="arial" w:cs="arial"/>
          <w:i/>
          <w:color w:val="000000"/>
          <w:sz w:val="20"/>
          <w:lang w:val="en-US" w:eastAsia="en-US" w:bidi="ar-SA"/>
        </w:rPr>
        <w:t>James</w:t>
      </w:r>
      <w:r>
        <w:rPr>
          <w:rFonts w:ascii="arial" w:eastAsia="arial" w:hAnsi="arial" w:cs="arial"/>
          <w:color w:val="000000"/>
          <w:sz w:val="20"/>
          <w:lang w:val="en-US" w:eastAsia="en-US" w:bidi="ar-SA"/>
        </w:rPr>
        <w:t xml:space="preserve">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Negligent Supply of Shoddy Goods or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Both parties referred to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where the Supreme Court of Canada allowed a claim for economic loss where a negligent builder constructed a condominium with potentially dangerous defects. To achieve recovery for the costs of repair, the Court said at para. 36 that the defect must pose a "real and substantial danger to the inhabitants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Awarding damages to subsequent purchasers for dangerous defects was permissible because it did not pose an indeterminate liability problem. The class of persons who might suffer losses was limited to those people who owned units in the complex. The extent of liability was limited to the reasonable costs of restoring the building to its non-dangerous state: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allows for recovery limited to the cost of repairing the dangerous defects resulting from a negligent design. The indeterminacy of damages is avoided because claims are limited to the repair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defendants argue the policy reasons resulting in imposing liability in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do not exist in this case. In that case, the Court concluded it was preferable to encourage building owners to fix dangerous defects than to risk material falling from the building and endangering lives. The defendants argue the same policy reasons do not apply to more remote losses such as IHA's claims arising from their statutory or contractual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plaintiffs argue that no policy considerations preclude finding the defendants owed a recognized duty of care to IHA. They allege the defendants owed a duty to ensure that the building did not contain defects posing foreseeable dangers to the health and safety of the occupants: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Winnipeg Condominium</w:t>
      </w:r>
      <w:r>
        <w:rPr>
          <w:rFonts w:ascii="arial" w:eastAsia="arial" w:hAnsi="arial" w:cs="arial"/>
          <w:color w:val="000000"/>
          <w:sz w:val="20"/>
          <w:lang w:val="en-US" w:eastAsia="en-US" w:bidi="ar-SA"/>
        </w:rPr>
        <w:t xml:space="preserve"> is distinguishable from this case because in that case the defendants were obligated to repair the dangerous defects and obviate the public's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the circumstances of this case, IHA's role derives from its statutory mandate to provide health services to southern interior residents. Its damages flow from its engagement to provide services at the Addition; the claim does not relate to any costs associated with remediating the building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However, in </w:t>
      </w:r>
      <w:r>
        <w:rPr>
          <w:rFonts w:ascii="arial" w:eastAsia="arial" w:hAnsi="arial" w:cs="arial"/>
          <w:i/>
          <w:color w:val="000000"/>
          <w:sz w:val="20"/>
          <w:lang w:val="en-US" w:eastAsia="en-US" w:bidi="ar-SA"/>
        </w:rPr>
        <w:t>Took</w:t>
      </w:r>
      <w:r>
        <w:rPr>
          <w:rFonts w:ascii="arial" w:eastAsia="arial" w:hAnsi="arial" w:cs="arial"/>
          <w:color w:val="000000"/>
          <w:sz w:val="20"/>
          <w:lang w:val="en-US" w:eastAsia="en-US" w:bidi="ar-SA"/>
        </w:rPr>
        <w:t xml:space="preserve"> at paras. 39-40, Ralph J. concluded that the third party might suffer damages because of the negligent performance of a person providing professional services in constructing a residence. The third party is within the reasonable contemplation of the professional service provider. On this basis, I cannot say at this stage of the proceeding that IHA is bound to fail in its claim that it was reasonably foreseeable that it might suffer damages because of the defendants. It may have been within IHA's reasonable contemplation that WSB and Scuka would be in the class of persons providing professional services essential to the Addition's occupancy and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ultimate decision on this point will require carefully considering all the evidence touching on the knowledge of the parties and their servants or agents.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Relational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A duty of care to a third party may arise where that party suffers losses resulting from damages to another party's property: </w:t>
      </w:r>
      <w:r>
        <w:rPr>
          <w:rFonts w:ascii="arial" w:eastAsia="arial" w:hAnsi="arial" w:cs="arial"/>
          <w:i/>
          <w:color w:val="000000"/>
          <w:sz w:val="20"/>
          <w:lang w:val="en-US" w:eastAsia="en-US" w:bidi="ar-SA"/>
        </w:rPr>
        <w:t>Norsk; Design Services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plaintiffs assert this case qualifies as a "common venture" or "joint venture" exception that permits recovery for relational economic losses: </w:t>
      </w:r>
      <w:r>
        <w:rPr>
          <w:rFonts w:ascii="arial" w:eastAsia="arial" w:hAnsi="arial" w:cs="arial"/>
          <w:i/>
          <w:color w:val="000000"/>
          <w:sz w:val="20"/>
          <w:lang w:val="en-US" w:eastAsia="en-US" w:bidi="ar-SA"/>
        </w:rPr>
        <w:t>Bow Valley</w:t>
      </w:r>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plaintiffs argue they will demonstrate at trial the necessary characteristics of joint common venture in the parties' relationship to provide housing and assisted living care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plaintiffs argue the circumstances of this case are analogous to the plaintiff's in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The common venture with the Society and BC Housing was to provide residents with housing in assisted living care facilities. I observed that various documents tendered by IHA disclose a relationship between it, BC Housing, InSite and the Society in providing those services to southern interior 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defendants claim that IHA did not have a proprietary or possessory interest in the damaged property: see </w:t>
      </w:r>
      <w:r>
        <w:rPr>
          <w:rFonts w:ascii="arial" w:eastAsia="arial" w:hAnsi="arial" w:cs="arial"/>
          <w:i/>
          <w:color w:val="000000"/>
          <w:sz w:val="20"/>
          <w:lang w:val="en-US" w:eastAsia="en-US" w:bidi="ar-SA"/>
        </w:rPr>
        <w:t>Bow Valley</w:t>
      </w:r>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defendants point to the plaintiffs' pleading that the Addition suffered "defects and damage". They argue that relational economic loss requires damage to a third party's property; building defects are not property damage although they may cause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at paras. 279-280 McLachlin C.J.C.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[279] Such a characterization brings the situation into the "joint" or "common venture" category under which recovery for purely economic loss has heretofore been recognized in maritime law cases from the United Kingdom (</w:t>
      </w:r>
      <w:r>
        <w:rPr>
          <w:rFonts w:ascii="arial" w:eastAsia="arial" w:hAnsi="arial" w:cs="arial"/>
          <w:i/>
          <w:color w:val="000000"/>
          <w:sz w:val="20"/>
          <w:lang w:val="en-US" w:eastAsia="en-US" w:bidi="ar-SA"/>
        </w:rPr>
        <w:t>The Greystoke Castle</w:t>
      </w:r>
      <w:r>
        <w:rPr>
          <w:rFonts w:ascii="arial" w:eastAsia="arial" w:hAnsi="arial" w:cs="arial"/>
          <w:color w:val="000000"/>
          <w:sz w:val="20"/>
          <w:lang w:val="en-US" w:eastAsia="en-US" w:bidi="ar-SA"/>
        </w:rPr>
        <w:t>, [1947] A.C. 265) and the United States (</w:t>
      </w:r>
      <w:r>
        <w:rPr>
          <w:rFonts w:ascii="arial" w:eastAsia="arial" w:hAnsi="arial" w:cs="arial"/>
          <w:i/>
          <w:color w:val="000000"/>
          <w:sz w:val="20"/>
          <w:lang w:val="en-US" w:eastAsia="en-US" w:bidi="ar-SA"/>
        </w:rPr>
        <w:t>Amoco Transport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reasoning, as I apprehend it, is that where the plaintiff's operations are so closely allied to the operations of the party suffering physical damage and to its property (which -- as damaged -- causes the plaintiff's loss) that it can be considered a joint venturer with the owner of the property, the plaintiff can recover its economic loss even though the plaintiff has suffered no physical damage to its own property. To deny recovery in such circumstances would be to deny it to a person who for practical purposes is in the same position as if he or she owned the property physically damaged.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[280] The second question is whether extension of recovery to this type of loss is desirable from a practical point of view. Recovery serves the purpose of permitting a plaintiff whose position for practical purposes, vis-à-vis the tortfeasor, is indistinguishable from that of the owner of the damaged property, to recover what the actual owner could have recovered. This is fair and avoids an anomalous result. Nor does the recovery of economic loss in this case open the floodgates to unlimited liability. The category is a limited one. It has been applied in England and the United States without apparent difficulty. It does not embrace casual users of the property or those secondarily and incidentally affected by the damage done to the property. Potential tortfeasors can gauge in advance the scope of their liability. Businesses are not precluded from self-insurance or from contracting for indemnity, nor are they 'penalized' for not so doing. Finally, frivolous claims are not encouraged.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McLachlin C.J.C. dealt with her differences with La Forest J.'s reasoning regarding the test for determining a joint venture. She said at paras. 282-283: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[282] ... We also agree that the law of tort does not permit recovery for all economic loss. We further agree that where the plaintiff establishes a joint venture with the owner of the damaged property, it should be able to recover economic loss. Where we differ, in the final analysis, is on the test for determining joint 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[283] La Forest J. says that the right to recovery in cases such as this depends exclusively on the terms of the formal contract between the plaintiff and the property owner. If the contract creates a possessory interest or a joint venture, or if it provides for indemnification by the property owner, the plaintiff may recover against a tortfeasor who damages the property and causes economic loss. I do not read the authorities which have considered the implications of a joint venture between the plaintiff and the owner of the damaged property as confining themselves to the formal terms of the contract. I prefer a more flexible test which permits the trial judge to consider all factors relevant to their relationship. The terms of the contract are an important consideration in determining whether economic loss is recoverable. But the contract may tell only part of the story between the parties. </w:t>
      </w:r>
      <w:r>
        <w:rPr>
          <w:rFonts w:ascii="arial" w:eastAsia="arial" w:hAnsi="arial" w:cs="arial"/>
          <w:color w:val="000000"/>
          <w:sz w:val="20"/>
          <w:u w:val="single"/>
          <w:lang w:val="en-US" w:eastAsia="en-US" w:bidi="ar-SA"/>
        </w:rPr>
        <w:t>If the evidence establishes that having regard to the entire relationship between the owner of the damaged property and the plaintiff, the plaintiff must be regarded as standing in the relation of joint or common venturer (or a concept akin thereto) with the property owner with the result that in justice his rights against third parties should be the same as the owner's, then I would not interfere. Here as elsewhere in the law of tort, the question is where the balance between certainty and flexibility should be struck. It is my conviction, based on the development of the law relating to recovery of economic loss thus far, that the balance must be struck this side of rigid categorization which denies the possibility of recovery in new cases which may not meet the categorical 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NOCC alleges that IHA's damages occurred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including their failure to ensure that the Addition was constructed on a stable slope with structurally adequate soils and that the Addition would be structurally sound given the slope and soils on and around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IHA's claim is not restricted to negligent construction of the Addition; it also focuses on Scuka's failure to ensure that, once the Addition was properly constructed, it would not suffer damage because of its negligent failure to anticipate or guard against slope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defendants relied on </w:t>
      </w:r>
      <w:r>
        <w:rPr>
          <w:rFonts w:ascii="arial" w:eastAsia="arial" w:hAnsi="arial" w:cs="arial"/>
          <w:i/>
          <w:color w:val="000000"/>
          <w:sz w:val="20"/>
          <w:lang w:val="en-US" w:eastAsia="en-US" w:bidi="ar-SA"/>
        </w:rPr>
        <w:t>R.B.O.</w:t>
      </w:r>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in addressing the question of a new category of economic loss claim. This summary trial decision of Preston J. considered extensive evidence in the actions of two parties. He discussed whether parties to this housing project were joint venturers and concluded this determination was a question of fact. He reviewed all of the contracts for providing the services between the parties and determined that their relationship was not a joint venture. Consequently, he rejected the possibility that the plaintiff was entitled to pure economic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R.B.O.</w:t>
      </w:r>
      <w:r>
        <w:rPr>
          <w:rFonts w:ascii="arial" w:eastAsia="arial" w:hAnsi="arial" w:cs="arial"/>
          <w:color w:val="000000"/>
          <w:sz w:val="20"/>
          <w:lang w:val="en-US" w:eastAsia="en-US" w:bidi="ar-SA"/>
        </w:rPr>
        <w:t xml:space="preserve"> (S.C.), Preston J. also concluded that, as a factual matter, the plaintiff had not relied on the defendant, and he could not imply an undertaking by the defendant to care for the plaintiff's economic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this case, I conclude the plaintiffs will be able to amend their statement of claim to properly address the issues arising under the relational economic loss category. The plaintiffs might successfully plead and prove the Addition was part of a joint venture or common venture between IHA, the Society and BC Housing to provide assisted living housing to tenants occupying the Addition when it began to fail as a result of ground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cannot conclude that the claim is bound to fail on this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New Category of Recoverable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defendants submit that IHA's claims cannot be considered a new category of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plaintiffs also argue that if their claim does not fit within one of the recognized categories, it would be inappropriate to dismiss a novel claim without hearing all of the issues in the evidence. The harm was reasonably foreseeable, and it was clearly related to the wrongful conduct alleged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light of my conclusions regarding IHA's potential for success in the litigation, the negligent performance of services and relational economic loss, I do not need to further consider the question of creating a new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defendants have not demonstrated that IHA's claim presents no general issue for trial or that it discloses no reasonable claim. Consequently, I am dismissing both the Rule 9-6 and Rule 9-5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plaintiffs must amend their NOCC to meet the threshold necessary to advance their claims for pure economic loss; if the plaintiffs do not pursue this amendment, the defendants can apply to dismiss IHA's action on the current application's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If the parties wish, they may reset this matter for argument on the question of costs. In the absence of further argument, I will order that neither party recover the cost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1"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9" w:history="1">
        <w:r>
          <w:rPr>
            <w:rFonts w:ascii="arial" w:eastAsia="arial" w:hAnsi="arial" w:cs="arial"/>
            <w:b/>
            <w:bCs/>
            <w:i/>
            <w:color w:val="0077CC"/>
            <w:kern w:val="32"/>
            <w:sz w:val="28"/>
            <w:szCs w:val="32"/>
            <w:u w:val="single"/>
            <w:shd w:val="clear" w:color="auto" w:fill="FFFFFF"/>
            <w:lang w:val="en-US" w:eastAsia="en-US" w:bidi="ar-SA"/>
          </w:rPr>
          <w:t>Wong (Litigation guardian of) v. Lok's Martial Arts Centre Inc., [2009] B.C.J. No. 1992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P.M. Willcock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S102375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1992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1385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2 W.W.R. 729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C.C.L.T. (3d) 298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B.C.L.R. (4th) 183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2685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468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Victor Wong, an infant by his Litigation Guardian, Yen to and the said Yen to Plaintiffs, and Lok's Martial Arts Centre Inc. Michael Lok and Ramin Asgare Nik,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6" w:name="Keywords_41"/>
      <w:bookmarkEnd w:id="39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the defendants for summary judgment dismissing action dismissed — Plaintiff, a minor, was injured during sparring match at defendants' martial arts school — Plaintiff's mother had signed a release when plaintiff became member of school — Infants Act did not permit a parent or guardian to bind an infant to an agreement waiving the infant's right to bring an action in damages in tort — Rationale for prohibiting parents and guardians from releasing infants' claims after a cause of action had arisen applied to pre-tort releases.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Defences — Disclaimer or exclusion of risk — Application by the defendants for summary judgment dismissing action dismissed — Plaintiff, a minor, was injured during sparring match at defendants' martial arts school — Plaintiff's mother had signed a release when plaintiff became member of school — Infants Act did not permit a parent or guardian to bind an infant to an agreement waiving the infant's right to bring an action in damages in tort — Rationale for prohibiting parents and guardians from releasing infants' claims after a cause of action had arisen applied to pre-tort releases.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97" w:name="Case Summary_38"/>
            <w:bookmarkEnd w:id="3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summary judgment dismissing the action. The plaintiff, a minor, sued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was a member at the defendants' martial arts school. He was participated in a sparring match at the school when he was violently thrown to the ground by another participant and injured. The plaintiff alleged the defendants were negligent in failing to take preventative measures to ensure that injuries did not occur in the course of sparring matches. The defendants relied on a release signed by the plaintiff's mother stating that the students were responsible of their injuries and that the school was not liable for any injuries suffered. The evidence conflicted on whether the notice bringing the limitation of liability to customers' attention was posted and ought to have been seen by the plaintiff's guardian or the plaintiff prior to the sparring match in which he suffered his injury.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98" w:name="Holdings of Court_33"/>
            <w:bookmarkEnd w:id="39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was unable to resolve the conflict in the evidence respecting the posting of the limitation of liability and to determine whether the infant plaintiff or his mother on his behalf voluntarily assumed the risk of injury in this case. The legislature intended the Infants Act to establish the sole means of creating contractual obligations that bound minors. The Act did not permit a parent or guardian to bind an infant to an agreement waiving the infant's right to bring an action in damages in tort. The rationale for prohibiting parents and guardians from releasing infants' claims after a cause of action had arisen applied with some force to pre-tort releases as well.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99" w:name="Legislation Cited_32"/>
      <w:bookmarkEnd w:id="3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3"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Infants Act, Part 3, s. 19(1), s. 19(2), s. 20(1), s. 20(2), s. 20(3), s. 22(1), s. 22(2), s. 22(3), s. 25, s. 29, s. 40(1), s. 40(1.1), s. 40(2), s. 40(3), s. 40(4), s. 40(5), s. 40(6), s. 40(7), s. 40(8), s. 40(9), s. 40(10), s. 40(11), s. 40(12), s. 41(1), s. 41(2)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00" w:name="Counsel_42"/>
      <w:bookmarkEnd w:id="40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4"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B.T. Lepin.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M.S. Frost.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01" w:name="Judgment_42"/>
      <w:bookmarkEnd w:id="401"/>
      <w:r>
        <w:pict>
          <v:line id="_x0000_s1235"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02" w:name="P.M. WILLCOCK J."/>
            <w:bookmarkEnd w:id="402"/>
            <w:r>
              <w:rPr>
                <w:rFonts w:ascii="arial" w:eastAsia="arial" w:hAnsi="arial" w:cs="arial"/>
                <w:b/>
                <w:color w:val="000000"/>
                <w:sz w:val="30"/>
                <w:lang w:val="en-US" w:eastAsia="en-US" w:bidi="ar-SA"/>
              </w:rPr>
              <w:t>P.M. WILLCOCK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for an order pursuant to Rule 18A dismissing the plaintiff's claim against the defendants, Lok's Martial Arts Centre Inc. and Michael Lok.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was commenced by writ of summons issued November 21, 2006. The infant plaintiff, Victor Wong claims to have suffered injury as a result of a battery committed upon him by the defendant Nik, when he was violently thrown to the ground in the course of a sparring match at a Hapkido school owned and operated by the defendant Lok's Martial Arts Centre Inc. The defendant Michael Lok is the principal of Lok's Martial Arts Centre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claim against the defendant applicants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alleged that these defendants were negligent in failing to take preventative measures to ensure that injuries did not occur in the course of sparring matches by taking such measures as screening participants, instructing participants, requiring suitable protective gear or carefully supervising matches.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These defendants deny they were negligent. Their application to dismiss the claim is founded upon a document signed by the plaintiff's mother, his current litigation guardian, Yen To, at the time Victor Wong began participating in Hapkido on November 26, 2001. That document reads,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CONDITIONS OF MEMBERSHIP AND RELEASE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expressly agreed that all exercises and treatments, and use of all facilities shall be undertaken by the student's sole risk. LOK'S HAPKIDO SCHOOL and its affiliated studio's (Flying Eagle Hapkido, Flying Tiger Hapkido Studio and any other studio's) shall not be liable for any injuries, past/future medical complications, any claims, demand, injury, damages, actions or cause of actions whatsoever, including without limitation, those resulting from acts of active or passive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Lok's Hapkido School.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ARE RESPONSIBLE FOR ALL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infant plaintiff Victor Wong was born on June 3, 1989. When he was 12 years old on November 26, 2001, he commenced training in the Korean martial art of Hapkido at Lok's Martial Arts Centre Inc. It was at that time that his mother signed the membership form containing the words cited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Michael Lok is a Hapkido master. He obtained his black belt in 1985. He obtained his fifth degree black belt in 1997. With that designation, he was qualified to instruct Hapkido.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Yen To attended one or two sessions at Lok's Martial Arts Centre Inc. before deciding to enrol her three sons, one of whom was the plaintiff, Victor. Mr. Lok says that he made it clear to Yen To that it was essential that she sign the Conditions of Membership and Release before her sons could be enrolled.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Lok says "Despite the precautions taken in training and tuition, it is my view self-evident that martial arts involve some degree of personal risk, even though I do everything to minimize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Victor participated in Hapkido approximately once a week after enrolling. During that time, Mr. Lok says that there was a notice posted in a visible location at the door to the premises describing "sparring/weapons/visitors and general classes rules." One of these rules read as follows "Each student spars at his/her own risk (you may request not to spar)." The notice also contained the following warning: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impossible to check the past history of each student for alcohol or substance abuse or criminal record. We are not responsible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directly or indirectly by our school, instructors or by your student classmates.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notice further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visitors, employees, instructors and parents are responsible for any injuries within Lok's Hapkido School. We are not responsible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directly or indirectly by our school, instructors, visitors or by your student classmates.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large letters at the bottom of the notice, it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YOU ARE RESPONSIBLE FOR YOUR INJURIES ANY TIME WITHIN LOK'S HAPKIDO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Ms. To says she signed the Conditions of Membership and Release form but did not read it carefully or fully understand it. She knew if she did not sign it her sons would not be allowed to enrol in Hapkido classes. She says she had no intention of waiving her sons' rights to sue Mr. Lok or Lok's Martial Arts Centre Inc. for injuries resulting from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failure to properly supervise or lack of good judgment in selecting sparring partners. Ms. To says she did not receive or read the </w:t>
      </w:r>
      <w:r>
        <w:rPr>
          <w:rFonts w:ascii="arial" w:eastAsia="arial" w:hAnsi="arial" w:cs="arial"/>
          <w:i/>
          <w:color w:val="000000"/>
          <w:sz w:val="20"/>
          <w:lang w:val="en-US" w:eastAsia="en-US" w:bidi="ar-SA"/>
        </w:rPr>
        <w:t>sparring/weapons/visitors and general classes rule</w:t>
      </w:r>
      <w:r>
        <w:rPr>
          <w:rFonts w:ascii="arial" w:eastAsia="arial" w:hAnsi="arial" w:cs="arial"/>
          <w:color w:val="000000"/>
          <w:sz w:val="20"/>
          <w:lang w:val="en-US" w:eastAsia="en-US" w:bidi="ar-SA"/>
        </w:rPr>
        <w:t xml:space="preserve"> and claims to be unfamiliar with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To does not claim to have difficulty understanding English. Her affidavit is sworn in English without the assistance of an interpreter or translator.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infant plaintiff, Victor Wong, has sworn an affidavit in which he deposes he had not seen the </w:t>
      </w:r>
      <w:r>
        <w:rPr>
          <w:rFonts w:ascii="arial" w:eastAsia="arial" w:hAnsi="arial" w:cs="arial"/>
          <w:i/>
          <w:color w:val="000000"/>
          <w:sz w:val="20"/>
          <w:lang w:val="en-US" w:eastAsia="en-US" w:bidi="ar-SA"/>
        </w:rPr>
        <w:t>sparring/weapons/visitors and general classes rule</w:t>
      </w:r>
      <w:r>
        <w:rPr>
          <w:rFonts w:ascii="arial" w:eastAsia="arial" w:hAnsi="arial" w:cs="arial"/>
          <w:color w:val="000000"/>
          <w:sz w:val="20"/>
          <w:lang w:val="en-US" w:eastAsia="en-US" w:bidi="ar-SA"/>
        </w:rPr>
        <w:t xml:space="preserve"> before his injury and the form bears a Lok's Martial Centre logo that is different from the logo with which he was familiar as a student. He says he did not sign a waiver of his legal rights and did not authorize his mother to waive any rights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response to the plaintiffs' affidavits, Mr. Lok deposes that Mrs. To's English is excellent and examinations for discovery were conducted in English without translation.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an excerpt from her examination for discovery in evidence on the motion, Ms. To acknowledged she signed the release. She read the portion of the release that said "You are responsible for all injuries." She does not recall discussing the release with Mr. Lok.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To acknowledged she understood that Hapkido was a martial art, when she signed the release, and knew it would involve some falling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Parties agree the issue before me is suitable for determination pursuant to Rule 18A. There are two issues on the defendants' application for summary dismissal of the plaintiff's claim:</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child's parent can effectively execute a pre-tort release on behalf of a minor; and</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the release executed in this case is sufficiently broad to require that the plaintiff's claim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Defendant's Authority on the Efficacy of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 the efficacy of the release, the defendant relies upon </w:t>
      </w:r>
      <w:r>
        <w:rPr>
          <w:rFonts w:ascii="arial" w:eastAsia="arial" w:hAnsi="arial" w:cs="arial"/>
          <w:i/>
          <w:color w:val="000000"/>
          <w:sz w:val="20"/>
          <w:lang w:val="en-US" w:eastAsia="en-US" w:bidi="ar-SA"/>
        </w:rPr>
        <w:t>Carol v. Silver Star Mountain Resorts</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Ocsko v. Cypress Bowl Recreations</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(1992), 95 D.L.R. (4th) 701</w:t>
        </w:r>
      </w:hyperlink>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(1992), 74 B.C.L.R. (2d) 159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Clarke v. Action Driving School</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[1996] B.C.J. No. 953</w:t>
        </w:r>
      </w:hyperlink>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1996 CanLII 2649</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Mayer v. Big White Ski Resort Limited</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[1998] B.C.J. No. 2155</w:t>
        </w:r>
      </w:hyperlink>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1998 CanLII 5114</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Goodspeed v. Tyex Mountain Lake Resort</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2005 BCSC 1577</w:t>
        </w:r>
      </w:hyperlink>
      <w:r>
        <w:rPr>
          <w:rFonts w:ascii="arial" w:eastAsia="arial" w:hAnsi="arial" w:cs="arial"/>
          <w:color w:val="000000"/>
          <w:sz w:val="20"/>
          <w:lang w:val="en-US" w:eastAsia="en-US" w:bidi="ar-SA"/>
        </w:rPr>
        <w:t>. These cases stand as authority for the proposition that the Courts will give effect to a clearly worded release executed prior to enrolment in a recreational activity. There is no general requirement that a party tendering the document for signature ensure that the party signing the document reads and understands its terms unless a reasonable person in their circumstances should have known that the party signing was not consenting to those terms. The Court will give a plain and ordinary meaning to the words of the release but where there is ambiguity resolve it in favour of the party to whom the contract is proffered.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Defendant's Authority on Parental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 says that the "plenitude" of parental powers includes the power to enter into a pre-tort contract on behalf of an infant, waiving the infant's right to bring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 is not able to provide direct authority for this proposition. The Defendant relies, rather, upon the following cases, broadly defining the powers of a guardian and cases where the Courts have expressed support for the proposition that a parent may waive a child's claim in battery arising from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Wong and Yung</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2000 BCSC 1536</w:t>
        </w:r>
      </w:hyperlink>
      <w:r>
        <w:rPr>
          <w:rFonts w:ascii="arial" w:eastAsia="arial" w:hAnsi="arial" w:cs="arial"/>
          <w:color w:val="000000"/>
          <w:sz w:val="20"/>
          <w:lang w:val="en-US" w:eastAsia="en-US" w:bidi="ar-SA"/>
        </w:rPr>
        <w:t xml:space="preserve">, the Court heard an application for an order pursuant to the Family Relations Act changing guardianship to a third party at the request of parents. In the course of considering the application, Stromberg-Stein J. commented on the nature of guardianship generally. A number of cases, including </w:t>
      </w:r>
      <w:r>
        <w:rPr>
          <w:rFonts w:ascii="arial" w:eastAsia="arial" w:hAnsi="arial" w:cs="arial"/>
          <w:i/>
          <w:color w:val="000000"/>
          <w:sz w:val="20"/>
          <w:lang w:val="en-US" w:eastAsia="en-US" w:bidi="ar-SA"/>
        </w:rPr>
        <w:t>Anson v. Anson</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(1987), 10 B.C.L.R. (2d) 357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(1990), 29 R.F.L. (3d) 113</w:t>
        </w:r>
      </w:hyperlink>
      <w:r>
        <w:rPr>
          <w:rFonts w:ascii="arial" w:eastAsia="arial" w:hAnsi="arial" w:cs="arial"/>
          <w:color w:val="000000"/>
          <w:sz w:val="20"/>
          <w:lang w:val="en-US" w:eastAsia="en-US" w:bidi="ar-SA"/>
        </w:rPr>
        <w:t xml:space="preserve"> (B.C.C.A.), were cited as authority for the proposition that a guardian has and obtains "the plenitude of parental power." This begs the question, however, which is whether that "full bundle of rights" includes the right to waive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behalf of a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MacDonald v. British Columbia</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2003 BCCA 428</w:t>
        </w:r>
      </w:hyperlink>
      <w:r>
        <w:rPr>
          <w:rFonts w:ascii="arial" w:eastAsia="arial" w:hAnsi="arial" w:cs="arial"/>
          <w:color w:val="000000"/>
          <w:sz w:val="20"/>
          <w:lang w:val="en-US" w:eastAsia="en-US" w:bidi="ar-SA"/>
        </w:rPr>
        <w:t xml:space="preserve">, the Court of Appeal, considering the appointment of a committee of an estate of a minor under the </w:t>
      </w:r>
      <w:r>
        <w:rPr>
          <w:rFonts w:ascii="arial" w:eastAsia="arial" w:hAnsi="arial" w:cs="arial"/>
          <w:i/>
          <w:color w:val="000000"/>
          <w:sz w:val="20"/>
          <w:lang w:val="en-US" w:eastAsia="en-US" w:bidi="ar-SA"/>
        </w:rPr>
        <w:t>Patients Property Act</w:t>
      </w:r>
      <w:r>
        <w:rPr>
          <w:rFonts w:ascii="arial" w:eastAsia="arial" w:hAnsi="arial" w:cs="arial"/>
          <w:color w:val="000000"/>
          <w:sz w:val="20"/>
          <w:lang w:val="en-US" w:eastAsia="en-US" w:bidi="ar-SA"/>
        </w:rPr>
        <w:t>, held that once the plaintiff reached the age of majority she became a person who was, because of mental infirmity arising from disease, incapable of managing his or her affairs. The clear implication of the judgment is that while the plaintiff was a minor her parents were capable of managing her affairs on her behalf, despite her incapacity. This case, again, is not of great assistance in answering the question: whether the plaintiff's parents would have been able to execute a release of claims on her behalf or whether there is some restriction on the plenitude of their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Toews v. Weisner</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2001 BCSC 15</w:t>
        </w:r>
      </w:hyperlink>
      <w:r>
        <w:rPr>
          <w:rFonts w:ascii="arial" w:eastAsia="arial" w:hAnsi="arial" w:cs="arial"/>
          <w:color w:val="000000"/>
          <w:sz w:val="20"/>
          <w:lang w:val="en-US" w:eastAsia="en-US" w:bidi="ar-SA"/>
        </w:rPr>
        <w:t>, the infant plaintiff brought an action in battery against a community health nurse, arguing that she had not consented to a vaccination. The community health nurse, in her defence, relied upon a form of release and consent for signature by the patient's parent or legal guardian and argued that that consent form would constitute a defence to a claim in battery.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Battery is the intentional infliction of unlawful force on another person. Consent is a defence to battery and consent may be either express or implied. The defendant carries the onus of proving that there was consent. In this case, because of the plaintiff's age</w:t>
      </w:r>
      <w:r>
        <w:rPr>
          <w:rFonts w:ascii="arial" w:eastAsia="arial" w:hAnsi="arial" w:cs="arial"/>
          <w:color w:val="000000"/>
          <w:sz w:val="20"/>
          <w:u w:val="single"/>
          <w:lang w:val="en-US" w:eastAsia="en-US" w:bidi="ar-SA"/>
        </w:rPr>
        <w:t>, it was common ground that consent had to be obtained from a parent or legal guardian rather than from the child herself</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Court concluded that there was no evidence of parental consent to the vaccination. The issue therefore became moot. It is implicit in the judgment, however, that the parent would have been capable of consenting to physical contact with the child and therefore, on the child's behalf, waiving a claim in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Plaintiff's Authority on Parental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says the principle that a parent cannot waive an infant's right to bring an action in tort is well settled and relies upon statements to that effect in the literature.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w:t>
      </w:r>
      <w:r>
        <w:rPr>
          <w:rFonts w:ascii="arial" w:eastAsia="arial" w:hAnsi="arial" w:cs="arial"/>
          <w:i/>
          <w:color w:val="000000"/>
          <w:sz w:val="20"/>
          <w:lang w:val="en-US" w:eastAsia="en-US" w:bidi="ar-SA"/>
        </w:rPr>
        <w:t xml:space="preserve"> Sports and the Law in Canada</w:t>
      </w:r>
      <w:r>
        <w:rPr>
          <w:rFonts w:ascii="arial" w:eastAsia="arial" w:hAnsi="arial" w:cs="arial"/>
          <w:color w:val="000000"/>
          <w:sz w:val="20"/>
          <w:lang w:val="en-US" w:eastAsia="en-US" w:bidi="ar-SA"/>
        </w:rPr>
        <w:t xml:space="preserve"> (3rd ed. Butterworths), John Barnes writes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Most contracts made by minors (or "infants") are only valid if they are for the minor's benefit. </w:t>
      </w:r>
      <w:r>
        <w:rPr>
          <w:rFonts w:ascii="arial" w:eastAsia="arial" w:hAnsi="arial" w:cs="arial"/>
          <w:color w:val="000000"/>
          <w:sz w:val="20"/>
          <w:u w:val="single"/>
          <w:lang w:val="en-US" w:eastAsia="en-US" w:bidi="ar-SA"/>
        </w:rPr>
        <w:t>Since a release or exclusion of rights is to the minor's disadvantage such contracts are not enforceable; even when co-signed by the parent or guardian.</w:t>
      </w:r>
      <w:r>
        <w:rPr>
          <w:rFonts w:ascii="arial" w:eastAsia="arial" w:hAnsi="arial" w:cs="arial"/>
          <w:color w:val="000000"/>
          <w:sz w:val="20"/>
          <w:lang w:val="en-US" w:eastAsia="en-US" w:bidi="ar-SA"/>
        </w:rPr>
        <w:t xml:space="preserve"> An effective waiver must, therefore, be exhaustive in its terms and carefully communicated to adult participants.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support of the proposition that exclusions of rights signed on behalf of a minor are not enforceable Barnes relies upon </w:t>
      </w:r>
      <w:r>
        <w:rPr>
          <w:rFonts w:ascii="arial" w:eastAsia="arial" w:hAnsi="arial" w:cs="arial"/>
          <w:i/>
          <w:color w:val="000000"/>
          <w:sz w:val="20"/>
          <w:lang w:val="en-US" w:eastAsia="en-US" w:bidi="ar-SA"/>
        </w:rPr>
        <w:t>Butterfield v. Sibbitt and Nipising Electric Supply Company,</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[1950] O.R. 504</w:t>
        </w:r>
      </w:hyperlink>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[1950] 4 D.L.R. 302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Swanson Estate v. Hanneson</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[1972] 3 W.W.R. 241</w:t>
        </w:r>
      </w:hyperlink>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26 D.L.R. (3d) 201</w:t>
        </w:r>
      </w:hyperlink>
      <w:r>
        <w:rPr>
          <w:rFonts w:ascii="arial" w:eastAsia="arial" w:hAnsi="arial" w:cs="arial"/>
          <w:color w:val="000000"/>
          <w:sz w:val="20"/>
          <w:lang w:val="en-US" w:eastAsia="en-US" w:bidi="ar-SA"/>
        </w:rPr>
        <w:t xml:space="preserve">, aff'd </w:t>
      </w:r>
      <w:hyperlink r:id="rId932" w:history="1">
        <w:r>
          <w:rPr>
            <w:rFonts w:ascii="arial" w:eastAsia="arial" w:hAnsi="arial" w:cs="arial"/>
            <w:i/>
            <w:color w:val="0077CC"/>
            <w:sz w:val="20"/>
            <w:u w:val="single"/>
            <w:shd w:val="clear" w:color="auto" w:fill="FFFFFF"/>
            <w:lang w:val="en-US" w:eastAsia="en-US" w:bidi="ar-SA"/>
          </w:rPr>
          <w:t>[1973] 6 W.W.R. 179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Crawford v. Ferris</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[1953] O.W.N. 713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 v. Sinclair</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(1980), 15 C.C.L.T. 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Unfortunately the cases cited are not strong authority for the proposition for which Barnes says they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Butterfield</w:t>
      </w:r>
      <w:r>
        <w:rPr>
          <w:rFonts w:ascii="arial" w:eastAsia="arial" w:hAnsi="arial" w:cs="arial"/>
          <w:color w:val="000000"/>
          <w:sz w:val="20"/>
          <w:lang w:val="en-US" w:eastAsia="en-US" w:bidi="ar-SA"/>
        </w:rPr>
        <w:t>, the infant plaintiff retained a solicitor after his injury. He then entered into a settlement with a representative of the defendants. At the time of the execution of the release he was a minor. When his condition deteriorated significantly after execution of the release, he retained new counsel who applied to set aside the release on the ground that it had been executed by a minor. There was an issue whether the contract was void or voidable and whether return of the money paid in settlement was a prerequisite to voiding the release. There was also a question whether the plaintiff had failed to repudiate the settlement once he became an adult. There is no discussion in the case of the ability of a parent to sign a release for a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Swanson Estate</w:t>
      </w:r>
      <w:r>
        <w:rPr>
          <w:rFonts w:ascii="arial" w:eastAsia="arial" w:hAnsi="arial" w:cs="arial"/>
          <w:color w:val="000000"/>
          <w:sz w:val="20"/>
          <w:lang w:val="en-US" w:eastAsia="en-US" w:bidi="ar-SA"/>
        </w:rPr>
        <w:t xml:space="preserve">, an action was brought by the estate of a 15-year old who died in an accident at a motor speedway. The teenager had been participating in the activity at the speedway and, in order to do so, had signed a release. The Court held that as he was an infant his position was governed under the principle expressed in </w:t>
      </w:r>
      <w:r>
        <w:rPr>
          <w:rFonts w:ascii="arial" w:eastAsia="arial" w:hAnsi="arial" w:cs="arial"/>
          <w:i/>
          <w:color w:val="000000"/>
          <w:sz w:val="20"/>
          <w:lang w:val="en-US" w:eastAsia="en-US" w:bidi="ar-SA"/>
        </w:rPr>
        <w:t>Butterfield</w:t>
      </w:r>
      <w:r>
        <w:rPr>
          <w:rFonts w:ascii="arial" w:eastAsia="arial" w:hAnsi="arial" w:cs="arial"/>
          <w:color w:val="000000"/>
          <w:sz w:val="20"/>
          <w:lang w:val="en-US" w:eastAsia="en-US" w:bidi="ar-SA"/>
        </w:rPr>
        <w:t>. The Court further held that the release was ineffective in relation to the claim brought by both an adult injured in the accident and the infant plaintiff. The comments with respect to Swanson's infancy are therefore dicta. In any event, they are not helpful because the case is yet another example of a defendant seeking to rely upon a release executed by a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Crawford,</w:t>
      </w:r>
      <w:r>
        <w:rPr>
          <w:rFonts w:ascii="arial" w:eastAsia="arial" w:hAnsi="arial" w:cs="arial"/>
          <w:color w:val="000000"/>
          <w:sz w:val="20"/>
          <w:lang w:val="en-US" w:eastAsia="en-US" w:bidi="ar-SA"/>
        </w:rPr>
        <w:t xml:space="preserve"> the defendant sought the dismissal of the claim on the basis that the infant plaintiff had signed a register containing a release before going horseback riding. The Plaintiff denied signing the register. The Court found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is no express discussion of the waiver defence other than the following comment by Barlow J.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who was only 17 years old at the time of the accident is probably not bound by the heading with respect to risk found on the register ... and I am not basing my decision on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Like the </w:t>
      </w:r>
      <w:r>
        <w:rPr>
          <w:rFonts w:ascii="arial" w:eastAsia="arial" w:hAnsi="arial" w:cs="arial"/>
          <w:i/>
          <w:color w:val="000000"/>
          <w:sz w:val="20"/>
          <w:lang w:val="en-US" w:eastAsia="en-US" w:bidi="ar-SA"/>
        </w:rPr>
        <w:t>Swanson</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M. v. Sinclair</w:t>
      </w:r>
      <w:r>
        <w:rPr>
          <w:rFonts w:ascii="arial" w:eastAsia="arial" w:hAnsi="arial" w:cs="arial"/>
          <w:color w:val="000000"/>
          <w:sz w:val="20"/>
          <w:lang w:val="en-US" w:eastAsia="en-US" w:bidi="ar-SA"/>
        </w:rPr>
        <w:t xml:space="preserve"> is decided on the terms of the release. There were pre-tort waivers signed by both the infant plaintiff and his father. Lerner J. held that the infant was incapable of signing a waiver on his own behalf and that the waiver signed by his father did not clearly bar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doing so, he noted, at p. 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hardly necessary to state that the infant plaintiff Michael Miller and his sister were clearly not bound by their undertakings to waive any rights to claim because they were under the age of accountability. But, apart from that disability and </w:t>
      </w:r>
      <w:r>
        <w:rPr>
          <w:rFonts w:ascii="arial" w:eastAsia="arial" w:hAnsi="arial" w:cs="arial"/>
          <w:color w:val="000000"/>
          <w:sz w:val="20"/>
          <w:u w:val="single"/>
          <w:lang w:val="en-US" w:eastAsia="en-US" w:bidi="ar-SA"/>
        </w:rPr>
        <w:t>assuming that Mr. Miller, on his own behalf, could waive any right to claim and if the tenuous argument was successfully made that he could bind his children</w:t>
      </w:r>
      <w:r>
        <w:rPr>
          <w:rFonts w:ascii="arial" w:eastAsia="arial" w:hAnsi="arial" w:cs="arial"/>
          <w:color w:val="000000"/>
          <w:sz w:val="20"/>
          <w:lang w:val="en-US" w:eastAsia="en-US" w:bidi="ar-SA"/>
        </w:rPr>
        <w:t>, the waiver would still fall on other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Waivers and Other Agreements</w:t>
      </w:r>
      <w:r>
        <w:rPr>
          <w:rFonts w:ascii="arial" w:eastAsia="arial" w:hAnsi="arial" w:cs="arial"/>
          <w:color w:val="000000"/>
          <w:sz w:val="20"/>
          <w:lang w:val="en-US" w:eastAsia="en-US" w:bidi="ar-SA"/>
        </w:rPr>
        <w:t xml:space="preserve"> (Centre for Sports and Law Edmonton, Alberta 1993) Corbett and Findlay write at p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person signing the waiver must have the authority to sign a legal contract: in most provinces this means being 18 years of age or older. Children cannot sign contracts, nor can they sign waivers</w:t>
      </w:r>
      <w:r>
        <w:rPr>
          <w:rFonts w:ascii="arial" w:eastAsia="arial" w:hAnsi="arial" w:cs="arial"/>
          <w:color w:val="000000"/>
          <w:sz w:val="20"/>
          <w:u w:val="single"/>
          <w:lang w:val="en-US" w:eastAsia="en-US" w:bidi="ar-SA"/>
        </w:rPr>
        <w:t>. Parents or guardians cannot sign a contract or waiver for a child.</w:t>
      </w:r>
      <w:r>
        <w:rPr>
          <w:rFonts w:ascii="arial" w:eastAsia="arial" w:hAnsi="arial" w:cs="arial"/>
          <w:color w:val="000000"/>
          <w:sz w:val="20"/>
          <w:lang w:val="en-US" w:eastAsia="en-US" w:bidi="ar-SA"/>
        </w:rPr>
        <w:t xml:space="preserve"> This means that waivers, in the strict legal sense, are useless in situations involving children or youth.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No authority is cited for this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 also relies upon </w:t>
      </w:r>
      <w:r>
        <w:rPr>
          <w:rFonts w:ascii="arial" w:eastAsia="arial" w:hAnsi="arial" w:cs="arial"/>
          <w:i/>
          <w:color w:val="000000"/>
          <w:sz w:val="20"/>
          <w:lang w:val="en-US" w:eastAsia="en-US" w:bidi="ar-SA"/>
        </w:rPr>
        <w:t>Stevens and Howitt</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[1969] 1 O.R. 761</w:t>
        </w:r>
      </w:hyperlink>
      <w:r>
        <w:rPr>
          <w:rFonts w:ascii="arial" w:eastAsia="arial" w:hAnsi="arial" w:cs="arial"/>
          <w:color w:val="000000"/>
          <w:sz w:val="20"/>
          <w:lang w:val="en-US" w:eastAsia="en-US" w:bidi="ar-SA"/>
        </w:rPr>
        <w:t xml:space="preserve"> (Ont. H.C.). In this case the Court considered an application to set aside a release executed by an adult on behalf of a minor. The release was executed following a motor vehicle accident as part of the settlement of a claim. The Court held that the agreement was so contrary to the established procedure for a settlement of infant claims that it could not be upheld as a binding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There is ample judicial support for this rule in relation to the settlement of claims for damages after the fact (see, for example: </w:t>
      </w:r>
      <w:r>
        <w:rPr>
          <w:rFonts w:ascii="arial" w:eastAsia="arial" w:hAnsi="arial" w:cs="arial"/>
          <w:i/>
          <w:color w:val="000000"/>
          <w:sz w:val="20"/>
          <w:lang w:val="en-US" w:eastAsia="en-US" w:bidi="ar-SA"/>
        </w:rPr>
        <w:t>Carey v. Freeman et al.</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[1938] O.R. 713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Carter et at. v. Junkin et al</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47 O.R. (2d) 427</w:t>
        </w:r>
      </w:hyperlink>
      <w:r>
        <w:rPr>
          <w:rFonts w:ascii="arial" w:eastAsia="arial" w:hAnsi="arial" w:cs="arial"/>
          <w:color w:val="000000"/>
          <w:sz w:val="20"/>
          <w:lang w:val="en-US" w:eastAsia="en-US" w:bidi="ar-SA"/>
        </w:rPr>
        <w:t>) but these cases are of limited assistance in addressing whether an effective pre-tort release may be executed by an adult on behalf of a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Canadian Jurisprudence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parties were unable to find any directly applicable Canadian cases. In the cases cited above the issue is not clearly addressed. In its recent review of the law, </w:t>
      </w:r>
      <w:r>
        <w:rPr>
          <w:rFonts w:ascii="arial" w:eastAsia="arial" w:hAnsi="arial" w:cs="arial"/>
          <w:i/>
          <w:color w:val="000000"/>
          <w:sz w:val="20"/>
          <w:lang w:val="en-US" w:eastAsia="en-US" w:bidi="ar-SA"/>
        </w:rPr>
        <w:t>Waivers Of Liability For Sporting And Recreational Injuries</w:t>
      </w:r>
      <w:r>
        <w:rPr>
          <w:rFonts w:ascii="arial" w:eastAsia="arial" w:hAnsi="arial" w:cs="arial"/>
          <w:color w:val="000000"/>
          <w:sz w:val="20"/>
          <w:lang w:val="en-US" w:eastAsia="en-US" w:bidi="ar-SA"/>
        </w:rPr>
        <w:t xml:space="preserve"> (Report #120 January 2009 ISBN 978-0-7711-1551-6 ), the Law Reform Commission of Manitoba has described the validity of parental waivers as "doubtful":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Waivers are commonly obtained from minors and their parents. They may have some practical force in persuading minors that they cannot sue, but their legal validity is doubtful.</w:t>
      </w:r>
      <w:r>
        <w:rPr>
          <w:rFonts w:ascii="arial" w:eastAsia="arial" w:hAnsi="arial" w:cs="arial"/>
          <w:color w:val="000000"/>
          <w:sz w:val="20"/>
          <w:lang w:val="en-US" w:eastAsia="en-US" w:bidi="ar-SA"/>
        </w:rPr>
        <w:t xml:space="preserve"> The general rule is that a contract with a minor for necessary goods and services is enforceable by and against the minor. Contracts for services which are not necessaries are enforceable by the minor but not against the minor. Waiver agreements and the underlying contract for sporting or recreational services are unlikely to be construed as necessary [</w:t>
      </w:r>
      <w:r>
        <w:rPr>
          <w:rFonts w:ascii="arial" w:eastAsia="arial" w:hAnsi="arial" w:cs="arial"/>
          <w:i/>
          <w:color w:val="000000"/>
          <w:sz w:val="20"/>
          <w:lang w:val="en-US" w:eastAsia="en-US" w:bidi="ar-SA"/>
        </w:rPr>
        <w:t>M. v. Sinclair</w:t>
      </w:r>
      <w:r>
        <w:rPr>
          <w:rFonts w:ascii="arial" w:eastAsia="arial" w:hAnsi="arial" w:cs="arial"/>
          <w:color w:val="000000"/>
          <w:sz w:val="20"/>
          <w:lang w:val="en-US" w:eastAsia="en-US" w:bidi="ar-SA"/>
        </w:rPr>
        <w:t>]. Providers may, however, attempt to foreclose indirectly the action of a child by means of an indemnity agreement signed by the parent. An indemnity agreement states that the parent will indemnify the provider for any legal costs or payments made pursuant to a settlement or trial judgment in favour of the child. It seeks to shift the loss from the provider to the parent thereby deterring a parent from instigating an action on behalf of the child. There is authority declaring such agreements to be against public policy [</w:t>
      </w:r>
      <w:r>
        <w:rPr>
          <w:rFonts w:ascii="arial" w:eastAsia="arial" w:hAnsi="arial" w:cs="arial"/>
          <w:i/>
          <w:color w:val="000000"/>
          <w:sz w:val="20"/>
          <w:lang w:val="en-US" w:eastAsia="en-US" w:bidi="ar-SA"/>
        </w:rPr>
        <w:t>Stevens v. Howitt</w:t>
      </w:r>
      <w:r>
        <w:rPr>
          <w:rFonts w:ascii="arial" w:eastAsia="arial" w:hAnsi="arial" w:cs="arial"/>
          <w:color w:val="000000"/>
          <w:sz w:val="20"/>
          <w:lang w:val="en-US" w:eastAsia="en-US" w:bidi="ar-SA"/>
        </w:rPr>
        <w:t>] and, therefore, void but the use of such agreements continues and the matter has not been tested recently.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sole case referred to in relation to the validity of waivers, </w:t>
      </w:r>
      <w:r>
        <w:rPr>
          <w:rFonts w:ascii="arial" w:eastAsia="arial" w:hAnsi="arial" w:cs="arial"/>
          <w:i/>
          <w:color w:val="000000"/>
          <w:sz w:val="20"/>
          <w:lang w:val="en-US" w:eastAsia="en-US" w:bidi="ar-SA"/>
        </w:rPr>
        <w:t>M. v. Sinclair</w:t>
      </w:r>
      <w:r>
        <w:rPr>
          <w:rFonts w:ascii="arial" w:eastAsia="arial" w:hAnsi="arial" w:cs="arial"/>
          <w:color w:val="000000"/>
          <w:sz w:val="20"/>
          <w:lang w:val="en-US" w:eastAsia="en-US" w:bidi="ar-SA"/>
        </w:rPr>
        <w:t xml:space="preserve"> is the judgment of Lerner J., cited above, in which an argument in support of the parental right to waive an infant's claim is described as "tenuous".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1994, the Law Reform Commission of British Columbia published </w:t>
      </w:r>
      <w:r>
        <w:rPr>
          <w:rFonts w:ascii="arial" w:eastAsia="arial" w:hAnsi="arial" w:cs="arial"/>
          <w:i/>
          <w:color w:val="000000"/>
          <w:sz w:val="20"/>
          <w:lang w:val="en-US" w:eastAsia="en-US" w:bidi="ar-SA"/>
        </w:rPr>
        <w:t>Report on Recreational Injuries: Liability and Waivers in Commercial Leisure Activities</w:t>
      </w:r>
      <w:r>
        <w:rPr>
          <w:rFonts w:ascii="arial" w:eastAsia="arial" w:hAnsi="arial" w:cs="arial"/>
          <w:color w:val="000000"/>
          <w:sz w:val="20"/>
          <w:lang w:val="en-US" w:eastAsia="en-US" w:bidi="ar-SA"/>
        </w:rPr>
        <w:t xml:space="preserve"> (October 1994). The Commission summarized its view of the law on minors and waivers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widespread practice of taking signed waivers in connection with minors' participation in various sports activities raises a number of questions. Is it to act as a deterrent, and so aid in controlling the cost of insurance</w:t>
      </w:r>
      <w:r>
        <w:rPr>
          <w:rFonts w:ascii="arial" w:eastAsia="arial" w:hAnsi="arial" w:cs="arial"/>
          <w:color w:val="000000"/>
          <w:sz w:val="20"/>
          <w:u w:val="single"/>
          <w:lang w:val="en-US" w:eastAsia="en-US" w:bidi="ar-SA"/>
        </w:rPr>
        <w:t>? Since they are unenforceable under the Infant Act</w:t>
      </w:r>
      <w:r>
        <w:rPr>
          <w:rFonts w:ascii="arial" w:eastAsia="arial" w:hAnsi="arial" w:cs="arial"/>
          <w:color w:val="000000"/>
          <w:sz w:val="20"/>
          <w:lang w:val="en-US" w:eastAsia="en-US" w:bidi="ar-SA"/>
        </w:rPr>
        <w:t>, they could do so only by deceiving parents into thinking they are barred from bringing an action on behalf of a negligently injured child.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Minors should not be prejudiced by their own or their parents' naiveté. This is the historic policy of the law, and it is still sound. Modern legislation in the Infant Act provides for minors to be granted capacity to enter into an enforceable agreement where it is clearly in their interests. The traditional protection should remain available where it is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real purpose is to obtain evidence of the acceptance of inherent risk by minors and their legal guardians, this can be done without the stratagem of an unenforceable waiver. It can be accomplished by taking a signed acknowledgment by the minor and the parents that they recognize the existence of inherent risks in the activity and agree to assume them. Such an acknowledgment is unobjectionable, as long as it contains no waiver or release language and no expanded, self-serving definition of inherent risk. Expanding on the common law notion of inherent risk in an acknowledgment-of-risk form for minors would impose on them the burden of others' wrongful acts and omissions. Any terms in an acknowledgment form which do so should have no legal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practice of extracting agreements from parents to indemnify operators in respect of legal actions on behalf of their children also contravenes the public policy of protecting minors' interests. They are clearly intended to discourage a parent from pursuing a child's rights. If there is doubt about the unenforceability of such indemnities, it should be removed.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Arguments for giving binding effect to waivers by minors or their parents based on the fact that the volenti defence can be raised against a minor are unconvincing. That defence usually succeeds today only where the plaintiff's conduct is imbued with illegality or is unusually foolhardy. Treating a minor who engages in obviously dangerous conduct as being conscious of the natural consequences of his or her acts is not analogous to holding the minor to the terms of a binding legal document, the contents of which may be deceptive even to adults.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Legislative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B.C. Law Reform Commission has expressed the view that signed waivers in connection with minors' participation in sports activities are unenforceable under the </w:t>
      </w:r>
      <w:r>
        <w:rPr>
          <w:rFonts w:ascii="arial" w:eastAsia="arial" w:hAnsi="arial" w:cs="arial"/>
          <w:i/>
          <w:color w:val="000000"/>
          <w:sz w:val="20"/>
          <w:lang w:val="en-US" w:eastAsia="en-US" w:bidi="ar-SA"/>
        </w:rPr>
        <w:t>Infants Act</w:t>
      </w:r>
      <w:r>
        <w:rPr>
          <w:rFonts w:ascii="arial" w:eastAsia="arial" w:hAnsi="arial" w:cs="arial"/>
          <w:color w:val="000000"/>
          <w:sz w:val="20"/>
          <w:lang w:val="en-US" w:eastAsia="en-US" w:bidi="ar-SA"/>
        </w:rPr>
        <w:t xml:space="preserve"> [R.S.B.C. 1996] C. 223. That is so only if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codifies the law in relation to contracts entered into by or on behalf of infants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Part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addresses contracts entered into by infants. Part 4 addresses the power of guardians to enter into contracts that will be binding upon infants.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Contracts Entered into by Infants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Part 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infants' contract enforceable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19(1) Subject to this Part, a contract made by a person who was an infant at the time the contract was made is unenforceable against him or her unless it is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 specified under another enactment to be enforceable against an infant,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affirmed by the infant on his or her reaching the age of majority,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performed or partially performed by the infant within one year after his or her attaining the age of majority,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repudiated by the infant within one year after his or her reaching the age of majority.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 that is unenforceable against an infant under subsection (1) is enforceable by an infant against an adult party to the contract to the same extent as if the infant were an adult at the time the contract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There is a procedure for seeking relief from the Courts in the event it is thought to be inequitable to permit a minor to avoid the consequences of a contract entered into on his or her own behalf.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appear to give the Court the authority to order specific performance of the contract. Compensation and restitution are the only available remedies: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for relief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 If a contract is unenforceable against an infant under section 19(1),</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infant,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infant has repudiated or is in breach of the contract, another party to the contract,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may apply to a court of competent jurisdiction for relief against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to the contract, or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(5), any person who has acquired a right to or interest in property transferred under the contract.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application under subsection (1), the Court may order that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compensation be paid by or to any of the parties to the contract,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be restitution of property,</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application be discharged from further obligations under the contract or with respect to property transferred under the contract, or</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compensation be paid to a person, not a party to the contract, who has been ordered to make restitution of property.</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making an order under subsection (2), the Court must consider</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surrounding the making of the contract,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infant induced any person to enter into the contract by misrepresenting his or her age,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and nature of the contract,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contract relating to property, the nature and value of the property,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 and means of the infant,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any party to the application has so changed the party's position that it would be unfair or inequitable to make an order against the party,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relevant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minor, on the other hand, may seek an order from the Public Trustee or the Court ratifying the contract before or after its execution.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to Public Guardian and Trustee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22(1) The Public Guardian and Trustee may, on an application made on behalf of an infant, make an order granting contractual capacity or ratifying a specific contract that the infant proposes to enter into or has entered into, if the Public Guardian and Trustee considers that the making of such an order would be in the interest of the infant.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making an order under subsection (1), the Public Guardian and Trustee must consider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subject matter and terms of the contract,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requirements of the infant, having regard to his or her particular circumstances,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 and means of the infant,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wishes of the infant's parent or guardian.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19(1) does not apply to a contract made by an infant in accordance with an order made under subsection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Section 25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preserves certain legal defences in claims arising out of or connected with voidable contracts entered into by a minor but cannot be said to lend legitimacy to a defence that does not arise by rule of law but is found in the voidable contract itself: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in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Nothing in this Act affects the rule of law by which a person is not liable in tort, if the action in tort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connected with,</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arises out of,</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contemplated by, or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an indirect means of enforcing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contract that is unenforceable against the person under section 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By s. 29, marriage settlements entered into by infants are excepted from the rule that infants' contracts are 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Contracts Entered into by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Section 40 regulates the Power of guardians to enter into agreements. Such agreements, subject only to certain specific exceptions, require either the approval of the Public Trustee or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 of guardian to enter into agreements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40(1) In subsections (7) and (11), "order" means an order of the Provincial Court if the Provincial Court has jurisdiction over the proceeding for recovery of the unliquidated damages.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guardian may make a binding agreement for an infant,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agreement involves a consideration not greater than $10 000, with the consent of the Public Guardian and Trustee, or</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case other than one referred to in paragraph (a), with the approval of the Court by order made on the petition of a party to the agreement.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(1.1) does not apply to an agreement to settle a claim by an infant for unliquidated damages.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to indemnify a person as a result of the person making an agreement with another person for an infant is void unless consented to or approved under subsection (1.1).</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agreement to settle a claim by an infant for unliquidated damages is proposed before a proceeding for recovery of the unliquidated damages is commenced and the proposed amount is not greater than $50 000, exclusive of interest and costs,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guardian, with the consent of the Public Guardian and Trustee, or</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Guardian and Trustee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make a binding agreement for the settlement of the claim.</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agreement to settle a claim by an infant for unliquidated damages is proposed before a proceeding for recovery of the unliquidated damages is commenced and the proposed amount is greater than $50 000, exclusive of interest and costs,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guardian of the infant, or</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Guardian and Trustee,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receipt of a court order granting approval, may make a binding agreement for the settlement of the claim.</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for approval of the Court under subsection (5) must be made by application of a party to the proposed agreement.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agreement to settle a claim by an infant for unliquidated damages is proposed after a proceeding for recovery of the unliquidated damages is commenced and the proposed amount is not greater than $50 000, exclusive of interest and costs, a litigation guardian, with the consent of the Public Guardian and Trustee, may consent to an order awarding damages in favour of the infant.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agreement to settle a claim by an infant for unliquidated damages is proposed after a proceeding for recovery of the unliquidated damages is commenced and the proposed amount is greater than $50 000, exclusive of interest and costs, a litigation guardian, on receipt of a court order granting approval, may consent to an order awarding damages in favour of the infant.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for approval of the Court under subsection (8) must be made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Court in which the proceeding has been commenced, and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application of a party to the proceeding.</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a party, other than the Public Guardian and Trustee, applies for approval of the Court under subsection (5) or (8), the party must obtain written comments from the Public Guardian and Trustee with respect to the proposed agreement to settle and must provide the written comments to the Court.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 proceeding described in subsection (7) or (8) has been commenced, the litigation guardian, with the consent of the Public Guardian and Trustee, may consent to an order dismissing all or part of the infant's claim.</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Public Guardian and Trustee makes an agreement or consents to an agreement under this section, the agreement or consent must be signified by the seal of the Public Guardian and Trustee.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Section 41 describes exceptions to this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41(1) Section 40 does not apply to any settlement or contract referred to in section 29, [marriage settlements] or to a lease, surrender or renewal of a lease referred to in sections 32 to 39.</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19 [providing that infants' contracts are unenforceable] does not apply to an agreement entered into in accordance with section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If this is a complete code, parents and guardians cannot enter into binding contracts on behalf of infants except in strict accordance with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Does the description of circumstances in which a guardian may enter onto a binding agreement on behalf of a minor imply that the guardian otherwise has no such power? Section 40(1.1) is broadly worded. Its plain reading suggests a guardian cannot enter into any binding agreement other than the specific excepted contracts unless the contract is approved by the Public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has some of the hallmarks of an attempt to codify the law. It expressly provides for marriage settlements, leases, settlement of claims for liquidated and unliquidated damages (before and after proceedings) and contracts made by infants themselves. The common law with respect to contracts by minors for necessities appears to have been considered and subsumed into the provisions of s. 20.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also provides for contracts expressly addressed in other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There is at least one apparent gap in the legislation.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suggests that a parent may consent to medical care for an infant but provides no means to do so. S. 17 expressly provides for cases where an infant has the capacity to consent to medical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Consent of infant to medical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17(2) Subject to subsection (3), an infant may consent to health care whether or not that health care would, in the absence of consent, constitute a trespass to the infant's person, and if an infant provides that consent, the consent is effective and it is not necessary to obtain a consent to the health care from the infant's parent or guardian.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request for or consent, agreement or acquiescence to health care by an infant does not constitute consent to the health care for the purposes of subsection (2) unless the health care provider providing the health care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explained to the infant and has been satisfied that the infant understands the nature and consequences and the reasonably foreseeable benefits and risks of the health care,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made reasonable efforts to determine and has concluded that the health care is in the infant's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description of circumstances where "it is not necessary to obtain a consent to the health care from the infant's parent or guardian" implies that consent can and must otherwise be obtained from an infant's parents or guardians.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no means for parents or guardians to effectively consent without the approval of the Public Trustee. It is unreasonable to suggest the legislature intended to require parents to seek the approval of the Public Trustee to routine medical care. In consent cases, at least, the legislature appears to have left some room for parental consent without state involvement. Giving consent in the context of medical care however is not equivalent to waiving a child's right to legal recourse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despite the fact that consent is a defence to a claim in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a summary trial application I am unable to resolve the conflict in the evidence with respect to whether the notice bringing the limitation of liability to customers' attention was posted and ought to have been seen by the Plaintiff's guardian or the Plaintiff prior to the sparring match in which he suffered his injury. I am not able to address any claim that the infant plaintiff or his mother on his behalf voluntarily assumed the risk of injury in this case. I can, however, address the question whether the release signed on enrolment is an effective bar to the infant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release is a simple document. It clearly states that the club shall not be liable for injuries, damages, actions or causes of actions whatsoever, including without limitation those resulting from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Hapkido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While employees are not expressly released by the form signed by Ms. To, Mr. Lok himself could rely upon the release as a bar to the Plaintiff's claim if the contract is not void. Here, as in </w:t>
      </w:r>
      <w:r>
        <w:rPr>
          <w:rFonts w:ascii="arial" w:eastAsia="arial" w:hAnsi="arial" w:cs="arial"/>
          <w:i/>
          <w:color w:val="000000"/>
          <w:sz w:val="20"/>
          <w:lang w:val="en-US" w:eastAsia="en-US" w:bidi="ar-SA"/>
        </w:rPr>
        <w:t>London Drugs Ltd. v. Kuehne &amp; Nagel International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xml:space="preserve"> the release must have been intended to protect the employees who will discharge the contractual obligations of Lok's Hopkido School Inc. The allegations made against Mr. Lok in the pleadings are that he failed to perform the very services the Plaintiff expected from the Hopkido School. In fact Mr. Lok and the school are difficult to distinguish. On the material they appear to be one and the same. The benefit of the clause should be extended to Mr. Lok.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wording of the release is broad. It was submitted that the initial words limit the scope of the release. The release begins with the words: "It is expressly agreed that all exercises and treatments, and use of all facilities shall be undertaken at the student's sole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suggests the sparring match that resulted in injury cannot be described as "exercise", "treatment" or "use of facilities". While I am of the view that the sparring match might be considered to be an "exercise" that question need not be answered in the Plaintiff's favour. The sentence cited is in the nature of a recital. It is followed by the statement "Lok's Hapkido School ... shall not be liable for injuries, damages, actions or causes of actions whatsoever, including without limitation those resulting from acts of active or passive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Hapkido School". A release from "any causes of action whatsoever" has usually been considered to be broad enough to constitute a general release of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wording of the release is broad enough that if it is effective to bind the infant plaintiff, the claim should be dismissed against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have considered the defendant's submissions that the Court should not limit the full range of parental authority. I am also cognizant of the policy reasons for permitting parents to sign limited releases (considered in the Washington State cases </w:t>
      </w:r>
      <w:r>
        <w:rPr>
          <w:rFonts w:ascii="arial" w:eastAsia="arial" w:hAnsi="arial" w:cs="arial"/>
          <w:i/>
          <w:color w:val="000000"/>
          <w:sz w:val="20"/>
          <w:lang w:val="en-US" w:eastAsia="en-US" w:bidi="ar-SA"/>
        </w:rPr>
        <w:t>Scott v. Pacific West Mountain Resort</w:t>
      </w:r>
      <w:r>
        <w:rPr>
          <w:rFonts w:ascii="arial" w:eastAsia="arial" w:hAnsi="arial" w:cs="arial"/>
          <w:color w:val="000000"/>
          <w:sz w:val="20"/>
          <w:lang w:val="en-US" w:eastAsia="en-US" w:bidi="ar-SA"/>
        </w:rPr>
        <w:t xml:space="preserve">, 834 P. 2d 6 (Wash. 1992); and </w:t>
      </w:r>
      <w:r>
        <w:rPr>
          <w:rFonts w:ascii="arial" w:eastAsia="arial" w:hAnsi="arial" w:cs="arial"/>
          <w:i/>
          <w:color w:val="000000"/>
          <w:sz w:val="20"/>
          <w:lang w:val="en-US" w:eastAsia="en-US" w:bidi="ar-SA"/>
        </w:rPr>
        <w:t>Wagenblast v. Odessa School Dist.</w:t>
      </w:r>
      <w:r>
        <w:rPr>
          <w:rFonts w:ascii="arial" w:eastAsia="arial" w:hAnsi="arial" w:cs="arial"/>
          <w:color w:val="000000"/>
          <w:sz w:val="20"/>
          <w:lang w:val="en-US" w:eastAsia="en-US" w:bidi="ar-SA"/>
        </w:rPr>
        <w:t xml:space="preserve"> (1988), 110 Wn. 2d 845, 758 P.2d 968) and the arguments that such releases are permissible in the common law. (Malamud and Karyan "Contractual Waivers for Minors In Sports-Related Activities" (1991-1992) 2 Marquette Sports L.J. 151; Doyice J. Cotten &amp; Sarah J. Young, in "Effectiveness of Parental Waivers, Parental Indemnification Agreements, and Parental Arbitration Agreements as Risk Management Tools" (2007) 17 J. Legal Aspects Sport 53; Robert Nelson, "The Theory of the Waiver Scale: An Argument Why Parents Should Be Able to Waive their Children's Tort Liability Claims" (2001-2002) 36 U.S.F. L. Rev. 535)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am of the opinion, however, reading the </w:t>
      </w:r>
      <w:r>
        <w:rPr>
          <w:rFonts w:ascii="arial" w:eastAsia="arial" w:hAnsi="arial" w:cs="arial"/>
          <w:i/>
          <w:color w:val="000000"/>
          <w:sz w:val="20"/>
          <w:lang w:val="en-US" w:eastAsia="en-US" w:bidi="ar-SA"/>
        </w:rPr>
        <w:t>Infants Act</w:t>
      </w:r>
      <w:r>
        <w:rPr>
          <w:rFonts w:ascii="arial" w:eastAsia="arial" w:hAnsi="arial" w:cs="arial"/>
          <w:color w:val="000000"/>
          <w:sz w:val="20"/>
          <w:lang w:val="en-US" w:eastAsia="en-US" w:bidi="ar-SA"/>
        </w:rPr>
        <w:t xml:space="preserve"> as a whole that the legislature intended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establish the sole means of creating contractual obligations that bind minors. In coming to this conclusion I place some weight upon the fact that the rationale for prohibiting parents and guardians from releasing infants' claims after a cause of action has arisen applies with some force to pre-tort releases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permit a parent or guardian to bind an infant to an agreement waiving the infant's right to bring an action in damages in tort. The Defendant's application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P.M. WILLCOCK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8"/>
          <w:headerReference w:type="default" r:id="rId939"/>
          <w:footerReference w:type="even" r:id="rId940"/>
          <w:footerReference w:type="default" r:id="rId941"/>
          <w:headerReference w:type="first" r:id="rId942"/>
          <w:footerReference w:type="first" r:id="rId9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4" w:history="1">
        <w:r>
          <w:rPr>
            <w:rFonts w:ascii="arial" w:eastAsia="arial" w:hAnsi="arial" w:cs="arial"/>
            <w:b/>
            <w:bCs/>
            <w:i/>
            <w:color w:val="0077CC"/>
            <w:kern w:val="32"/>
            <w:sz w:val="28"/>
            <w:szCs w:val="32"/>
            <w:u w:val="single"/>
            <w:shd w:val="clear" w:color="auto" w:fill="FFFFFF"/>
            <w:lang w:val="en-US" w:eastAsia="en-US" w:bidi="ar-SA"/>
          </w:rPr>
          <w:t>Wu v. Vancouver (City), [2017] B.C.J. No. 2284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Murray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6-10 and March 29-31,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S-144129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2284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2072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44 C.C.L.T. (4th) 104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3139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285 A.C.W.S. (3d) 781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 L.C.R. (2d) 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67 M.P.L.R. (5th) 225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Zheqiang Wu and Binxia Cao, Plaintiffs, and City of Vancouver,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7"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03" w:name="Keywords_42"/>
      <w:bookmarkEnd w:id="403"/>
      <w:r>
        <w:rPr>
          <w:rFonts w:ascii="arial" w:eastAsia="arial" w:hAnsi="arial" w:cs="arial"/>
          <w:b/>
          <w:color w:val="000000"/>
          <w:sz w:val="20"/>
          <w:lang w:val="en-US" w:eastAsia="en-US" w:bidi="ar-SA"/>
        </w:rPr>
        <w:t xml:space="preserve">Municipal law — Actions by and against — Actions against municipality — Action by homeowners seeking damages from municipality for delay in processing development permit for home allowed in part — Homeowners lacked cause of action for expropriation against municipality, as they purchased home knowing it might be designated heritage in future — No individual defendant named to sustain claim for abuse of office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established, where City acted in bad faith in failing to process application to demolish home and rebuild after heritage designation decided while City waited for new legislation to eliminate need to compensate homeowners subject to heritage designation of properties — Vancouver Charter, ss. 589, 590, 595.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Municipal law — Planning and development — Municipal or community plan — Content — Heritage conservation areas — Development permits — Heritage property protection — Designation of heritage property — Compensation — Action by homeowners seeking damages from municipality for delay in processing development permit for home allowed in part — Homeowners lacked cause of action for expropriation against municipality, as they purchased home knowing it might be designated heritage in future — No individual defendant named to sustain claim for abuse of office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established, where City acted in bad faith in failing to process application to demolish home and rebuild after heritage designation decided while City waited for new legislation to eliminate need to compensate homeowners subject to heritage designation of properties — Vancouver Charter, ss. 589, 590, 595.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04" w:name="Case Summary_39"/>
            <w:bookmarkEnd w:id="40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Wu and Cao for damages from the City of Vancouver for failing to make a decision on their development permit application to demolish an existing house and to build a new house. The house was located in the First Shaughnessy district, an exclusive area of Vancouver known for stately homes, many of which had historical importance. The City had adopted an Official Development Plan for the district in 1982. Before Wu and Cao made the purchase, their realtor, Liang, attended the City's building department and was advised that the home was not designated a protected heritage property. Leyland, an architect, investigated the property and learned that, although the home might have heritage value, it was not protected from demolition because it had not been designated a heritage property. Around that time, the City's evidence showed that approvals for demolitions of existing houses in the area could be granted in three to four months. Leyland made inquiries with the City and was informed that the City would have to designate the home as heritage to prevent its demolition, and that the City would owe compensation if it made such designation. Believing that the City would act in good faith, Wu and Cao purchased the property in December 2011. They hired Leyland to design their new house, communicate with the City and arrange for the demolition and new construction. Leyland commenced the pre-application process to demolish the home in March 2012. A heritage planning analyst with the City, McLean, recommended that the property be designated heritage. Wu and Cao were not interested in accepting the property's compensation or in maintaining the property for an incentive. By October 2012, the City had decided that the house had heritage merit. Leyland informed the City that the owners had no interest in retention of the property. Leyland applied for a development permit in January 2013, and paid the applicable fee. The City directed him to provide a report on the heritage value of the property, despite having already made a decision to designate it heritage. The City confirmed in November 2013 that it would seek heritage designation. Temporary heritage protection was ordered on December 18, 2013. The entire First Shaughnessy area was the subject of a temporary heritage control order in June 2014. Guidelines for the conservation of the area were implemented in September 2015, prohibiting the demolition of any homes in the area and eliminating the City's need to pay compensation.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05" w:name="Holdings of Court_34"/>
            <w:bookmarkEnd w:id="40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dealing with the homeowners, the City acted in bad faith by making them go to the time and expense of obtaining reports despite the City's decision to designate the home heritage, by ignoring what the homeowners wanted to do and repeatedly asking them to consider retention, by failing to abide by its own target dates and timelines, by failing to inform the homeowners in a timely way of its decisions. It was clear that the City wanted to delay the homeowners' application until the new legislation was passed, designating the entire area heritage, thereby avoiding the required compensation. The homeowners failed to make a case for expropriation given that they knew there was a risk the home would be designated heritage when they bought it. There was no abuse of public office claim made out against any particular City actor. The City owed a duty to the homeowners to decide their application to demolish and develop the property in a reasonable time. The harm to the homeowners was reasonably foreseeable. The City owed this duty only to those homeowners who had submitted a completed development application. It fell below the standard of a reasonably competent municipality in dealing with Wu and Cao's application. The homeowners were entitled to compensation for lost property value, expenses incurred during the delay period to maintain the property, and expenses associated with the report and for Leyland's services during the delay period.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06" w:name="Legislation Cited_33"/>
      <w:bookmarkEnd w:id="4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8"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City of Vancouver Zoning and Development Bylaw, s. 4.2.1, s. 4.2.2, s. 4.2.3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First Shaughnessy Official Development Plan, s.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Vancouver Charter, </w:t>
      </w:r>
      <w:hyperlink r:id="rId945" w:history="1">
        <w:r>
          <w:rPr>
            <w:rFonts w:ascii="arial" w:eastAsia="arial" w:hAnsi="arial" w:cs="arial"/>
            <w:i/>
            <w:color w:val="0077CC"/>
            <w:sz w:val="20"/>
            <w:u w:val="single"/>
            <w:shd w:val="clear" w:color="auto" w:fill="FFFFFF"/>
            <w:lang w:val="en-US" w:eastAsia="en-US" w:bidi="ar-SA"/>
          </w:rPr>
          <w:t>S.B.C. 1953, c. 55, s. 589</w:t>
        </w:r>
      </w:hyperlink>
      <w:r>
        <w:rPr>
          <w:rFonts w:ascii="arial" w:eastAsia="arial" w:hAnsi="arial" w:cs="arial"/>
          <w:color w:val="000000"/>
          <w:sz w:val="20"/>
          <w:lang w:val="en-US" w:eastAsia="en-US" w:bidi="ar-SA"/>
        </w:rPr>
        <w:t>, s. 590, s. 595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07" w:name="Counsel_43"/>
      <w:bookmarkEnd w:id="40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9"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R.D. Holmes, Q.C., J. Weisman.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 Murray.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08" w:name="Judgment_43"/>
      <w:bookmarkEnd w:id="408"/>
      <w:r>
        <w:pict>
          <v:line id="_x0000_s1240"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House and neighbourhood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Chronology of events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Pre-purchase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Pre-application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Submission of the development permit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Temporary heritage protection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City changes heritage controls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POSITION OF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was deficient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Building permit application missing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had 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POSITION OF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Abuse of Public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Expropriation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THE LAW--</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PUBLIC AUTHORITIES</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of Care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Harm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ANALYSIS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Foreseeability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Proximity</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Residual Policy Concerns</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of Care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Applicable Standard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City breach the Standard?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REMEDIES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09" w:name="C. MURRAY J."/>
            <w:bookmarkEnd w:id="409"/>
            <w:r>
              <w:rPr>
                <w:rFonts w:ascii="arial" w:eastAsia="arial" w:hAnsi="arial" w:cs="arial"/>
                <w:b/>
                <w:color w:val="000000"/>
                <w:sz w:val="30"/>
                <w:lang w:val="en-US" w:eastAsia="en-US" w:bidi="ar-SA"/>
              </w:rPr>
              <w:t>C. MURRAY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seek relief from the City of Vancouver (the "City") for failing to make a decision on their development permit application to demolish an existing house in First Shaughnessy and build a new house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They contend that the City acted in bad faith and for an improper motive in dealing with their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advance several causes of action, primarily:</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public office;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Expropriation;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to be determined on this summary trial are:</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have established abuse of public office;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have established that the City expropriated their property;</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have established that the City was negligent in dealing with the Application;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mandamus should be ordered;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damages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If damages are found to be appropriate, quantum will be determined at a later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argue that the City had a duty to make a decision on their Application. They claim that the City delayed doing so in order to allow the First Shaughnessy District Heritage Bylaw to be passed, thereby frustrating the plaintiffs' ability to demolish and rebuild the home, and eliminating the legislated requirement that the City compensate them if the house was designated heritage and their permit was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City argues that they did not stall. Their position is that they could not render a decision because the plaintiffs did not submit a complete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a result of these opposing views, it is essential to consider the chronology of events, the City bylaws, the City's development permit application process, the house in issue and the history of the First Shaughnessy neighbourhood.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House and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house at the heart of this action is located at 3990 Marguerite Street ("the House") in the First Shaughnessy District ("First Shaughnessy") of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First Shaughnessy is an exclusive area of Vancouver known for its stately homes, many of which have historical importance. In 1982, the City adopted the First Shaughnessy Official Development Plan to recognize the unique architectural and historical value of the area. The intent of the development plan is to protect and preserve the unique pre-1940's character of First Shaughnessy--large houses with well-appointed private gardens on estate lots set along curved tree-lined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City has statutory powers pursuant to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 as amended, to regulate planning and development and to designate properties within its boundaries as heritage. A house so designated is protected and cannot be demolished.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Chronology of events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Pre-purchase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2011, the plaintiffs planned to move to Vancouver with their three children. They contacted a realtor, Ms. Liang, to help them find a suitable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Ms. Liang's help, the plaintiffs found the House in the fall of 2011. They liked the area and the property, but the House did not suit their needs. Originally built in 1913 or 1914, the House had been converted from a single family dwelling to five apartments and was in poor repair. The plaintiffs decided that they would buy the property if they could demolish the House and rebuild a new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Liang made some inquiries on the plaintiffs' behalf. She attended at the City's building department and was advised that the House was not designated under any of the categories of protected heritage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Liang asked architect Loy Leyland to determine whether the existing House could be demolished and a new house constructed. Mr. Leyland was well acquainted with the City's concerns and practices regarding demolition and new construction in First Shaughnessy. He had considerable experience designing houses in First Shaughnessy and had been involved in a number of demolitions. He was familiar with the heritage concerns of the area and had served as a member of the First Shaughnessy Advisory Design Panel from 2008-2009.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Leyland investigated the property as he had many others in First Shaughnessy. He checked the Vancouver Heritage Register ("the Register"), a list of buildings that have been recognized by the City as having architectural or historic value. The House was not on the Register; however, it was listed in the First Shaughnessy Inventory (the "Inventory"), which Mr. Leyland knew meant that the house might have heritage value and would attract attention from the City. He also knew that being in the Inventory would not prevent it from being demolished unless it was actually designated as heritage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City's evidence shows that in 2011 and 2012 approvals for demolition of existing houses in the Inventory could be granted in as little as 3 to 4 months. Such approvals were granted on a number of development permit applications submitted by Mr. Leyland in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Since the House was listed in the Inventory, Mr. Leyland made inquiries to find out if the City had determined whether it had heritage value. On or about October 24, 2011, Ann McLean, Development Planner with the City, advised Mr. Leyland that no assessment had been made of the House's potential heritage value. She provided him with a list of information the City required if he was interested in obtaining such an assessment. The list included photographs, a written assessment of the House and site development potential. Of significance to what occurred later, the list did not include an outside heritage assessment of any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After being informed by Mr. Leyland of the results of his searches, the plaintiffs understood that the City might encourage them to retain the House, but if they did not wish to do so, the City would have to designate it as heritage to prevent them from demolishing it. The plaintiffs also understood that if the City did the latter, it would be required to compensate them as per s. 595 of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which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Compensation for heritage designation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If a designation by a heritage designation by-law causes, or will cause at the time of designation, a reduction in the market value of the designated property, the Council </w:t>
      </w:r>
      <w:r>
        <w:rPr>
          <w:rFonts w:ascii="arial" w:eastAsia="arial" w:hAnsi="arial" w:cs="arial"/>
          <w:color w:val="000000"/>
          <w:sz w:val="20"/>
          <w:u w:val="single"/>
          <w:lang w:val="en-US" w:eastAsia="en-US" w:bidi="ar-SA"/>
        </w:rPr>
        <w:t>must compensate</w:t>
      </w:r>
      <w:r>
        <w:rPr>
          <w:rFonts w:ascii="arial" w:eastAsia="arial" w:hAnsi="arial" w:cs="arial"/>
          <w:color w:val="000000"/>
          <w:sz w:val="20"/>
          <w:lang w:val="en-US" w:eastAsia="en-US" w:bidi="ar-SA"/>
        </w:rPr>
        <w:t xml:space="preserve"> an owner of the designated property who makes an application under subsection (2), in an amount or in a form the Council and the owner agree on or, failing an agreement, in an amount or in a form determined by binding arbitration under subsection (4).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City's Assistant Director of Planning, John Greer, was delegated authority to make the final decision on the plaintiffs' Application. He confirmed on examination for discovery that the City had three possible options when faced with a development permit application to demolish and rebuild a house with heritage merit:</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designate the property as heritage property with compensation to the homeowners;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reach an agreement with the homeowners regarding retention of the existing house with incentives; or</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 the homeowners to proceed with demolition and development if their application was approvable.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Armed with this knowledge, and believing that the City would deal with them in good faith and in accordance with existing laws and practices if they applied to demolish the House, the plaintiffs decided to purchase the property. They did so on December 12, 2011, for $4.65 million.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Pre-application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purchasing the property, the plaintiffs hired Mr. Leyland to design a new house for them. Once the design was completed they retained him to manage the Application to demolish and rebuild on their behalf, including applying for all necessary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per his usual practice, before submitting a development application Mr. Leyland engaged in discussions with the City to get initial feedback and to have the heritage merit of the property assessed. This was a procedure endorsed by the City as it enabled home owners to get a sense of whether there were any problems with their proposed plans before they went to the expense of drawing up final plans and submitting a development permit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March 2012, Mr. Leyland began this pre-application process by asking for a meeting to discuss the proposed house. He was directed to meet with Development Planner Tim Potter, and given a list of information required for the process. It was the same list provided to him by Ms.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May 4, 2012, Mr. Leyland met with Mr. Potter and provided him with the required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this initial meeting, Mr. Potter encouraged retention of the property. Mr. Leyland made clear that the plaintiffs were not interested in retention or remediation; they were only interested in demolition and rebuilding.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or about May 31, 2012, Mr. Leyland engaged in the next step of the pre-approval process, a meeting with the First Shaughnessy Advisory Design Panel where he presented the plaintiffs' proposed plans. The First Shaughnessy Advisory Design Panel is an advisory body authorized to make recommendations to City Council, the Development Permit Board or the Director of Planning. It does not have authority to approve or refuse development applications. Its purpose, as set out in its terms of reference, is to "preserve and protect the heritage and special character of the First Shaughnessy District". The fourteen members of the panel are appointed by City Council and they convene every three weeks to conduct business and review development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Tim Potter had Hugh McLean, a Heritage Planning Analyst with the City, prepare a heritage evaluation for this meeting. This took Mr. Leyland by surprise as he had never before seen the City prepare such a report for presentation to the First Shaughnessy Advisory Design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his report Mr. McLean concluded that the House should be added to the Heritage Registry in the "B" category. A heritage designation of "B" indicates the site has significant heritage merit and represents a good example of a particular heritage 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meeting Mr. Potter spoke on behalf of the Planning Department in support of retention of the existing House. The members of the panel also indicated that retention should be explored.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minutes of the FSADP meeting state the following regarding the plaintiffs' proposal: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site contains a pre-1940s </w:t>
      </w:r>
      <w:r>
        <w:rPr>
          <w:rFonts w:ascii="arial" w:eastAsia="arial" w:hAnsi="arial" w:cs="arial"/>
          <w:color w:val="000000"/>
          <w:sz w:val="20"/>
          <w:u w:val="single"/>
          <w:lang w:val="en-US" w:eastAsia="en-US" w:bidi="ar-SA"/>
        </w:rPr>
        <w:t>home of merit</w:t>
      </w:r>
      <w:r>
        <w:rPr>
          <w:rFonts w:ascii="arial" w:eastAsia="arial" w:hAnsi="arial" w:cs="arial"/>
          <w:color w:val="000000"/>
          <w:sz w:val="20"/>
          <w:lang w:val="en-US" w:eastAsia="en-US" w:bidi="ar-SA"/>
        </w:rPr>
        <w:t xml:space="preserve">. The applicant is proposing to demolish this house and propose a new single family dwelling. </w:t>
      </w:r>
      <w:r>
        <w:rPr>
          <w:rFonts w:ascii="arial" w:eastAsia="arial" w:hAnsi="arial" w:cs="arial"/>
          <w:color w:val="000000"/>
          <w:sz w:val="20"/>
          <w:u w:val="single"/>
          <w:lang w:val="en-US" w:eastAsia="en-US" w:bidi="ar-SA"/>
        </w:rPr>
        <w:t>The heritage group have concluded an evaluation of the house and concluded that it would be eligible to be put on the Vancouver Heritage Register as a B listed house. Planning is not supportive of this application and seeks to retain the existing house and infill</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have added the emphasis above for a reason: those passages indicate clearly that as of May 31, 2012, decisions had been made by the planning department regarding the heritage merit of this property and the plaintiffs' plan to demolish.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Again despite Mr. Leyland's repeated assertions that the plaintiffs were not interested in pursuing anything but demolition, shortly after the May 31, 2012, meeting, Mr. Potter, on behalf of the Director of Planning, asked that the plaintiffs consider retention alternatives.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Believing that he had to comply with this request in order to get the City to consider the Application, Mr. Leyland prepared three options and presented them to the plaintiffs. None of them was acceptable to the plaintiffs who again confirmed that they wanted to build a new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September 18, 2012, Mr. Leyland advised Mr. Potter that the plaintiffs were not interested in any of the retention options and reiterated that they wanted to proceed with a new house. He asked what the next step should be to proceed with that plan. Mr. Potter wrote back asking that Mr. Leyland deliver copies of his retention studies to the City, which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October 3, 2012, it was made clear that the City had decided that the house had heritage merit. On that date Mr. Potter wrote to Mr. Leyland advising that the merit evaluation and the retention studies had been presented to Brian Jackson, the Director of Planning, and that a confirmation of merit for the existing house had been established. As such, Mr. Potter advised that the Director of Planning would seek retention of the house. He continued that if the plaintiffs were interested in retention there may be incentives that the City could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Potter concluded his correspondence by attaching the May 31, 2012, Administrative Bulletin (the "Bulletin") that described, in his words, "the process that the City follows in instances where a new house is proposed in Shaughnessy". He added "of particular interest to you is the description of the steps required if such new construction is proposed to replace an existing pre-1940s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Bulletin attached to Mr. Potter's email codified practices and procedures that had been followed for 30 years. From the evidence at trial and the preamble to the Bulletin itself, it is clear that the City intended the Bulletin to be instructive. It follows that the public must be able to rely on the information contained therein 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Bulletin set out its objectives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Bulletin provides an overview of the process for new house proposals in the First Shaughnessy District ("FSD").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Shaughnessy Official Development Plan ("FSODP") and the First Shaughnessy Design Guidelines ("Guidelines"), approved by Council in 1982, promote the conservation and restoration of pre-1940 houses of merit. The FSODP and Guidelines indicate that new development within the area should reinforce the quality and character of the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Bulletin outlines the pre-application process, which is notably also called the merit evaluation process. It starts by posing the question that has to be answered at the pre-application stage: Is the existing house reflective of the cultural, architectural and historical elements of the First Shaughnessy District? The Bulletin then lists the information required by the City to make such a determination--the same information given by Mr. Leyland to Tim Potter in early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Of note, the Bulletin states that a Statement of Significance ("SOS") report from a heritage consultant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be submitted in order to demonstrate the heritage value of a property. A SOS is an independent report that assesses the heritage value of a property. I underscore the word "may" as the SOS becomes an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Bulletin goes on to say that City staff will evaluate the submission and make an assessment. The submission and the City staff's analysis will be presented to the First Shaughnessy Advisory Design Panel who will provide advice to the Director of Planning. The Director of Planning will then take into consideration the assessment and the Design Panel's advice and arrive at one of the following conclusions: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Confirmation of merit: The applicant will be advised to retain the house with new development taking the form of additions for which the City may offer heritage incentives; or</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Confirmation of lack of merit: in which case the applicant will be advised that they may proceed with the new house proposal subject to changes that may be required in order to meet FSODP (First Shaughnessy Official Development Plan) and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Bulletin provided as follows under the heading "Development Permit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expected that a Development Permit application will appropriately address the conclusion that has been made through the Merit Evaluation Process. A Development Permit application that seeks to construct a new house in place of a pre-1940 house that has been deemed to be of merit, will be evaluated in conformance with the FSODP and Guidelines. </w:t>
      </w:r>
      <w:r>
        <w:rPr>
          <w:rFonts w:ascii="arial" w:eastAsia="arial" w:hAnsi="arial" w:cs="arial"/>
          <w:color w:val="000000"/>
          <w:sz w:val="20"/>
          <w:u w:val="single"/>
          <w:lang w:val="en-US" w:eastAsia="en-US" w:bidi="ar-SA"/>
        </w:rPr>
        <w:t>A Development Permit may then be approved, approved subject to conditions or refused by the Director of Planning</w:t>
      </w:r>
      <w:r>
        <w:rPr>
          <w:rFonts w:ascii="arial" w:eastAsia="arial" w:hAnsi="arial" w:cs="arial"/>
          <w:color w:val="000000"/>
          <w:sz w:val="20"/>
          <w:lang w:val="en-US" w:eastAsia="en-US" w:bidi="ar-SA"/>
        </w:rPr>
        <w:t>. Decisions of the Director of Planning in this regard may be appealed to the Board of Variance.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through the Bulletin, the City represented to the plaintiffs and their representatives that:</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participating in a pre-application merit evaluation process, a conclusion as to the heritage value of the house would be reached before their development permit application was submitted;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development permit application was submitted after a confirmation of merit was reached, the Director of Planning would either recommend the house as heritage or render a decision on the development permit application; and</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of Planning could approve an application subject to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significant that all of the options involve the Director of Planning making a decision. Not making a decision was not an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It is also significant that the flowchart attached to the Bulletin set out the estimated timeline from the start of the pre-application process to the decision of the Director of Planning to be </w:t>
      </w:r>
      <w:r>
        <w:rPr>
          <w:rFonts w:ascii="arial" w:eastAsia="arial" w:hAnsi="arial" w:cs="arial"/>
          <w:color w:val="000000"/>
          <w:sz w:val="20"/>
          <w:u w:val="single"/>
          <w:lang w:val="en-US" w:eastAsia="en-US" w:bidi="ar-SA"/>
        </w:rPr>
        <w:t>10 to 14 weeks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Returning to Mr. Potter's email, three things stand out:</w:t>
      </w:r>
      <w:r>
        <w:rPr>
          <w:rFonts w:ascii="arial" w:eastAsia="arial" w:hAnsi="arial" w:cs="arial"/>
          <w:sz w:val="20"/>
          <w:lang w:val="en-US" w:eastAsia="en-US" w:bidi="ar-SA"/>
        </w:rPr>
        <w:cr/>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had engaged in the First Shaughnessy Advisory Design Panel hearing over 17 weeks prior to receiving this email, and had not received a decision;</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was still discussing retention despite being told repeatedly that that was not an option the plaintiffs were interested in;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demolition and replacement of the house was still an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Frustrated that the process was not moving forward, on October 9, 2012, Mr. Leyland wrote to Vicki Potter, a senior member of City staff, attaching Mr. Potter's October 3, 2012, email and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Vicki,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Retention is not the direction that the owner of this house would like to 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would like a new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Attached here is the Planning Department's comments to the retention studies we were asked to provide even though the Owner was clear from the beginning that he does not want to retain this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have a process which is predictable, transparent, accountable and takes place in a reasonable time frame.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taking place here is none of these.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late 2012, after hearing nothing more from the City, the plaintiffs instructed Mr. Leyland to proceed to apply for permits to build the new house.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Submission of the development permit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Leyland submitted the development permit application on January 30, 2013, and paid the fee. The Application was accepted by the City's processing centre. A covenant for the storm water retention system for the proposed house was to be completed but was not required for the City to begin processing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When the Application was submitted a clerk went through it to ensure its completeness. The form that certifies completeness was filed as an exhibit. This is important as the defendant claims that the Application was incomplete for a number of reasons, the first being that they did not submit a building permit application along with their development permit application. I will address this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Of note, on the development application check sheet are notations from City staff regarding target dates, with April 24, 2013, being the date that a decision would be made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the same day he submitted the Application, Mr. Leyland wrote a letter to Brian Jackson, the General Manager of the Planning Department for the City, and copied all of the planning staff that had been involved in the application process. In his letter Mr. Leyland set out the project history and again made clear the position of the plaintiffs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Owner has studied all the retention options and concludes that </w:t>
      </w:r>
      <w:r>
        <w:rPr>
          <w:rFonts w:ascii="arial" w:eastAsia="arial" w:hAnsi="arial" w:cs="arial"/>
          <w:color w:val="000000"/>
          <w:sz w:val="20"/>
          <w:u w:val="single"/>
          <w:lang w:val="en-US" w:eastAsia="en-US" w:bidi="ar-SA"/>
        </w:rPr>
        <w:t>he does not want to retain the existing house and is asking for none of the incentives which may be available to him. In light of the Planning Department and Owner conclusions and in the interest of saving time I am assuming we do not have to revisit the retention issue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concluded the letter by requesting an outline of the projected schedule and key stages including decision dates for the Application. The City never provided such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John Greer testified in his examination for discovery, at that point the City had to choose one of two paths: evaluate the development application or go to council to have the property designated heritage. They did neither.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Instead, on February 15, 2013, Mr. Potter emailed Mr. Leyland advising that City staff "have been working on organizing next steps for the Application" but needed him to submit a SOS prepared by a heritage consultant in order to "finalize the merit question" for the existing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Leyland was surprised by this request from Mr. Potter for several reasons. First, he had never received such a request in an application for the replacement of a pre-1940's home in First Shaughnessy. Second, he had gone through the pre-application merit evaluation process before making the Application and had not been asked for a SOS. And last, Mr. Potter's email of October 3, 2012, indicated that the City had already reached a decision on the merit of the existing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Leyland responded to Mr. Potter on February 24, 2013, outlining his concerns and objecting to the plaintiffs having to incur further cost when a report had been done by Mr. McLean and the City had already reached a conclusion as to heritage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Mr. Potter replied the next day saying that Heritage staff required a SOS as the report they had prepared was done only "as a courtesy" to "form an early understanding of the merit question" and was insufficient for their purposes. He went on to explain that an SOS by an </w:t>
      </w:r>
      <w:r>
        <w:rPr>
          <w:rFonts w:ascii="arial" w:eastAsia="arial" w:hAnsi="arial" w:cs="arial"/>
          <w:color w:val="000000"/>
          <w:sz w:val="20"/>
          <w:u w:val="single"/>
          <w:lang w:val="en-US" w:eastAsia="en-US" w:bidi="ar-SA"/>
        </w:rPr>
        <w:t>objective third-party expert</w:t>
      </w:r>
      <w:r>
        <w:rPr>
          <w:rFonts w:ascii="arial" w:eastAsia="arial" w:hAnsi="arial" w:cs="arial"/>
          <w:color w:val="000000"/>
          <w:sz w:val="20"/>
          <w:lang w:val="en-US" w:eastAsia="en-US" w:bidi="ar-SA"/>
        </w:rPr>
        <w:t xml:space="preserve"> (my emphasis) was required before a decision could be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Mr. Potter wrote again on March 7, 2013, stating that he had reviewed the matter with the Director of Planning, Brian Jackson who concurred that he required a SOS </w:t>
      </w:r>
      <w:r>
        <w:rPr>
          <w:rFonts w:ascii="arial" w:eastAsia="arial" w:hAnsi="arial" w:cs="arial"/>
          <w:color w:val="000000"/>
          <w:sz w:val="20"/>
          <w:u w:val="single"/>
          <w:lang w:val="en-US" w:eastAsia="en-US" w:bidi="ar-SA"/>
        </w:rPr>
        <w:t>prepared by an independent, objective third-party expert</w:t>
      </w:r>
      <w:r>
        <w:rPr>
          <w:rFonts w:ascii="arial" w:eastAsia="arial" w:hAnsi="arial" w:cs="arial"/>
          <w:color w:val="000000"/>
          <w:sz w:val="20"/>
          <w:lang w:val="en-US" w:eastAsia="en-US" w:bidi="ar-SA"/>
        </w:rPr>
        <w:t xml:space="preserve"> (again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emphasize the City's request that the report be completed by an objective third party as what they did with regard to the SOS was in direct contradiction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early April 2013, Mr. Leyland discovered that the City had disclosed Mr. McLean's heritage evaluation to the Shaughnessy Heights Property Owners' Association, a private residents' association. As a result, Mr. Leyland set up a meeting with the Director of Planning, Brian Jackson and the Director of Development Services, Vicki Potter. At that April 25, 2013, meeting Mr. Leyland discussed both the disclosure (improper in his opinion) of the evaluation and his objection to the further SOS.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Immediately following the meeting Vicki Potter sent an email to Tim Potter and other key planning department employees,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and I met with Loy et al this morning. We were very clear that he needed to provide an SOS, and that this was holding up the completion of review for the new house-altho I did tell him that we had taken the new house review as far as we could.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agreed that ultimately, the new house would have to go to the FSD panel, but that </w:t>
      </w:r>
      <w:r>
        <w:rPr>
          <w:rFonts w:ascii="arial" w:eastAsia="arial" w:hAnsi="arial" w:cs="arial"/>
          <w:color w:val="000000"/>
          <w:sz w:val="20"/>
          <w:u w:val="single"/>
          <w:lang w:val="en-US" w:eastAsia="en-US" w:bidi="ar-SA"/>
        </w:rPr>
        <w:t>Brian would first make a decision on whether the house had merit</w:t>
      </w:r>
      <w:r>
        <w:rPr>
          <w:rFonts w:ascii="arial" w:eastAsia="arial" w:hAnsi="arial" w:cs="arial"/>
          <w:color w:val="000000"/>
          <w:sz w:val="20"/>
          <w:lang w:val="en-US" w:eastAsia="en-US" w:bidi="ar-SA"/>
        </w:rPr>
        <w:t xml:space="preserve"> enough to a) offer retention incentives or b) if the retention incentives were rejected, refer to Council. To make this decision, he needs the SOS.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So...please do not schedule this for the panel until the decision on the old house is settled. Thank you for trying to keep it on track as much as possible, and once the SOS is in, </w:t>
      </w:r>
      <w:r>
        <w:rPr>
          <w:rFonts w:ascii="arial" w:eastAsia="arial" w:hAnsi="arial" w:cs="arial"/>
          <w:color w:val="000000"/>
          <w:sz w:val="20"/>
          <w:u w:val="single"/>
          <w:lang w:val="en-US" w:eastAsia="en-US" w:bidi="ar-SA"/>
        </w:rPr>
        <w:t>I trust Brian will make a speedy decision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This email raises many questions. Why does the Director of Planning still need to make a decision as to merit when he reportedly did so on October 3, 2012? What had the City done to take the Application "as far as" they could? Why is the City still talking about retention?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Potter's email to Vicki Potter on this date noted that "the decision date for this project was in fact today". It appears from Ms. Potter's email that the City was farther from making any decisions on this Application than they were in October 2012, almost six months before. The process had seemingly gone backwards.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Leyland came away from that meeting realizing that the City would not let the Application proceed without a SOS. Accordingly, that day he sought permission of the City to have heritage consultant, Kendall Jessiman, prepare the SOS with the assistance of Don Luxton. On May 3, 2013, the City approved of the two of them doing the report writing to Mr. Jessiman (and copying Mr. Leyland), "I am happy to see that you will engage Don Luxton to assist you as preparing the SOS as the appropriate form is critical".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What the City failed to tell the plaintiffs was that Mr. Luxton was not an objective third party. In February 2013 he had written a letter to the Director of Planning in his capacity of President of the Heritage Vancouver Society, opposing the demolition of the existing house as he felt that it had significant heritage value. In Mr. Luxton's opinion it was "surprising" that the house was not on the heritage register.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a May 3, 2013, email to Mr. Leyland, Brian Jackson expressed his pleasure that they had retained a consultant to prepare a SOS, advising that it "will ensure that the process </w:t>
      </w:r>
      <w:r>
        <w:rPr>
          <w:rFonts w:ascii="arial" w:eastAsia="arial" w:hAnsi="arial" w:cs="arial"/>
          <w:color w:val="000000"/>
          <w:sz w:val="20"/>
          <w:u w:val="single"/>
          <w:lang w:val="en-US" w:eastAsia="en-US" w:bidi="ar-SA"/>
        </w:rPr>
        <w:t>remains objective</w:t>
      </w:r>
      <w:r>
        <w:rPr>
          <w:rFonts w:ascii="arial" w:eastAsia="arial" w:hAnsi="arial" w:cs="arial"/>
          <w:color w:val="000000"/>
          <w:sz w:val="20"/>
          <w:lang w:val="en-US" w:eastAsia="en-US" w:bidi="ar-SA"/>
        </w:rPr>
        <w:t xml:space="preserve"> and allow us to reach a </w:t>
      </w:r>
      <w:r>
        <w:rPr>
          <w:rFonts w:ascii="arial" w:eastAsia="arial" w:hAnsi="arial" w:cs="arial"/>
          <w:color w:val="000000"/>
          <w:sz w:val="20"/>
          <w:u w:val="single"/>
          <w:lang w:val="en-US" w:eastAsia="en-US" w:bidi="ar-SA"/>
        </w:rPr>
        <w:t>definitive conclusion</w:t>
      </w:r>
      <w:r>
        <w:rPr>
          <w:rFonts w:ascii="arial" w:eastAsia="arial" w:hAnsi="arial" w:cs="arial"/>
          <w:color w:val="000000"/>
          <w:sz w:val="20"/>
          <w:lang w:val="en-US" w:eastAsia="en-US" w:bidi="ar-SA"/>
        </w:rPr>
        <w:t xml:space="preserve"> on the merit/retention question...</w:t>
      </w:r>
      <w:r>
        <w:rPr>
          <w:rFonts w:ascii="arial" w:eastAsia="arial" w:hAnsi="arial" w:cs="arial"/>
          <w:color w:val="000000"/>
          <w:sz w:val="20"/>
          <w:u w:val="single"/>
          <w:lang w:val="en-US" w:eastAsia="en-US" w:bidi="ar-SA"/>
        </w:rPr>
        <w:t>more quickly</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June 2013, the City had a "study" done, including drawings, to show how the existing house could be converted to four suites. Precisely why this was done was not explained to me. It was clearly not done for the plaintiffs as the City had been told repeatedly that the plaintiffs were not interested in retention and that they wanted a single family dwelling.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rationale seems to be described in a June 14, 2013, email written by Mr. Potter to some City staff attaching the scheme: "of course this is all schematic work for the purposes of arriving at due compensation should the designation path be chosen".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was not the only mention that compensation was being considered by City staff. In January and April 2013 there were emails between key City planning staff members indicating that they were taking steps with the intention of recommending heritage designation and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For example, in an internal email to several members of the planning department including the Director of Planning and Tim Potter dated January 31, 2013, the day after the plaintiffs submitted their development permit application, Vicki Potter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my email last night (prior to the arrival of Loy's attached letter), I think Tim and the staff team should present to John through a New Application Preview (NAP) meeting a recommendation on whether John should recommend to Brian that he bring a recommendation to council seeking unilateral designation and compensation. Once that decision is made, we would then be in a position to let Loy know the next steps and timing. Does that sound in keeping with what we outlined in our last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"John" in the above email is John Greer, the Assistant Director of Planning and "Brian" is Brian Jackson, the Director of Planning. What happened to this plan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meantime, the "independent" SOS was prepared by the consultants hired by the plaintiffs and was provided to the City on July 19, 2013. On September 16, 2013, close to a year after Mr. Potter's email that advised a decision as to merit had been reached and that the Director of Planning was going to seek retention of the house, a subcommittee of the Vancouver Heritage Commission recommended that the House be added to the Heritage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Following that decision, Mr. Leyland scheduled a meeting with Brian Jackson, Director of Planning, to discuss the Application. He wrote to Mr. Jackson prior to the meeting asking for a decision on the Application. Mr. Jackson responded that he would give him a decision after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meeting took place October 16, 2013, at City Hall. Mr. Leyland again reiterated to Mr. Jackson that the plaintiffs were not interested in retaining the existing house. Notwithstanding that, Mr. Jackson and City staff discussed two options: retain the existing house with some incentive from the City or proceed with the Application, in which case the planning department would seek to have the existing house designated as heritage.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Following that meeting, on October 20, 2013, Mr. Leyland wrote to the City repeating yet again that the plaintiffs did not want to retain the House. He also voiced objection as to how the City was dealing with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November 7, 2013, Mr. Jackson wrote to Mr. Leyland confirming that the City would seek to have the House designated as heritage if the plaintiffs wanted to proceed with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This letter came 18 months after Mr. Leyland's initial meeting with Mr. Potter. Clearly, no meaningful progress had been made on the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Temporary heritage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November 25, 2013, the Director of Planning, Mr. Jackson, recommended to City Council that the House be temporarily protected so that retention options could be considered. Why this was done, given that the plaintiffs had made it clear over and over again that they were not interested in retention options, is a mystery.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On December 18, 2013, on the request of City staff, City Council granted temporarily heritage protection on the house for 120 days pursuant to s. 589 of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xml:space="preserve">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Orders for temporary protection</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 The Council may order that real property is subject to temporary protection in accordance with section 591 if the Council considers that</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is or may be heritage property, or</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protection of the property may be necessary or desirable for the conservation of other property that is heritage property.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under subsection (1)</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specify the time period during which the temporary protection applies, which may not be longer than 120 days unless the owner of the property agrees to a longer time period,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be made more than once within a 2 year period.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under subsection (1) may do one or more of the following:</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landscape features that are subject to the order;</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specify types of alterations to property that are allowed without obtaining a heritage alteration permit;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policies regarding the issuance of a heritage alteration permit in relation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focus of the section, and thus the rationale for the freeze, is heritage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note that the minutes of the December 18, 2013, Council meeting report that Council "considers that the interior and exterior of the House has heritage value meriting conservation". Given that conclusion by council, why was the house not designated heritage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Instead, the process continued. On January 31, 2014, City staff met with Mr. Leyland and repeated their request that the plaintiffs consider incentives to retain the House. This is baffling given the fact that Mr. Leyland had made clear right from the start that the plaintiffs were not interested in retention, and the plaintiffs had refused this same offer repeatedly. City staff also advised Mr. Leyland that there would be no compensation offered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February 18, 2014, Mr. Leyland reiterated once again that the plaintiffs were not interested in retention.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March 2014, City staff prepared draft recommendations to have the house designated as heritage and thus protected. Nothing was done with these recommendations. In fact, it appears that nothing was done to advance the Application toward a decision at all during the temporary heritage protection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According to the City's written argument, the imposition of a 120-day freeze on a property is rare. So rare that this was just the second such declaration since 2005. Given that, it strikes me as unusual that the City did not seek a heritage designation--the very reason for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Following the lapse of the temporary protection period, Mr. Leyland heard nothing from the City. According to Mr. Leyland he had "never before experienced complete silence of this kind from the City with respect to a legitimate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the beginning of April 2014, City Council met in camera on a matter concerning the property. What that matter was is unknown to the plaintiffs who heard nothing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With still no decision from the City, and feeling that they had no other options, the plaintiffs filed this action on May 29, 2014, just over two years from their first meeting with Mr. Potter, which I count as the start of the pre-application stage.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City changes heritage controls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Within a month, on June 24, 2014, City Council implemented temporary heritage control on all of First Shaughnessy and prohibited the demolition of any houses in the area for a period of one year. This prohibition was ordered pursuant to s. 590 of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which reads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Heritage control periods for temporary protection</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 For the purposes of heritage conservation planning for an area identified in the by-law, the Council may, by by-law, declare a heritage control period with respect to the area.</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by-law under subsection (1) must specify the length of the heritage control period, which may not be longer than one year from the date of adoption of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Fifteen months later, on September 29, 2015, City Council adopted the First Shaughnessy Heritage Conservation Area General Guidelines, which designates the First Shaughnessy District a protected heritage area and prevents demolition of any house in the area unless the Director of Planning is of the opinion that the house no longer has sufficient heritage character or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Of significance, it also eliminates the City's obligation to compensate homeowners. As stated in the City's written argument, "</w:t>
      </w:r>
      <w:r>
        <w:rPr>
          <w:rFonts w:ascii="arial" w:eastAsia="arial" w:hAnsi="arial" w:cs="arial"/>
          <w:color w:val="000000"/>
          <w:sz w:val="20"/>
          <w:u w:val="single"/>
          <w:lang w:val="en-US" w:eastAsia="en-US" w:bidi="ar-SA"/>
        </w:rPr>
        <w:t>a key advantage of a heritage conservation area is that no compensation is required</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new guidelines frustrated the plaintiffs' development plans in every way. They went into the Application process appreciating that there was a possibility the City would disallow the Application by designating the property as heritage, but also knowing that they would be fairly compensated if that occurred. Under the new guidelines, the property was protected for heritage purposes and the plaintiffs were unable to build their dream home or receive compensation from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City completely changed the playing field while the plaintiffs waited for them to make a decision on their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Having considered all of the evidence I make the following findings of fact:</w:t>
      </w:r>
      <w:r>
        <w:rPr>
          <w:rFonts w:ascii="arial" w:eastAsia="arial" w:hAnsi="arial" w:cs="arial"/>
          <w:sz w:val="20"/>
          <w:lang w:val="en-US" w:eastAsia="en-US" w:bidi="ar-SA"/>
        </w:rPr>
        <w:cr/>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October 3, 2012, at the latest, the City had reached a decision that the house had heritage merit and that it needed to be retained.</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through Mr. Leyland, made it clear from the beginning that they were not interested in retention. They only wanted to demolish and rebuild.</w:t>
      </w:r>
    </w:p>
    <w:p>
      <w:pPr>
        <w:numPr>
          <w:numId w:val="5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submitted all of the materials that the City required to make a decision. Their Application was complete.</w:t>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left two options for the City--declare the house protected heritage and compensate the owners or approve their plan. The City did neither. Instead they embarked upon a circuitous course of delay.</w:t>
      </w:r>
    </w:p>
    <w:p>
      <w:pPr>
        <w:numPr>
          <w:numId w:val="5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City's delay tactics included: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ignoring the plaintiffs' instructions and repeatedly asking them to consider retention;</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the plaintiffs get a SOS when the City had already made a determination as to heritage merit;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the plaintiffs draw up retention plans when they were adamant that they were not interested in retention;</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slapping a 120-day freeze on the property and not accomplishing anything during that period; and</w:t>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never seeking heritage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am satisfied that in dealing with the Application, the City acted in bad faith by:</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the plaintiffs go to the time and expense of getting a SOS when the City had already made a determination as to heritage status;</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advising the plaintiffs that the SOS was required as they needed an independent, objective assessment. Yet when the plaintiffs hired Mr. Jessiman, the City advised that he was only acceptable if he worked with Don Luxton, who they knew was not independent or objective as he had written a letter to the City, to the very people involved in dealing with the plaintiffs' Application, against the plaintiffs' plans;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the plaintiffs go to the time and expense of having retention options drawn up when they had made clear that they were not interested in retention;</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ignoring what the plaintiffs wanted to do with their property and instead repeatedly asking them to consider retention;</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abide by any of their own target dates/ timelines;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never truly engaging in the new application process (NAP);</w:t>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advising the plaintiffs in October 2012 that the Director of Planning had confirmed that the house had merit and as such would seek retention of the house, then in April, 2013 telling them that the Director had not reached a definitive conclusion as to merit or retention;</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advising the plaintiffs that they would be seeking heritage protection during the 120-day protection order and not doing so;</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never seeking to have the property declared heritage when they had made that determination in the pre-application process; and</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communicate with the plaintiffs after the 120-day protection period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only rational conclusion for the actions of the City is that they wanted to delay the Application until the new legislation was passed that designated all of First Shaughnessy District a protected heritage zone, thereby avoiding the required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now turn to 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City insists that they did not stall the plaintiffs' Application. Rather they contend that the Application could never have been approved as: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deficient;</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building permit application had not been submitted;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will deal with each of these arguments separately.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was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With respect to the first argument the City submits that the Application was deficient in four ways:</w:t>
      </w:r>
      <w:r>
        <w:rPr>
          <w:rFonts w:ascii="arial" w:eastAsia="arial" w:hAnsi="arial" w:cs="arial"/>
          <w:sz w:val="20"/>
          <w:lang w:val="en-US" w:eastAsia="en-US" w:bidi="ar-SA"/>
        </w:rPr>
        <w:cr/>
      </w:r>
    </w:p>
    <w:p>
      <w:pPr>
        <w:numPr>
          <w:numId w:val="7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signed storm water covenant was not filed;</w:t>
      </w:r>
    </w:p>
    <w:p>
      <w:pPr>
        <w:numPr>
          <w:numId w:val="7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roof design did not conform to the FSD design guidelines;</w:t>
      </w:r>
    </w:p>
    <w:p>
      <w:pPr>
        <w:numPr>
          <w:numId w:val="7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mechanical room was too big; and</w:t>
      </w:r>
    </w:p>
    <w:p>
      <w:pPr>
        <w:numPr>
          <w:numId w:val="7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arborist's report submitted by the plaintiffs was non-compliant as it did not contain undertakings of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was overwhelming evidence that all four of these "deficiencies" were easily corrected and would normally be dealt with by way of a conditional approval or using the vernacular of the planning department, prior-to letters. Conditional approvals were regularly used by the 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Building permit application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With respect to the City's argument that the plaintiffs never applied for a building permit, that the defendants advanced this argument is perplexing. Although it is stated as a requirement in the Bylaw, a City staff member stated in her Affidavit that staff discourage the submission of building permit applications until after the development permit is issuable. This is confirmed by other evidence as well. It is even conceded in the defendant's written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had 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Finally, with respect to the argument that the plaintiffs' Application had expired, the City relies on s. 4.2 of the Zoning and Development Bylaw, which reads in part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4.2 Development Permit Application Time Limits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4.2.1 Unless otherwise approved, refused or subject to limitations in time as may be imposed by the Director of Planning or the Development Permit Board, any development permit application shall be void 12 months from the date of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4.2.2 The Director of Planning may allow an extension or extensions of the time period specified in section 4.2.1 for additional periods, if the same is warranted by the circumstances. In no case shall any extension or extensions exceed in total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cannot accept this argument. It defies logic to accept that an application can lapse while applicants are actively dealing with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stated by Rick Michaels in his examination for discovery, applicants in this position do not have to ask for an extension because "the ball was in our court. We're processing still. We're the ones holding it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Accordingly, I find that none of the City's arguments have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set out at the beginning of this judgment, the plaintiffs make a number of claims:</w:t>
      </w:r>
      <w:r>
        <w:rPr>
          <w:rFonts w:ascii="arial" w:eastAsia="arial" w:hAnsi="arial" w:cs="arial"/>
          <w:sz w:val="20"/>
          <w:lang w:val="en-US" w:eastAsia="en-US" w:bidi="ar-SA"/>
        </w:rPr>
        <w:cr/>
      </w:r>
    </w:p>
    <w:p>
      <w:pPr>
        <w:numPr>
          <w:numId w:val="7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public office;</w:t>
      </w:r>
    </w:p>
    <w:p>
      <w:pPr>
        <w:numPr>
          <w:numId w:val="7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Expropriation; and</w:t>
      </w:r>
    </w:p>
    <w:p>
      <w:pPr>
        <w:numPr>
          <w:numId w:val="7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will address each of them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Under this heading the plaintiffs argue that the City staff abused their authority when processing the Application by handling it in bad faith and by departing from their established guidelines and practices for the processing of such applications. As a result of that abuse, the Plaintiffs were not able to obtain a development permit before the City made changes to the zoning applicable to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Also known as misfeasance in public office, this is amongst the most egregious of tortious misconduct and must be used cautiously: </w:t>
      </w:r>
      <w:r>
        <w:rPr>
          <w:rFonts w:ascii="arial" w:eastAsia="arial" w:hAnsi="arial" w:cs="arial"/>
          <w:i/>
          <w:color w:val="000000"/>
          <w:sz w:val="20"/>
          <w:lang w:val="en-US" w:eastAsia="en-US" w:bidi="ar-SA"/>
        </w:rPr>
        <w:t>Powder Mountain Resorts Ltd. v. British Columbia</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 xml:space="preserve"> at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Our Court of Appeal recently outlined the two ways that this tort may arise in </w:t>
      </w:r>
      <w:r>
        <w:rPr>
          <w:rFonts w:ascii="arial" w:eastAsia="arial" w:hAnsi="arial" w:cs="arial"/>
          <w:i/>
          <w:color w:val="000000"/>
          <w:sz w:val="20"/>
          <w:lang w:val="en-US" w:eastAsia="en-US" w:bidi="ar-SA"/>
        </w:rPr>
        <w:t>J.P. v. British Columbia (Children and Family Development)</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2017 BCCA 308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[326] Category A misfeasance is established when a public officer exercises his or her power for the specific purpose of harming the plaintiff. </w:t>
      </w:r>
      <w:r>
        <w:rPr>
          <w:rFonts w:ascii="arial" w:eastAsia="arial" w:hAnsi="arial" w:cs="arial"/>
          <w:i/>
          <w:color w:val="000000"/>
          <w:sz w:val="20"/>
          <w:lang w:val="en-US" w:eastAsia="en-US" w:bidi="ar-SA"/>
        </w:rPr>
        <w:t>Three Rivers</w:t>
      </w:r>
      <w:r>
        <w:rPr>
          <w:rFonts w:ascii="arial" w:eastAsia="arial" w:hAnsi="arial" w:cs="arial"/>
          <w:color w:val="000000"/>
          <w:sz w:val="20"/>
          <w:lang w:val="en-US" w:eastAsia="en-US" w:bidi="ar-SA"/>
        </w:rPr>
        <w:t xml:space="preserve"> described it as "targeted malice" that includes conduct done for the ulterior or improper purpose of harming the plaintiff. Proof of the specific intent to harm the plaintiff will be sufficient to establish that the public officer had knowledge his or her conduct was likely to harm the plaintiff: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para. 23;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[327] Category B misfeasance is more complex. It does not require a finding of specific intent to harm the plaintiff, but rather an objective determination that the public officer knowingly engaged in a deliberate unlawful act with an awareness that his or her conduct would likely harm the plaintiff or a class of plaintiffs. Knowledge of harm alone is insufficient to establish that the public officer acted in bad faith or dishonestly. Rather, the officer must know that the deliberate conduct is inconsistent with the obligations of the office, including that it exceeds the powers of the office, or omits a legally required act: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28 and </w:t>
      </w:r>
      <w:r>
        <w:rPr>
          <w:rFonts w:ascii="arial" w:eastAsia="arial" w:hAnsi="arial" w:cs="arial"/>
          <w:i/>
          <w:color w:val="000000"/>
          <w:sz w:val="20"/>
          <w:lang w:val="en-US" w:eastAsia="en-US" w:bidi="ar-SA"/>
        </w:rPr>
        <w:t>Powder Mountain</w:t>
      </w:r>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find that this tort is not made out. The plaintiffs' claim is that several members of the planning department acted improperly, not one in particular. In fact the claim is advanced against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J.P</w:t>
      </w:r>
      <w:r>
        <w:rPr>
          <w:rFonts w:ascii="arial" w:eastAsia="arial" w:hAnsi="arial" w:cs="arial"/>
          <w:color w:val="000000"/>
          <w:sz w:val="20"/>
          <w:lang w:val="en-US" w:eastAsia="en-US" w:bidi="ar-SA"/>
        </w:rPr>
        <w:t xml:space="preserve">. held that the individual in question must be personally named as a defendant, making it clear that the claim of misfeasance in public office is a claim against one public official: </w:t>
      </w:r>
      <w:r>
        <w:rPr>
          <w:rFonts w:ascii="arial" w:eastAsia="arial" w:hAnsi="arial" w:cs="arial"/>
          <w:i/>
          <w:color w:val="000000"/>
          <w:sz w:val="20"/>
          <w:lang w:val="en-US" w:eastAsia="en-US" w:bidi="ar-SA"/>
        </w:rPr>
        <w:t>J.P</w:t>
      </w:r>
      <w:r>
        <w:rPr>
          <w:rFonts w:ascii="arial" w:eastAsia="arial" w:hAnsi="arial" w:cs="arial"/>
          <w:color w:val="000000"/>
          <w:sz w:val="20"/>
          <w:lang w:val="en-US" w:eastAsia="en-US" w:bidi="ar-SA"/>
        </w:rPr>
        <w:t>. at para. 350.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such, I dismiss this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Expropriation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Under this heading the plaintiffs argue that the City, through its unlawful delay, bad faith and failure to deal with the Application, effectively expropriated the plaintiffs' development rights for the property without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Such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expropriation arises where the following three conditions are satisfied:</w:t>
      </w:r>
      <w:r>
        <w:rPr>
          <w:rFonts w:ascii="arial" w:eastAsia="arial" w:hAnsi="arial" w:cs="arial"/>
          <w:sz w:val="20"/>
          <w:lang w:val="en-US" w:eastAsia="en-US" w:bidi="ar-SA"/>
        </w:rPr>
        <w:cr/>
      </w:r>
    </w:p>
    <w:p>
      <w:pPr>
        <w:numPr>
          <w:numId w:val="7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part of the rights which they possessed;</w:t>
      </w:r>
    </w:p>
    <w:p>
      <w:pPr>
        <w:numPr>
          <w:numId w:val="7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rights have been taken by a public authority; and</w:t>
      </w:r>
    </w:p>
    <w:p>
      <w:pPr>
        <w:numPr>
          <w:numId w:val="8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clear legislative intention not to compensate for such deprivation in any enactment authorizing the 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See R. v. Tener</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[1985] 1 S.C.R. 533</w:t>
        </w:r>
      </w:hyperlink>
      <w:r>
        <w:rPr>
          <w:rFonts w:ascii="arial" w:eastAsia="arial" w:hAnsi="arial" w:cs="arial"/>
          <w:color w:val="000000"/>
          <w:sz w:val="20"/>
          <w:lang w:val="en-US" w:eastAsia="en-US" w:bidi="ar-SA"/>
        </w:rPr>
        <w:t xml:space="preserve"> at paras. 59-60.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find that the first two conditions have not been satisfied. As the plaintiffs were aware from the start, their right to develop the property was conditional on the heritage merit assessed by the City. That was a risk the plaintiffs took when they purchased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As discussed, I find that the City concluded early on in the process that the house had heritage merit and had to be protected. That was a decision that was open to them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For that reason I am unable to find that the plaintiffs had the right to develop the land in the way they sought. Accordingly, I dismiss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 will now turn to the plaintiffs'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will deal with it in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VII. THE LAW--</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OF PUBLIC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It is well established that a public authority is not exempt from civil liability: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British Columbia</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v. British Columbia (Minister of Transportation and Highways)</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Under the dominant "policy" approach, decisions of a public authority cannot give rise to civil liability if they are properly characterized as policy decisions that raise social, economic or political considerations. Conversely, decisions that involve the practical implementation of settled policy are properly characterized as operational and can give rise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the Supreme Court of Canada clarified the approach for distinguishing between policy and operational decisions. Writing for the Court, McLachlin C.J. stated at para. 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"core policy" government decisions protected from suit are decisions as to a course or principle of action that are based on public policy considerations, such as economic, social and political factors, provided they are neither irrational nor taken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If the action of a public authority does not clearly engage the policy considerations described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it is not immune from civil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other claims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order to establish that a public authority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must be established that:</w:t>
      </w:r>
      <w:r>
        <w:rPr>
          <w:rFonts w:ascii="arial" w:eastAsia="arial" w:hAnsi="arial" w:cs="arial"/>
          <w:sz w:val="20"/>
          <w:lang w:val="en-US" w:eastAsia="en-US" w:bidi="ar-SA"/>
        </w:rPr>
        <w:cr/>
      </w:r>
    </w:p>
    <w:p>
      <w:pPr>
        <w:numPr>
          <w:numId w:val="8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authority in question owes the claimant a private law duty of care;</w:t>
      </w:r>
    </w:p>
    <w:p>
      <w:pPr>
        <w:numPr>
          <w:numId w:val="8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authority breached the standard of care applicable in the circumstances; and</w:t>
      </w:r>
    </w:p>
    <w:p>
      <w:pPr>
        <w:numPr>
          <w:numId w:val="8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 suffered damage as a result of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Henry Woolf, Jeffrey Jowell &amp; Andrew Le Sueur, </w:t>
      </w:r>
      <w:r>
        <w:rPr>
          <w:rFonts w:ascii="arial" w:eastAsia="arial" w:hAnsi="arial" w:cs="arial"/>
          <w:i/>
          <w:color w:val="000000"/>
          <w:sz w:val="20"/>
          <w:lang w:val="en-US" w:eastAsia="en-US" w:bidi="ar-SA"/>
        </w:rPr>
        <w:t>De Smith's Judicial Review</w:t>
      </w:r>
      <w:r>
        <w:rPr>
          <w:rFonts w:ascii="arial" w:eastAsia="arial" w:hAnsi="arial" w:cs="arial"/>
          <w:color w:val="000000"/>
          <w:sz w:val="20"/>
          <w:lang w:val="en-US" w:eastAsia="en-US" w:bidi="ar-SA"/>
        </w:rPr>
        <w:t>, 6th ed (London: Sweet &amp; Maxwell, 2007) at 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will review the law regarding each of these elements.</w:t>
      </w:r>
      <w:r>
        <w:rPr>
          <w:rFonts w:ascii="arial" w:eastAsia="arial" w:hAnsi="arial" w:cs="arial"/>
          <w:sz w:val="20"/>
          <w:lang w:val="en-US" w:eastAsia="en-US" w:bidi="ar-SA"/>
        </w:rPr>
        <w:cr/>
      </w:r>
    </w:p>
    <w:p>
      <w:pPr>
        <w:numPr>
          <w:numId w:val="8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framework for establishing a private law duty of care is set out in </w:t>
      </w:r>
      <w:r>
        <w:rPr>
          <w:rFonts w:ascii="arial" w:eastAsia="arial" w:hAnsi="arial" w:cs="arial"/>
          <w:i/>
          <w:color w:val="000000"/>
          <w:sz w:val="20"/>
          <w:lang w:val="en-US" w:eastAsia="en-US" w:bidi="ar-SA"/>
        </w:rPr>
        <w:t>Carhoun &amp; Sons Enterprises Ltd. v. Canada (Attorney General)</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2015 BCCA 163</w:t>
        </w:r>
      </w:hyperlink>
      <w:r>
        <w:rPr>
          <w:rFonts w:ascii="arial" w:eastAsia="arial" w:hAnsi="arial" w:cs="arial"/>
          <w:color w:val="000000"/>
          <w:sz w:val="20"/>
          <w:lang w:val="en-US" w:eastAsia="en-US" w:bidi="ar-SA"/>
        </w:rPr>
        <w:t xml:space="preserve"> at paras. 50-51: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The test for determining the existence of a private duty of care owed by a public authority is known as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(S.C.C.). The test requires a court to address the analysis by considering the following series of questions:</w:t>
      </w:r>
    </w:p>
    <w:p>
      <w:pPr>
        <w:numPr>
          <w:numId w:val="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 sufficiently analogous precedent exist that definitively found the existence or non-existence of a duty of care in these circumstances;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not;</w:t>
      </w:r>
    </w:p>
    <w:p>
      <w:pPr>
        <w:numPr>
          <w:numId w:val="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harm suffered by the plaintiff reasonably foreseeable;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yes;</w:t>
      </w:r>
    </w:p>
    <w:p>
      <w:pPr>
        <w:numPr>
          <w:numId w:val="8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relationship of sufficient proximity between the plaintiff and the defendant such that it would be just to impose a duty of care in these circumstances;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arises;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there any residual policy reasons for negating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established in question/step 3, aside from any policy considerations that arise naturally out of a consideration of proximity.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not, then a novel duty of care is found to exist.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The onus is on the plaintiff to show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(through answering questions 1-3, above); but the onus is on the defendant to establish any policy reasons for negating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(S.C.C.)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relevant legislative context must be considered to establish the nature and extent of the duty of care: </w:t>
      </w:r>
      <w:r>
        <w:rPr>
          <w:rFonts w:ascii="arial" w:eastAsia="arial" w:hAnsi="arial" w:cs="arial"/>
          <w:i/>
          <w:color w:val="000000"/>
          <w:sz w:val="20"/>
          <w:lang w:val="en-US" w:eastAsia="en-US" w:bidi="ar-SA"/>
        </w:rPr>
        <w:t>Rothfield v. Manolakos</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[1989] 2 S.C.R. 1259</w:t>
        </w:r>
      </w:hyperlink>
      <w:r>
        <w:rPr>
          <w:rFonts w:ascii="arial" w:eastAsia="arial" w:hAnsi="arial" w:cs="arial"/>
          <w:color w:val="000000"/>
          <w:sz w:val="20"/>
          <w:lang w:val="en-US" w:eastAsia="en-US" w:bidi="ar-SA"/>
        </w:rPr>
        <w:t xml:space="preserve"> at para. 55; </w:t>
      </w:r>
      <w:r>
        <w:rPr>
          <w:rFonts w:ascii="arial" w:eastAsia="arial" w:hAnsi="arial" w:cs="arial"/>
          <w:i/>
          <w:color w:val="000000"/>
          <w:sz w:val="20"/>
          <w:lang w:val="en-US" w:eastAsia="en-US" w:bidi="ar-SA"/>
        </w:rPr>
        <w:t>Ingles v. Tutkaluk Construction Ltd.</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2000 SCC 12</w:t>
        </w:r>
      </w:hyperlink>
      <w:r>
        <w:rPr>
          <w:rFonts w:ascii="arial" w:eastAsia="arial" w:hAnsi="arial" w:cs="arial"/>
          <w:color w:val="000000"/>
          <w:sz w:val="20"/>
          <w:lang w:val="en-US" w:eastAsia="en-US" w:bidi="ar-SA"/>
        </w:rPr>
        <w:t xml:space="preserve"> at paras. 21-25.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With respect to claims of economic loss in particular, if elements of the legislative scheme appear to limit financial recovery, those must be taken into account: </w:t>
      </w:r>
      <w:r>
        <w:rPr>
          <w:rFonts w:ascii="arial" w:eastAsia="arial" w:hAnsi="arial" w:cs="arial"/>
          <w:i/>
          <w:color w:val="000000"/>
          <w:sz w:val="20"/>
          <w:lang w:val="en-US" w:eastAsia="en-US" w:bidi="ar-SA"/>
        </w:rPr>
        <w:t>Cooper v. Hobart et al.</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2000 BCCA 151</w:t>
        </w:r>
      </w:hyperlink>
      <w:r>
        <w:rPr>
          <w:rFonts w:ascii="arial" w:eastAsia="arial" w:hAnsi="arial" w:cs="arial"/>
          <w:color w:val="000000"/>
          <w:sz w:val="20"/>
          <w:lang w:val="en-US" w:eastAsia="en-US" w:bidi="ar-SA"/>
        </w:rPr>
        <w:t xml:space="preserve"> at para. 27, aff'd </w:t>
      </w:r>
      <w:hyperlink r:id="rId62"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James v. British Columbia</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2005 BCCA 136</w:t>
        </w:r>
      </w:hyperlink>
      <w:r>
        <w:rPr>
          <w:rFonts w:ascii="arial" w:eastAsia="arial" w:hAnsi="arial" w:cs="arial"/>
          <w:color w:val="000000"/>
          <w:sz w:val="20"/>
          <w:lang w:val="en-US" w:eastAsia="en-US" w:bidi="ar-SA"/>
        </w:rPr>
        <w:t xml:space="preserve"> at para. 41.</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If a claimant successfully establishes that the public authority owes a private law duty of care, the applicable standard of care must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When the contested government action is operational the applicable standard of care is reasonableness: </w:t>
      </w:r>
      <w:r>
        <w:rPr>
          <w:rFonts w:ascii="arial" w:eastAsia="arial" w:hAnsi="arial" w:cs="arial"/>
          <w:i/>
          <w:color w:val="000000"/>
          <w:sz w:val="20"/>
          <w:lang w:val="en-US" w:eastAsia="en-US" w:bidi="ar-SA"/>
        </w:rPr>
        <w:t>Gobin (Guardian of) v. British Columbia</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2002 BCCA 373</w:t>
        </w:r>
      </w:hyperlink>
      <w:r>
        <w:rPr>
          <w:rFonts w:ascii="arial" w:eastAsia="arial" w:hAnsi="arial" w:cs="arial"/>
          <w:color w:val="000000"/>
          <w:sz w:val="20"/>
          <w:lang w:val="en-US" w:eastAsia="en-US" w:bidi="ar-SA"/>
        </w:rPr>
        <w:t xml:space="preserve"> at para. 13 [</w:t>
      </w:r>
      <w:r>
        <w:rPr>
          <w:rFonts w:ascii="arial" w:eastAsia="arial" w:hAnsi="arial" w:cs="arial"/>
          <w:i/>
          <w:color w:val="000000"/>
          <w:sz w:val="20"/>
          <w:lang w:val="en-US" w:eastAsia="en-US" w:bidi="ar-SA"/>
        </w:rPr>
        <w:t>Gobin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Talarico v. Town of Fort Nelson</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2008 BCSC 861</w:t>
        </w:r>
      </w:hyperlink>
      <w:r>
        <w:rPr>
          <w:rFonts w:ascii="arial" w:eastAsia="arial" w:hAnsi="arial" w:cs="arial"/>
          <w:color w:val="000000"/>
          <w:sz w:val="20"/>
          <w:lang w:val="en-US" w:eastAsia="en-US" w:bidi="ar-SA"/>
        </w:rPr>
        <w:t xml:space="preserve"> at para. 67; </w:t>
      </w:r>
      <w:r>
        <w:rPr>
          <w:rFonts w:ascii="arial" w:eastAsia="arial" w:hAnsi="arial" w:cs="arial"/>
          <w:i/>
          <w:color w:val="000000"/>
          <w:sz w:val="20"/>
          <w:lang w:val="en-US" w:eastAsia="en-US" w:bidi="ar-SA"/>
        </w:rPr>
        <w:t>Plett (Guardian ad litem of) v. Abbotsford (City)</w:t>
      </w:r>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2017 BCSC 1298</w:t>
        </w:r>
      </w:hyperlink>
      <w:r>
        <w:rPr>
          <w:rFonts w:ascii="arial" w:eastAsia="arial" w:hAnsi="arial" w:cs="arial"/>
          <w:color w:val="000000"/>
          <w:sz w:val="20"/>
          <w:lang w:val="en-US" w:eastAsia="en-US" w:bidi="ar-SA"/>
        </w:rPr>
        <w:t xml:space="preserve"> at para. 37. Accordingly, a claimant must demonstrate that the public authority in question has failed to act in a reasonably competent manner while executing an operational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facts necessary to establish that a public authority has failed to meet reasonably acceptable operational standards are highly variable. Specifics of the operational context must be taken into account. In the common case of government highway inspections, the court in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stated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manner and quality of an inspection system is clearly part of the operational aspect of a governmental activity and falls to be assessed in the consideration of the standard of care issue. At this stage, the requisite standard of care to be applied to the particular operation must be assessed in light of all the surrounding circumstances including, for example, budgetary restraints and the availability of qualified personnel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Gobin</w:t>
      </w:r>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Facts that establish bad faith conduct can assist in determining whether a public authority has breached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Supreme Court of Canada explored the factual overlap between bad faith conduct and negligent conduct in </w:t>
      </w:r>
      <w:r>
        <w:rPr>
          <w:rFonts w:ascii="arial" w:eastAsia="arial" w:hAnsi="arial" w:cs="arial"/>
          <w:i/>
          <w:color w:val="000000"/>
          <w:sz w:val="20"/>
          <w:lang w:val="en-US" w:eastAsia="en-US" w:bidi="ar-SA"/>
        </w:rPr>
        <w:t>Finney v. Barreau du Québec</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2004 SCC 36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Entreprises Sibeca Inc. v. Frelighsburg (Municipality)</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2004 SCC 61</w:t>
        </w:r>
      </w:hyperlink>
      <w:r>
        <w:rPr>
          <w:rFonts w:ascii="arial" w:eastAsia="arial" w:hAnsi="arial" w:cs="arial"/>
          <w:color w:val="000000"/>
          <w:sz w:val="20"/>
          <w:lang w:val="en-US" w:eastAsia="en-US" w:bidi="ar-SA"/>
        </w:rPr>
        <w:t xml:space="preserve">. In both cases, the Court advocated for a broader interpretation of bad faith that captures certain forms of negligent conduct. The Court in </w:t>
      </w:r>
      <w:r>
        <w:rPr>
          <w:rFonts w:ascii="arial" w:eastAsia="arial" w:hAnsi="arial" w:cs="arial"/>
          <w:i/>
          <w:color w:val="000000"/>
          <w:sz w:val="20"/>
          <w:lang w:val="en-US" w:eastAsia="en-US" w:bidi="ar-SA"/>
        </w:rPr>
        <w:t>Finney</w:t>
      </w:r>
      <w:r>
        <w:rPr>
          <w:rFonts w:ascii="arial" w:eastAsia="arial" w:hAnsi="arial" w:cs="arial"/>
          <w:color w:val="000000"/>
          <w:sz w:val="20"/>
          <w:lang w:val="en-US" w:eastAsia="en-US" w:bidi="ar-SA"/>
        </w:rPr>
        <w:t xml:space="preserve"> noted that restricting bad faith to intentional fault limits its practical use and stated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concept of bad faith can and must be given a broader meaning that encompasses serious carelessness or recklessness. Bad faith certainly includes intentional fault, a classic example of which is found in the conduct of the Attorney General of Quebec that was examined in </w:t>
      </w:r>
      <w:r>
        <w:rPr>
          <w:rFonts w:ascii="arial" w:eastAsia="arial" w:hAnsi="arial" w:cs="arial"/>
          <w:i/>
          <w:color w:val="000000"/>
          <w:sz w:val="20"/>
          <w:lang w:val="en-US" w:eastAsia="en-US" w:bidi="ar-SA"/>
        </w:rPr>
        <w:t>Roncarelli v. Duplessis</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1959 CanLII 50</w:t>
        </w:r>
      </w:hyperlink>
      <w:r>
        <w:rPr>
          <w:rFonts w:ascii="arial" w:eastAsia="arial" w:hAnsi="arial" w:cs="arial"/>
          <w:color w:val="000000"/>
          <w:sz w:val="20"/>
          <w:lang w:val="en-US" w:eastAsia="en-US" w:bidi="ar-SA"/>
        </w:rPr>
        <w:t xml:space="preserve"> (SCC), </w:t>
      </w:r>
      <w:hyperlink r:id="rId960"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Such conduct is an abuse of power for which the State, or sometimes a public servant, may be held liable. However, recklessness implies a fundamental breakdown of the orderly exercise of authority, to the point that absence of good faith can be deduced and bad faith presumed. The act, in terms of how it is performed, is then inexplicable and incomprehensible, to the point that it can be regarded as an actual abuse of power, having regard to the purposes for which it is meant to be exercised (Dussault and Borgeat,</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vol. 4, at p. 343).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Affirming this rationale from </w:t>
      </w:r>
      <w:r>
        <w:rPr>
          <w:rFonts w:ascii="arial" w:eastAsia="arial" w:hAnsi="arial" w:cs="arial"/>
          <w:i/>
          <w:color w:val="000000"/>
          <w:sz w:val="20"/>
          <w:lang w:val="en-US" w:eastAsia="en-US" w:bidi="ar-SA"/>
        </w:rPr>
        <w:t>Finney</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Entreprises Sibeca Inc</w:t>
      </w:r>
      <w:r>
        <w:rPr>
          <w:rFonts w:ascii="arial" w:eastAsia="arial" w:hAnsi="arial" w:cs="arial"/>
          <w:color w:val="000000"/>
          <w:sz w:val="20"/>
          <w:lang w:val="en-US" w:eastAsia="en-US" w:bidi="ar-SA"/>
        </w:rPr>
        <w:t>. further stated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concept of bad faith can encompass not only acts committed deliberately with intent to harm, which corresponds to the classical concept of bad faith, but also acts that are </w:t>
      </w:r>
      <w:r>
        <w:rPr>
          <w:rFonts w:ascii="arial" w:eastAsia="arial" w:hAnsi="arial" w:cs="arial"/>
          <w:color w:val="000000"/>
          <w:sz w:val="20"/>
          <w:u w:val="single"/>
          <w:lang w:val="en-US" w:eastAsia="en-US" w:bidi="ar-SA"/>
        </w:rPr>
        <w:t>so markedly inconsistent with the relevant legislative context that a court cannot reasonably conclude that they were performed in good faith</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Conduct of a public authority that is not expressly malicious but amounts to bad faith shares common features with conduct that does not meet the applicable standard of care. Therefore, factual proof of bad faith can support findings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vice-versa. See also: </w:t>
      </w:r>
      <w:r>
        <w:rPr>
          <w:rFonts w:ascii="arial" w:eastAsia="arial" w:hAnsi="arial" w:cs="arial"/>
          <w:i/>
          <w:color w:val="000000"/>
          <w:sz w:val="20"/>
          <w:lang w:val="en-US" w:eastAsia="en-US" w:bidi="ar-SA"/>
        </w:rPr>
        <w:t>Varzeliotis v. The Queen et</w:t>
      </w:r>
      <w:r>
        <w:rPr>
          <w:rFonts w:ascii="arial" w:eastAsia="arial" w:hAnsi="arial" w:cs="arial"/>
          <w:color w:val="000000"/>
          <w:sz w:val="20"/>
          <w:lang w:val="en-US" w:eastAsia="en-US" w:bidi="ar-SA"/>
        </w:rPr>
        <w:t xml:space="preserve"> al, </w:t>
      </w:r>
      <w:hyperlink r:id="rId961" w:history="1">
        <w:r>
          <w:rPr>
            <w:rFonts w:ascii="arial" w:eastAsia="arial" w:hAnsi="arial" w:cs="arial"/>
            <w:i/>
            <w:color w:val="0077CC"/>
            <w:sz w:val="20"/>
            <w:u w:val="single"/>
            <w:shd w:val="clear" w:color="auto" w:fill="FFFFFF"/>
            <w:lang w:val="en-US" w:eastAsia="en-US" w:bidi="ar-SA"/>
          </w:rPr>
          <w:t>2007 BCSC 620</w:t>
        </w:r>
      </w:hyperlink>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Beal v. Valette Holdings Ltd.</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2017 ABQB 437</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This reasoning is also supported by the comments of Madam Justice Saunders in </w:t>
      </w:r>
      <w:r>
        <w:rPr>
          <w:rFonts w:ascii="arial" w:eastAsia="arial" w:hAnsi="arial" w:cs="arial"/>
          <w:i/>
          <w:color w:val="000000"/>
          <w:sz w:val="20"/>
          <w:lang w:val="en-US" w:eastAsia="en-US" w:bidi="ar-SA"/>
        </w:rPr>
        <w:t>B.M. (Guardian ad litem of) v. British Columbia</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2009 BCCA 413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B.M</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B.M.</w:t>
      </w:r>
      <w:r>
        <w:rPr>
          <w:rFonts w:ascii="arial" w:eastAsia="arial" w:hAnsi="arial" w:cs="arial"/>
          <w:color w:val="000000"/>
          <w:sz w:val="20"/>
          <w:lang w:val="en-US" w:eastAsia="en-US" w:bidi="ar-SA"/>
        </w:rPr>
        <w:t>, the relationship between bad faith conduct and breach of the standard of care was a central ground of appeal. Discussing the standard of care applicable to a social worker--but with reference to the liability of public authorities generally--Saunders J.A. recognized the factual overlap between these two types of conduct at paras. 54-55: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...I consider the presence or absence of good faith may be an important consideration in determining whether the standard of care has been breached where the basis for the judgment is laid squarely before the court. In those cases it seems to me that </w:t>
      </w:r>
      <w:r>
        <w:rPr>
          <w:rFonts w:ascii="arial" w:eastAsia="arial" w:hAnsi="arial" w:cs="arial"/>
          <w:color w:val="000000"/>
          <w:sz w:val="20"/>
          <w:u w:val="single"/>
          <w:lang w:val="en-US" w:eastAsia="en-US" w:bidi="ar-SA"/>
        </w:rPr>
        <w:t>the presence or absence of good faith will be powerful in a judge's characterization of actions as being those of a reasonable social worker in similar circumstances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w:t>
      </w:r>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[1989] B.C.J. No. 1267</w:t>
        </w:r>
      </w:hyperlink>
      <w:r>
        <w:rPr>
          <w:rFonts w:ascii="arial" w:eastAsia="arial" w:hAnsi="arial" w:cs="arial"/>
          <w:color w:val="000000"/>
          <w:sz w:val="20"/>
          <w:lang w:val="en-US" w:eastAsia="en-US" w:bidi="ar-SA"/>
        </w:rPr>
        <w:t xml:space="preserve"> Mr. Justice Esson said this at 229, referring to the words "good faith" used in s. 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concept of good faith has obvious similarities to what Lord Reid [in </w:t>
      </w:r>
      <w:r>
        <w:rPr>
          <w:rFonts w:ascii="arial" w:eastAsia="arial" w:hAnsi="arial" w:cs="arial"/>
          <w:i/>
          <w:color w:val="000000"/>
          <w:sz w:val="20"/>
          <w:lang w:val="en-US" w:eastAsia="en-US" w:bidi="ar-SA"/>
        </w:rPr>
        <w:t>Dorset Yacht</w:t>
      </w:r>
      <w:r>
        <w:rPr>
          <w:rFonts w:ascii="arial" w:eastAsia="arial" w:hAnsi="arial" w:cs="arial"/>
          <w:color w:val="000000"/>
          <w:sz w:val="20"/>
          <w:lang w:val="en-US" w:eastAsia="en-US" w:bidi="ar-SA"/>
        </w:rPr>
        <w:t>] called: "a stage when the discretion is exercised so carelessly or unreasonably that there has been no real exercise of the discretion." Despite these similarities, s. 23 may provide protection in respect of the exercise of a discretionary power in cases where liability would otherwise be imposed.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While I recognize Mr. Justice Esson made those comments on "good faith" in reference to a statutory provision, they usefully describe the general concept, explain its objective aspect and demonstrate the relationship of good faith to the standard of reasonableness.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authorities are clear that evidence of bad faith and evidence of negligent conduct can be highly similar. Such evidence is highly probative when assessing reasonableness.</w:t>
      </w:r>
      <w:r>
        <w:rPr>
          <w:rFonts w:ascii="arial" w:eastAsia="arial" w:hAnsi="arial" w:cs="arial"/>
          <w:sz w:val="20"/>
          <w:lang w:val="en-US" w:eastAsia="en-US" w:bidi="ar-SA"/>
        </w:rPr>
        <w:cr/>
      </w:r>
    </w:p>
    <w:p>
      <w:pPr>
        <w:numPr>
          <w:numId w:val="9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Harm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Finally, breach of the standard of care must result in harm to the claimant. This is a case where the alleged harm is purely economic. Pure economic loss is a restricted but viable category of losses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Design Services Ltd. v. Canada</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2008 SCC 22</w:t>
        </w:r>
      </w:hyperlink>
      <w:r>
        <w:rPr>
          <w:rFonts w:ascii="arial" w:eastAsia="arial" w:hAnsi="arial" w:cs="arial"/>
          <w:color w:val="000000"/>
          <w:sz w:val="20"/>
          <w:lang w:val="en-US" w:eastAsia="en-US" w:bidi="ar-SA"/>
        </w:rPr>
        <w:t xml:space="preserve">, clarified the broad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where a duty of care has been found with respect to pure economic losses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w:t>
      </w:r>
      <w:r>
        <w:rPr>
          <w:rFonts w:ascii="arial" w:eastAsia="arial" w:hAnsi="arial" w:cs="arial"/>
          <w:i/>
          <w:color w:val="000000"/>
          <w:sz w:val="20"/>
          <w:lang w:val="en-US" w:eastAsia="en-US" w:bidi="ar-SA"/>
        </w:rPr>
        <w:t>Canadian National Railway Co. v. Norsk Pacific Steamship Co.</w:t>
      </w:r>
      <w:r>
        <w:rPr>
          <w:rFonts w:ascii="arial" w:eastAsia="arial" w:hAnsi="arial" w:cs="arial"/>
          <w:color w:val="000000"/>
          <w:sz w:val="20"/>
          <w:lang w:val="en-US" w:eastAsia="en-US" w:bidi="ar-SA"/>
        </w:rPr>
        <w:t xml:space="preserve">, 1992 CanLII 105 (SCC), </w:t>
      </w:r>
      <w:hyperlink r:id="rId61"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at p. 1049, La Forest J. recognized five different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for which a duty of care has been found with respect to pure economic losses:</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Independent Liability of Statutory Public Authorities;</w:t>
      </w:r>
    </w:p>
    <w:p>
      <w:pPr>
        <w:numPr>
          <w:numId w:val="1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1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Performance of a Service;</w:t>
      </w:r>
    </w:p>
    <w:p>
      <w:pPr>
        <w:numPr>
          <w:numId w:val="1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Supply of Shoddy Goods or Structures;</w:t>
      </w:r>
    </w:p>
    <w:p>
      <w:pPr>
        <w:numPr>
          <w:numId w:val="1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Relational Economic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B. Feldthusen, "Economic Loss in the Supreme Court of Canada: Yesterday and Tomorrow" (199091), 17 </w:t>
      </w:r>
      <w:r>
        <w:rPr>
          <w:rFonts w:ascii="arial" w:eastAsia="arial" w:hAnsi="arial" w:cs="arial"/>
          <w:i/>
          <w:color w:val="000000"/>
          <w:sz w:val="20"/>
          <w:lang w:val="en-US" w:eastAsia="en-US" w:bidi="ar-SA"/>
        </w:rPr>
        <w:t>Can. Bus. L.J</w:t>
      </w:r>
      <w:r>
        <w:rPr>
          <w:rFonts w:ascii="arial" w:eastAsia="arial" w:hAnsi="arial" w:cs="arial"/>
          <w:color w:val="000000"/>
          <w:sz w:val="20"/>
          <w:lang w:val="en-US" w:eastAsia="en-US" w:bidi="ar-SA"/>
        </w:rPr>
        <w:t xml:space="preserve">. 356, at pp. 35758; </w:t>
      </w:r>
      <w:r>
        <w:rPr>
          <w:rFonts w:ascii="arial" w:eastAsia="arial" w:hAnsi="arial" w:cs="arial"/>
          <w:i/>
          <w:color w:val="000000"/>
          <w:sz w:val="20"/>
          <w:lang w:val="en-US" w:eastAsia="en-US" w:bidi="ar-SA"/>
        </w:rPr>
        <w:t>Winnipeg Condominium Corporation No. 36 v. Bird Construction Co.</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1995 CanLII 146</w:t>
        </w:r>
      </w:hyperlink>
      <w:r>
        <w:rPr>
          <w:rFonts w:ascii="arial" w:eastAsia="arial" w:hAnsi="arial" w:cs="arial"/>
          <w:color w:val="000000"/>
          <w:sz w:val="20"/>
          <w:lang w:val="en-US" w:eastAsia="en-US" w:bidi="ar-SA"/>
        </w:rPr>
        <w:t xml:space="preserve"> (SCC), </w:t>
      </w:r>
      <w:hyperlink r:id="rId64"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at para. 12; </w:t>
      </w:r>
      <w:r>
        <w:rPr>
          <w:rFonts w:ascii="arial" w:eastAsia="arial" w:hAnsi="arial" w:cs="arial"/>
          <w:i/>
          <w:color w:val="000000"/>
          <w:sz w:val="20"/>
          <w:lang w:val="en-US" w:eastAsia="en-US" w:bidi="ar-SA"/>
        </w:rPr>
        <w:t>D'Amato</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[1996] 2 S.C.R. 1071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Martel</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at para. 38. As explained in </w:t>
      </w:r>
      <w:r>
        <w:rPr>
          <w:rFonts w:ascii="arial" w:eastAsia="arial" w:hAnsi="arial" w:cs="arial"/>
          <w:i/>
          <w:color w:val="000000"/>
          <w:sz w:val="20"/>
          <w:lang w:val="en-US" w:eastAsia="en-US" w:bidi="ar-SA"/>
        </w:rPr>
        <w:t>Martel</w:t>
      </w:r>
      <w:r>
        <w:rPr>
          <w:rFonts w:ascii="arial" w:eastAsia="arial" w:hAnsi="arial" w:cs="arial"/>
          <w:color w:val="000000"/>
          <w:sz w:val="20"/>
          <w:lang w:val="en-US" w:eastAsia="en-US" w:bidi="ar-SA"/>
        </w:rPr>
        <w:t>, at para. 45: "</w:t>
      </w:r>
      <w:r>
        <w:rPr>
          <w:rFonts w:ascii="arial" w:eastAsia="arial" w:hAnsi="arial" w:cs="arial"/>
          <w:color w:val="000000"/>
          <w:sz w:val="20"/>
          <w:u w:val="single"/>
          <w:lang w:val="en-US" w:eastAsia="en-US" w:bidi="ar-SA"/>
        </w:rPr>
        <w:t>The reason for the broader five categories is merely to provide greater structure to a diverse range of factual situations by grouping together cases that raise similar policy concerns</w:t>
      </w:r>
      <w:r>
        <w:rPr>
          <w:rFonts w:ascii="arial" w:eastAsia="arial" w:hAnsi="arial" w:cs="arial"/>
          <w:color w:val="000000"/>
          <w:sz w:val="20"/>
          <w:lang w:val="en-US" w:eastAsia="en-US" w:bidi="ar-SA"/>
        </w:rPr>
        <w:t>. These categories are merely analytical tools."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Court commented on the first category at para. 32, noting that independent liability of statutory public authorities "deals with the government's 'unique public power to convey certain discretionary benefits, such as the power to enforce by-laws, or to inspect homes or roadways' (Feldthusen, at p. 358)." In other words, "inspecting, granting, issuing or enforcing something mandated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As with all claims in tort, a claimant must establish that any economic losses attributable to a public authority were direct and foreseeable consequences of the authority's breach of the standard of care: </w:t>
      </w:r>
      <w:r>
        <w:rPr>
          <w:rFonts w:ascii="arial" w:eastAsia="arial" w:hAnsi="arial" w:cs="arial"/>
          <w:i/>
          <w:color w:val="000000"/>
          <w:sz w:val="20"/>
          <w:lang w:val="en-US" w:eastAsia="en-US" w:bidi="ar-SA"/>
        </w:rPr>
        <w:t>Prince George (City) v. Rahn Bros. Logging et al.</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2001 BCSC 1200</w:t>
        </w:r>
      </w:hyperlink>
      <w:r>
        <w:rPr>
          <w:rFonts w:ascii="arial" w:eastAsia="arial" w:hAnsi="arial" w:cs="arial"/>
          <w:color w:val="000000"/>
          <w:sz w:val="20"/>
          <w:lang w:val="en-US" w:eastAsia="en-US" w:bidi="ar-SA"/>
        </w:rPr>
        <w:t xml:space="preserve"> at para. 52, aff'd </w:t>
      </w:r>
      <w:hyperlink r:id="rId966" w:history="1">
        <w:r>
          <w:rPr>
            <w:rFonts w:ascii="arial" w:eastAsia="arial" w:hAnsi="arial" w:cs="arial"/>
            <w:i/>
            <w:color w:val="0077CC"/>
            <w:sz w:val="20"/>
            <w:u w:val="single"/>
            <w:shd w:val="clear" w:color="auto" w:fill="FFFFFF"/>
            <w:lang w:val="en-US" w:eastAsia="en-US" w:bidi="ar-SA"/>
          </w:rPr>
          <w:t>2003 BCCA 31</w:t>
        </w:r>
      </w:hyperlink>
      <w:r>
        <w:rPr>
          <w:rFonts w:ascii="arial" w:eastAsia="arial" w:hAnsi="arial" w:cs="arial"/>
          <w:color w:val="000000"/>
          <w:sz w:val="20"/>
          <w:lang w:val="en-US" w:eastAsia="en-US" w:bidi="ar-SA"/>
        </w:rPr>
        <w:t xml:space="preserve">. It must be clear that the loss would not have occurred without, or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8-10.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VIII.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With the law in mind, I now turn to an analysis of the facts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determination of whether the actions of the City can give rise to tort liability turns on a finding of whether the action in question is operational.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Applying the test from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it is clear that the process of assessing and granting development permits does not engage true policy concerns and is operational in nature. It involves the application of existing law and clear guidelines to fact-specific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Papadopoulos v. Edmonton (City)</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2000 ABQB 171</w:t>
        </w:r>
      </w:hyperlink>
      <w:r>
        <w:rPr>
          <w:rFonts w:ascii="arial" w:eastAsia="arial" w:hAnsi="arial" w:cs="arial"/>
          <w:color w:val="000000"/>
          <w:sz w:val="20"/>
          <w:lang w:val="en-US" w:eastAsia="en-US" w:bidi="ar-SA"/>
        </w:rPr>
        <w:t>, the City of Edmonton conceded this characterization of permit issuance at para. 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Papadopouloses conceded that no liability could attach to the City for the granting of subdivision approval or for rezoning the property as those decisions were policy decisions, not operational decisions. The City conceded that its actions in issuing the development and building permits were operational in nature and could, in an appropriate case, found an action against it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further conceded that it owed a duty of care to the Papadopouloses in regard to the issuance of the development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such, the City's process of assessing development permit applications is not immune from judicial scrutiny and may give rise to civil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Having made that finding, I must decide whether the City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duty of care analysis begins by looking for a sufficiently analogous precedent that definitively establishes the existence or non-existence of a duty in similar circumstances. No such precedent has been drawn to the court's attention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 do not consider the finding in </w:t>
      </w:r>
      <w:r>
        <w:rPr>
          <w:rFonts w:ascii="arial" w:eastAsia="arial" w:hAnsi="arial" w:cs="arial"/>
          <w:i/>
          <w:color w:val="000000"/>
          <w:sz w:val="20"/>
          <w:lang w:val="en-US" w:eastAsia="en-US" w:bidi="ar-SA"/>
        </w:rPr>
        <w:t>Papadopoulos</w:t>
      </w:r>
      <w:r>
        <w:rPr>
          <w:rFonts w:ascii="arial" w:eastAsia="arial" w:hAnsi="arial" w:cs="arial"/>
          <w:color w:val="000000"/>
          <w:sz w:val="20"/>
          <w:lang w:val="en-US" w:eastAsia="en-US" w:bidi="ar-SA"/>
        </w:rPr>
        <w:t xml:space="preserve"> sufficient to dispose of the issue because the existence of a duty of care was conceded by the City of Edmonton. A full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analysis must be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To establish a novel duty of care under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framework a claimant must demonstrate that: (i) the harm suffered by the claimant was reasonably foreseeable; (ii) there was a relationship of sufficient proximity between the claimant and the defendant such that it would be just to impose a duty of care in the circumstances. The defendant then has the opportunity to raise any residual policy considerations that may discourage the imposition of a private law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For the reasons below, I find that there is sufficient relational proximity to attach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to the City. That duty is owed by the City to development permit applicants who have submitted a complete application and requires the City make a final decision, within a reasonable time, in accordance with the applicable statutory framework.</w:t>
      </w:r>
      <w:r>
        <w:rPr>
          <w:rFonts w:ascii="arial" w:eastAsia="arial" w:hAnsi="arial" w:cs="arial"/>
          <w:sz w:val="20"/>
          <w:lang w:val="en-US" w:eastAsia="en-US" w:bidi="ar-SA"/>
        </w:rPr>
        <w:cr/>
      </w:r>
    </w:p>
    <w:p>
      <w:pPr>
        <w:numPr>
          <w:numId w:val="1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There is no doubt that harm to the plaintiffs was a clearly foreseeable result of the City's excessive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As discussed, the combined legislative scheme of City bylaws and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xml:space="preserve"> stipulated that if the City wished to refuse a development permit and retain a house on the basis of heritage significance it would be required to compensate the owners for any decline in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City failed to issue a final decision within the timeframe it represented to the plaintiffs, or within the usual timeline of approximately 10-14 weeks. No decision had been made by September 2015 when the City placed the First Shaughnessy District under heritage protection and extinguished any right to compensation. In fact, no decision has ever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am satisfied that it was foreseeable that the excessive delay and failure to make a final decision would allow the City to avoid paying compensation to the plaintiffs that it would have been required to pay at the time the application was made. In fact, I find that avoiding compensation was the exact reason the City delayed while processing the plaintiffs'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find that the relationship between the City and individuals who apply for development permits is sufficiently close to meet the threshold of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Williams v. Toronto (City)</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2016 ONCA 666</w:t>
        </w:r>
      </w:hyperlink>
      <w:r>
        <w:rPr>
          <w:rFonts w:ascii="arial" w:eastAsia="arial" w:hAnsi="arial" w:cs="arial"/>
          <w:color w:val="000000"/>
          <w:sz w:val="20"/>
          <w:lang w:val="en-US" w:eastAsia="en-US" w:bidi="ar-SA"/>
        </w:rPr>
        <w:t>, the nature of the inquiry with respect to proximity was summarized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proximity assessment focuses on the "relational proximity" of the parties, to use the Supreme Court's evocative expression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 39. Was there sufficient relational proximity between the class members and the City to attract a duty of care? Was the relationship between the class members and the City of such a nature that the City may be said to have been under an obligation to be mindful of the class members' legitimate interests in conducting its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Certain factors are common in proximate relationships. These are set out in </w:t>
      </w:r>
      <w:r>
        <w:rPr>
          <w:rFonts w:ascii="arial" w:eastAsia="arial" w:hAnsi="arial" w:cs="arial"/>
          <w:i/>
          <w:color w:val="000000"/>
          <w:sz w:val="20"/>
          <w:lang w:val="en-US" w:eastAsia="en-US" w:bidi="ar-SA"/>
        </w:rPr>
        <w:t>Taylor v. Canada (Attorney General)</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2012 ONCA 479</w:t>
        </w:r>
      </w:hyperlink>
      <w:r>
        <w:rPr>
          <w:rFonts w:ascii="arial" w:eastAsia="arial" w:hAnsi="arial" w:cs="arial"/>
          <w:color w:val="000000"/>
          <w:sz w:val="20"/>
          <w:lang w:val="en-US" w:eastAsia="en-US" w:bidi="ar-SA"/>
        </w:rPr>
        <w:t xml:space="preserve"> at para.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authorities are careful to deny that any one factor or combination of factors is necessary to establish proximity, certain factors will routinely take a central role in the proximity analysis. These include any representations made by the defendant, especially if made directly to the plaintiff, reliance by the plaintiff on the defendant's representations, the </w:t>
      </w:r>
      <w:r>
        <w:rPr>
          <w:rFonts w:ascii="arial" w:eastAsia="arial" w:hAnsi="arial" w:cs="arial"/>
          <w:color w:val="000000"/>
          <w:sz w:val="20"/>
          <w:u w:val="single"/>
          <w:lang w:val="en-US" w:eastAsia="en-US" w:bidi="ar-SA"/>
        </w:rPr>
        <w:t>nature of the plaintiff's property or other interest engaged, the specific nature of any direct contact between the plaintiff and the defendant, and the nature of the overall relationship existing between the plaintiff and the defendant</w:t>
      </w:r>
      <w:r>
        <w:rPr>
          <w:rFonts w:ascii="arial" w:eastAsia="arial" w:hAnsi="arial" w:cs="arial"/>
          <w:color w:val="000000"/>
          <w:sz w:val="20"/>
          <w:lang w:val="en-US" w:eastAsia="en-US" w:bidi="ar-SA"/>
        </w:rPr>
        <w:t>: see Cooper, at paras. 34-35; Hill, at paras. 29-30.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also discussed the approach to assess proximity in novel situations when the common indicators may not be present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noted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courts have determined proximity in new situations, by "looking at expectations, representations, reliance, and the property or other interests involved" in order to "evaluate the closeness of the relationship between the plaintiff and the defendant", and by asking "whether it is just and fair having regard to that relationship to impose a duty of care in law upon the defendant" (at para. 34). However, "[t]here is no definitive list" of factors: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 number of factors suggest the relationship between the City and development permit applicants is sufficiently proximate.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On its face, the relationship is direct and transactional. Applicants enter into a clearly defined relationship with the City when seeking a development permit. Within the context of that relationship there is a clear set of expectations and significant reliance on representations made by the City. In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Garson J.A. commented at para. 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two parties are in a direct transactional relationship, "policy" has a much more limited role: generally, the only remaining proximity question is whether the statute expressly or implicitly </w:t>
      </w:r>
      <w:r>
        <w:rPr>
          <w:rFonts w:ascii="arial" w:eastAsia="arial" w:hAnsi="arial" w:cs="arial"/>
          <w:color w:val="000000"/>
          <w:sz w:val="20"/>
          <w:u w:val="single"/>
          <w:lang w:val="en-US" w:eastAsia="en-US" w:bidi="ar-SA"/>
        </w:rPr>
        <w:t>prohibits</w:t>
      </w:r>
      <w:r>
        <w:rPr>
          <w:rFonts w:ascii="arial" w:eastAsia="arial" w:hAnsi="arial" w:cs="arial"/>
          <w:color w:val="000000"/>
          <w:sz w:val="20"/>
          <w:lang w:val="en-US" w:eastAsia="en-US" w:bidi="ar-SA"/>
        </w:rPr>
        <w:t xml:space="preserve"> considering the interests of the plaintiff party, such that it would not be just to expect the defendant to consider the plaintiff's interests. [Emphasis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Additionally, development permit decisions affect an applicant's fundamental property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A landowner has a robust and substantive right to do what they will with their land provided it is not offensive as a nuisance and it is not contrary to legislation. Subject to very limited exceptions, if a landowner applies for a permit, that permit must be granted unless there is a bylaw in force that defeats or qualifies the right: </w:t>
      </w:r>
      <w:r>
        <w:rPr>
          <w:rFonts w:ascii="arial" w:eastAsia="arial" w:hAnsi="arial" w:cs="arial"/>
          <w:i/>
          <w:color w:val="000000"/>
          <w:sz w:val="20"/>
          <w:lang w:val="en-US" w:eastAsia="en-US" w:bidi="ar-SA"/>
        </w:rPr>
        <w:t>Morin v. Surrey (District)</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(1988), 26 B.C.L.R. (2d) 91</w:t>
        </w:r>
      </w:hyperlink>
      <w:r>
        <w:rPr>
          <w:rFonts w:ascii="arial" w:eastAsia="arial" w:hAnsi="arial" w:cs="arial"/>
          <w:color w:val="000000"/>
          <w:sz w:val="20"/>
          <w:lang w:val="en-US" w:eastAsia="en-US" w:bidi="ar-SA"/>
        </w:rPr>
        <w:t xml:space="preserve"> at para. 11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If the City fails to process development permits in accordance with the standard of a reasonably competent municipality, it adversely affects landowners' property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this vein, a number of arguments were made at trial regarding expropriation. Although I found that expropriation was not established, the argument draws on many of the same concepts raised by the proximity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There is no doubt in this case that the City was aware their actions had a direct and profound impact on the plaintiffs' plans to build a new home for their family and on their right to compensation should the House be designated heritage. This is precisely the type of proximate relationship where the City should be mindful of an applicant's legitimate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City raised </w:t>
      </w:r>
      <w:r>
        <w:rPr>
          <w:rFonts w:ascii="arial" w:eastAsia="arial" w:hAnsi="arial" w:cs="arial"/>
          <w:i/>
          <w:color w:val="000000"/>
          <w:sz w:val="20"/>
          <w:lang w:val="en-US" w:eastAsia="en-US" w:bidi="ar-SA"/>
        </w:rPr>
        <w:t>Wirth v. Vancouver (City)</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(1990), 47 B.C.L.R. (2d) 340</w:t>
        </w:r>
      </w:hyperlink>
      <w:r>
        <w:rPr>
          <w:rFonts w:ascii="arial" w:eastAsia="arial" w:hAnsi="arial" w:cs="arial"/>
          <w:color w:val="000000"/>
          <w:sz w:val="20"/>
          <w:lang w:val="en-US" w:eastAsia="en-US" w:bidi="ar-SA"/>
        </w:rPr>
        <w:t xml:space="preserve"> (C.A.), where insufficient proximity was fatal to a claim for economic loss against the City. The claim arose when the City negligently approved a permit and allowed the claimant's neighbor to build a structure that was too large. In that case, the City was never engaged in a transactional relationship with the claimant, but rather the neighbor. As a result, the court found that foreseeability of economic loss alone was insufficient to ground proximity without the presence of other indicators.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situation in </w:t>
      </w:r>
      <w:r>
        <w:rPr>
          <w:rFonts w:ascii="arial" w:eastAsia="arial" w:hAnsi="arial" w:cs="arial"/>
          <w:i/>
          <w:color w:val="000000"/>
          <w:sz w:val="20"/>
          <w:lang w:val="en-US" w:eastAsia="en-US" w:bidi="ar-SA"/>
        </w:rPr>
        <w:t>Wirth</w:t>
      </w:r>
      <w:r>
        <w:rPr>
          <w:rFonts w:ascii="arial" w:eastAsia="arial" w:hAnsi="arial" w:cs="arial"/>
          <w:color w:val="000000"/>
          <w:sz w:val="20"/>
          <w:lang w:val="en-US" w:eastAsia="en-US" w:bidi="ar-SA"/>
        </w:rPr>
        <w:t xml:space="preserve"> is distinguishable from the one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plaintiffs in the present case entered into a clear, transactional relationship with the City, while the claimant in </w:t>
      </w:r>
      <w:r>
        <w:rPr>
          <w:rFonts w:ascii="arial" w:eastAsia="arial" w:hAnsi="arial" w:cs="arial"/>
          <w:i/>
          <w:color w:val="000000"/>
          <w:sz w:val="20"/>
          <w:lang w:val="en-US" w:eastAsia="en-US" w:bidi="ar-SA"/>
        </w:rPr>
        <w:t>Wirth</w:t>
      </w:r>
      <w:r>
        <w:rPr>
          <w:rFonts w:ascii="arial" w:eastAsia="arial" w:hAnsi="arial" w:cs="arial"/>
          <w:color w:val="000000"/>
          <w:sz w:val="20"/>
          <w:lang w:val="en-US" w:eastAsia="en-US" w:bidi="ar-SA"/>
        </w:rPr>
        <w:t xml:space="preserve"> did not. Proximity is augmented in this case by the fact that the plaintiffs' economic loss was clearly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As stated above, I am satisfied, on all of the evidence, that the City had a duty to make a decision on the plaintiffs' development permit application, in accordance with the applicable laws, and to do so within a reasonable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now turn to the legislative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With respect to the duty to make a decision, the Zoning and Development Bylaw, the First Shaughnessy Official Development Plan and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xml:space="preserve"> make it clear that the City had three potential options when faced with development permit applications:</w:t>
      </w:r>
      <w:r>
        <w:rPr>
          <w:rFonts w:ascii="arial" w:eastAsia="arial" w:hAnsi="arial" w:cs="arial"/>
          <w:sz w:val="20"/>
          <w:lang w:val="en-US" w:eastAsia="en-US" w:bidi="ar-SA"/>
        </w:rPr>
        <w:cr/>
      </w:r>
    </w:p>
    <w:p>
      <w:pPr>
        <w:numPr>
          <w:numId w:val="1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Designate the property as heritage property and provide compensation;</w:t>
      </w:r>
    </w:p>
    <w:p>
      <w:pPr>
        <w:numPr>
          <w:numId w:val="1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Reach an agreement with the homeowners regarding retention of the existing house with incentives; or</w:t>
      </w:r>
    </w:p>
    <w:p>
      <w:pPr>
        <w:numPr>
          <w:numId w:val="1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 homeowners to proceed with demolition and development if their application was approvable.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This is confirmed by the evidence of both the plaintiffs and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plaintiffs argue that these were the only options available to the City under the circumstances, and, as such, the City was required to select one of the options and make a final determination within a reasonable time. As the plaintiffs stress, not making a decision was not an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response, the City argued that if a private law duty of care exists, it is simply a duty to comply with the relevant bylaws.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While it is true that the City is under a general public duty to exercise statutory powers in accordance with the terms of the statute, this general public duty is not equivalent to a private law duty of care. Public authorities must comply with their empowering legislation because that is the exclusive source of their authority, but private law duties related to the same legislation may exist as well. See </w:t>
      </w:r>
      <w:r>
        <w:rPr>
          <w:rFonts w:ascii="arial" w:eastAsia="arial" w:hAnsi="arial" w:cs="arial"/>
          <w:i/>
          <w:color w:val="000000"/>
          <w:sz w:val="20"/>
          <w:lang w:val="en-US" w:eastAsia="en-US" w:bidi="ar-SA"/>
        </w:rPr>
        <w:t>Vlanich v. Typhair</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2016 ONCA 517</w:t>
        </w:r>
      </w:hyperlink>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legislative scheme in the present case is similar in this regard to the tax collection scheme considered in </w:t>
      </w:r>
      <w:r>
        <w:rPr>
          <w:rFonts w:ascii="arial" w:eastAsia="arial" w:hAnsi="arial" w:cs="arial"/>
          <w:i/>
          <w:color w:val="000000"/>
          <w:sz w:val="20"/>
          <w:lang w:val="en-US" w:eastAsia="en-US" w:bidi="ar-SA"/>
        </w:rPr>
        <w:t>Leroux v. Canada Revenue Agency</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2014 BCSC 720</w:t>
        </w:r>
      </w:hyperlink>
      <w:r>
        <w:rPr>
          <w:rFonts w:ascii="arial" w:eastAsia="arial" w:hAnsi="arial" w:cs="arial"/>
          <w:color w:val="000000"/>
          <w:sz w:val="20"/>
          <w:lang w:val="en-US" w:eastAsia="en-US" w:bidi="ar-SA"/>
        </w:rPr>
        <w:t>. In that case, despite the existence of a general public duty, Humphries J. stated at para. 306: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there is a duty to the public and to the Minister of National Revenue to collect taxes that are properly payable, as recognized in the cases above, I am unable to see that this duty conflicts with a duty to </w:t>
      </w:r>
      <w:r>
        <w:rPr>
          <w:rFonts w:ascii="arial" w:eastAsia="arial" w:hAnsi="arial" w:cs="arial"/>
          <w:color w:val="000000"/>
          <w:sz w:val="20"/>
          <w:u w:val="single"/>
          <w:lang w:val="en-US" w:eastAsia="en-US" w:bidi="ar-SA"/>
        </w:rPr>
        <w:t>take reasonable care</w:t>
      </w:r>
      <w:r>
        <w:rPr>
          <w:rFonts w:ascii="arial" w:eastAsia="arial" w:hAnsi="arial" w:cs="arial"/>
          <w:color w:val="000000"/>
          <w:sz w:val="20"/>
          <w:lang w:val="en-US" w:eastAsia="en-US" w:bidi="ar-SA"/>
        </w:rPr>
        <w:t xml:space="preserve"> in assessing taxes, auditing taxpayers, and particularly in imposing penalties.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Section 1.6 of the First Shaughnessy Official Development Plan entitled "Development Permit Applications" clearly indicates that the provisions of the Zoning and Development Bylaw apply to development permit applications in the First Shaughnessy District. Section 1.6 affirms the three decisions available to the City when considering a development permit application: the City may "approve, approve subject to conditions, or refuse applications for development permits based on a review of the related goals, development principles, regulations, and all applicable policies and guidelines adopted by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Nothing in the First Shaughnessy Official Development Plan is inconsistent with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Section 4.2.1 of the Zoning and Development Bylaw, which is in the section titled "Development Permit Application Time Limits", provides that "Unless otherwise approved, refused, or subject to limitations in time ... any development permit shall be void </w:t>
      </w:r>
      <w:r>
        <w:rPr>
          <w:rFonts w:ascii="arial" w:eastAsia="arial" w:hAnsi="arial" w:cs="arial"/>
          <w:color w:val="000000"/>
          <w:sz w:val="20"/>
          <w:u w:val="single"/>
          <w:lang w:val="en-US" w:eastAsia="en-US" w:bidi="ar-SA"/>
        </w:rPr>
        <w:t>12 months from the date of application</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Section 4.2.2 provides that the 12-month time limit may be extended by the Director of Planning for </w:t>
      </w:r>
      <w:r>
        <w:rPr>
          <w:rFonts w:ascii="arial" w:eastAsia="arial" w:hAnsi="arial" w:cs="arial"/>
          <w:color w:val="000000"/>
          <w:sz w:val="20"/>
          <w:u w:val="single"/>
          <w:lang w:val="en-US" w:eastAsia="en-US" w:bidi="ar-SA"/>
        </w:rPr>
        <w:t>up to 12 additional months</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Section 4.2.3 provides that if a permit has not been issued </w:t>
      </w:r>
      <w:r>
        <w:rPr>
          <w:rFonts w:ascii="arial" w:eastAsia="arial" w:hAnsi="arial" w:cs="arial"/>
          <w:color w:val="000000"/>
          <w:sz w:val="20"/>
          <w:u w:val="single"/>
          <w:lang w:val="en-US" w:eastAsia="en-US" w:bidi="ar-SA"/>
        </w:rPr>
        <w:t>30 days</w:t>
      </w:r>
      <w:r>
        <w:rPr>
          <w:rFonts w:ascii="arial" w:eastAsia="arial" w:hAnsi="arial" w:cs="arial"/>
          <w:color w:val="000000"/>
          <w:sz w:val="20"/>
          <w:lang w:val="en-US" w:eastAsia="en-US" w:bidi="ar-SA"/>
        </w:rPr>
        <w:t xml:space="preserve"> after the Director of Planning receives all the required material, the permit is deemed to be refused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only reasonable inference to be drawn from the existence of a legislated 12-month expiry period is that a final decision on development permits is generally made within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That the legislation also provides for an absolute maximum expiry period of 24 months indicates that a permit application should never take longer than 24 months to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30-day deemed refusal provision in s. 4.2.3 is a mechanism to expedite the rendering of a final decision. It explicitly states that its purpose is "to enable [an] applicant to exercise [their] right of appeal". The evidence of retired senior City planning employee Rick Michaels also confirmed that s. 4.2.3 was conceived to provide certainty in the application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These provisions of the Zoning and Development Bylaw are not inconsistent with a private law duty of care. In addition, rather than conflicting with a private law duty, the above provisions suggest that imposing a private law duty would simply promote compliance with the relevant legislation.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Residual Policy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City listed the following residual policy concerns:</w:t>
      </w:r>
      <w:r>
        <w:rPr>
          <w:rFonts w:ascii="arial" w:eastAsia="arial" w:hAnsi="arial" w:cs="arial"/>
          <w:sz w:val="20"/>
          <w:lang w:val="en-US" w:eastAsia="en-US" w:bidi="ar-SA"/>
        </w:rPr>
        <w:cr/>
      </w:r>
    </w:p>
    <w:p>
      <w:pPr>
        <w:numPr>
          <w:numId w:val="1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permits to be processed according to any form of definite timeline would significantly restrict the Director of Planning's discretion;</w:t>
      </w:r>
    </w:p>
    <w:p>
      <w:pPr>
        <w:numPr>
          <w:numId w:val="1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the potential for changes to impose an improper financial burden on the City; and</w:t>
      </w:r>
    </w:p>
    <w:p>
      <w:pPr>
        <w:numPr>
          <w:numId w:val="1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Imposing legal guidelines would take the place of the policy enacted by City Council and result in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rewriting of the Zoning and Development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first concern is not relevant given the nature and scope of the duty of care I have articulated. The duty to make a final decision on development permit applications within a reasonable time does not militate in favour of any specific outcome, it simply requires the City to make a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City's discretion to approve an application, approve with conditions, or reject applications remains unfettered beyond the requirements of the legislation. There is also no concern that the duty will have a chilling effect on the City's desire to process applications. Quite the opposite--it should stimulate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As I understand it, the second concern is twofold. It raises the 'spectre' of indeterminate liability, and the question of whether the liability, even if it is determinate, is improper for the City to bear.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Indeterminate liability, a central policy consideration when establishing a novel duty of care, was discussed in the context of economic loss in </w:t>
      </w:r>
      <w:r>
        <w:rPr>
          <w:rFonts w:ascii="arial" w:eastAsia="arial" w:hAnsi="arial" w:cs="arial"/>
          <w:i/>
          <w:color w:val="000000"/>
          <w:sz w:val="20"/>
          <w:lang w:val="en-US" w:eastAsia="en-US" w:bidi="ar-SA"/>
        </w:rPr>
        <w:t>Fullowka v. Pinkerton's of Canada Ltd.</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2010 SCC 5</w:t>
        </w:r>
      </w:hyperlink>
      <w:r>
        <w:rPr>
          <w:rFonts w:ascii="arial" w:eastAsia="arial" w:hAnsi="arial" w:cs="arial"/>
          <w:color w:val="000000"/>
          <w:sz w:val="20"/>
          <w:lang w:val="en-US" w:eastAsia="en-US" w:bidi="ar-SA"/>
        </w:rPr>
        <w:t xml:space="preserve"> at para. 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policy consideration has often held sway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for pure economic loss. But even in that context, it has not always carried the day to exclude a duty of care. The concern is that the proposed duty of care, if accepted, would impose "liability in an indeterminate amount for an indeterminate time to an indeterminate class", to use the often repeated words of Cardozo C.J. in </w:t>
      </w:r>
      <w:r>
        <w:rPr>
          <w:rFonts w:ascii="arial" w:eastAsia="arial" w:hAnsi="arial" w:cs="arial"/>
          <w:i/>
          <w:color w:val="000000"/>
          <w:sz w:val="20"/>
          <w:lang w:val="en-US" w:eastAsia="en-US" w:bidi="ar-SA"/>
        </w:rPr>
        <w:t>Ultramares Corp. v. Touche</w:t>
      </w:r>
      <w:r>
        <w:rPr>
          <w:rFonts w:ascii="arial" w:eastAsia="arial" w:hAnsi="arial" w:cs="arial"/>
          <w:color w:val="000000"/>
          <w:sz w:val="20"/>
          <w:lang w:val="en-US" w:eastAsia="en-US" w:bidi="ar-SA"/>
        </w:rPr>
        <w:t xml:space="preserve">, 174 N.E. 441 (N.Y. 1931), at p. 444. At the root of the concern is that the duty, and therefore the right to sue for its breach, is so broad that it extends indeterminately. In this sense, the policy concern about indeterminate liability is closely related to proximity; the question is whether there are sufficient special factors arising out of the relationship between the plaintiff and the defendant so that indeterminate liability is not the result of imposing the proposed duty of care: see, e.g., </w:t>
      </w:r>
      <w:r>
        <w:rPr>
          <w:rFonts w:ascii="arial" w:eastAsia="arial" w:hAnsi="arial" w:cs="arial"/>
          <w:i/>
          <w:color w:val="000000"/>
          <w:sz w:val="20"/>
          <w:lang w:val="en-US" w:eastAsia="en-US" w:bidi="ar-SA"/>
        </w:rPr>
        <w:t>Canadian National Railway Co. v. Norsk Pacific Steamship Co.</w:t>
      </w:r>
      <w:r>
        <w:rPr>
          <w:rFonts w:ascii="arial" w:eastAsia="arial" w:hAnsi="arial" w:cs="arial"/>
          <w:color w:val="000000"/>
          <w:sz w:val="20"/>
          <w:lang w:val="en-US" w:eastAsia="en-US" w:bidi="ar-SA"/>
        </w:rPr>
        <w:t xml:space="preserve">, 1992 CanLII 105 (SCC), </w:t>
      </w:r>
      <w:hyperlink r:id="rId61"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at p. 1153. </w:t>
      </w:r>
      <w:r>
        <w:rPr>
          <w:rFonts w:ascii="arial" w:eastAsia="arial" w:hAnsi="arial" w:cs="arial"/>
          <w:color w:val="000000"/>
          <w:sz w:val="20"/>
          <w:u w:val="single"/>
          <w:lang w:val="en-US" w:eastAsia="en-US" w:bidi="ar-SA"/>
        </w:rPr>
        <w:t>What is required is a principled basis upon which to draw the line between those to whom the duty is owed and those to whom it is not</w:t>
      </w:r>
      <w:r>
        <w:rPr>
          <w:rFonts w:ascii="arial" w:eastAsia="arial" w:hAnsi="arial" w:cs="arial"/>
          <w:color w:val="000000"/>
          <w:sz w:val="20"/>
          <w:lang w:val="en-US" w:eastAsia="en-US" w:bidi="ar-SA"/>
        </w:rPr>
        <w:t xml:space="preserve">: see, e.g., </w:t>
      </w:r>
      <w:r>
        <w:rPr>
          <w:rFonts w:ascii="arial" w:eastAsia="arial" w:hAnsi="arial" w:cs="arial"/>
          <w:i/>
          <w:color w:val="000000"/>
          <w:sz w:val="20"/>
          <w:lang w:val="en-US" w:eastAsia="en-US" w:bidi="ar-SA"/>
        </w:rPr>
        <w:t>Bow Valley Husky (Bermuda) Ltd. v. Saint John Shipbuilding Ltd.</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1997 CanLII 307</w:t>
        </w:r>
      </w:hyperlink>
      <w:r>
        <w:rPr>
          <w:rFonts w:ascii="arial" w:eastAsia="arial" w:hAnsi="arial" w:cs="arial"/>
          <w:color w:val="000000"/>
          <w:sz w:val="20"/>
          <w:lang w:val="en-US" w:eastAsia="en-US" w:bidi="ar-SA"/>
        </w:rPr>
        <w:t xml:space="preserve"> (SCC), </w:t>
      </w:r>
      <w:hyperlink r:id="rId905"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at para. 64,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McLachlin J. (as she then was).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the present case, the class is easily determined. There is a clear basis to draw the line between those to whom the City owes a duty and those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Development permit applicants are owed the duty once they submit a completed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quantum of liability can also be determined by the City on a case-by-case basis. When there are direct interactions between parties in question, the amount of potential liability can be determined with a reasonable degree of certainty. This was the case in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xml:space="preserve"> where the court commented at para. 113: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the finding of proximity, and therefore the duty of care, is allegedly grounded in direct interactions between Carhoun and the particularized Crown servants. A Crown servant would therefore have a very good idea of the potential liability at stake, because he or she would have a relationship with the potential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Development permit applications involve the exchange of significant amounts of information. Through this transactional relationship between the City and permit applicants, the City acquires much information on which to make predictions about liability. In this case, the potential liability was extremely clear: compensation for the decline in market value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do not find that concerns of indeterminate liability are sufficiently severe to discourage the imposition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With respect to the argument that financial liability would be excessive, the concern is similar to the City's submission that a duty of care would affect the Director of Planning's discretion. These floodgates arguments are not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There is a clear path for the City to follow if they wish to avoid liability: process development permit applications in accordance with the applicable laws and within a reasonably expected timeframe.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Processing permit applications is one of the City's key functions. The City itself has imposed rough timelines through the Zoning and Development Bylaw and various bulletins. Presumably, the feasibility of these timelines was considered before they were passed into law, or, in the case of bulletins, presented to the public. The same applies to the target or due dates provided by City staff when the permit application is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This duty of care is not random or onerous. There will not be a flood of claims if the City processes permits according to the standard of a reasonably competent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It should be the rare case, as is before me, where the City's conduct is so demonstrably inconsistent with the statutory framework and the standard of reasonable care that liability will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This cannot be characterized as an inappropriate financial burden when the power rests with the City to determine the scope of its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Lastly, the City suggested that imposing a duty of care would, in effect, subvert and/or modify the relevant municipal legislation with respect to zoning and development. This is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As I noted with respect to the Director of Planning's discretion, the duty to make a final determination does not alter the usual timelines for permit processing or compel a specific outcome. The City may exercise the same discretion as always with respect to permit applications, it simply must provide applicants with a concrete decision within a reasonable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relevant municipal legislation includes provisions that attempt to provide structure to the permit application process. It cannot be argued that the existing legislation intends for the City to let permit applications languish indefinitely, therefore I fail to see how requiring finality would modify the legislative framework or create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The Supreme Court of Canada has endorsed the imposition of a duty of care when doing so complements the relevant statutory duty: </w:t>
      </w:r>
      <w:r>
        <w:rPr>
          <w:rFonts w:ascii="arial" w:eastAsia="arial" w:hAnsi="arial" w:cs="arial"/>
          <w:i/>
          <w:color w:val="000000"/>
          <w:sz w:val="20"/>
          <w:lang w:val="en-US" w:eastAsia="en-US" w:bidi="ar-SA"/>
        </w:rPr>
        <w:t>Fullowka; Hill v. Hamilton-Wentworth Regional Police Services Board</w:t>
      </w:r>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That is precisely the nature of the duty of care I have articulated.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Having considered all of the City's arguments, I find that the residual policy concerns they raise are not sufficient to discourage the imposition of a private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Having determined that the City owes a duty of care to development permit applicants who have submitted a complete application to make a final decision, within a reasonable time, and in accordance with the applicable statutory framework, I must now consider whether the City breached that duty.</w:t>
      </w:r>
      <w:r>
        <w:rPr>
          <w:rFonts w:ascii="arial" w:eastAsia="arial" w:hAnsi="arial" w:cs="arial"/>
          <w:sz w:val="20"/>
          <w:lang w:val="en-US" w:eastAsia="en-US" w:bidi="ar-SA"/>
        </w:rPr>
        <w:cr/>
      </w:r>
    </w:p>
    <w:p>
      <w:pPr>
        <w:numPr>
          <w:numId w:val="1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Standard of Care</w:t>
      </w:r>
    </w:p>
    <w:p>
      <w:pPr>
        <w:numPr>
          <w:numId w:val="1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Applicable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As stated above, the applicable standard of care when operational decisions of a public authority are in question is that of a reasonably competent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What constitutes reasonable care will depend on the details of the operational scheme at issue, including the statutory guidelines. While "failure to comply with a statute is not itself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this does not preclude a court from treating the statutory requirement[s] as relevant to the standard of care":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at para.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Did the City breach the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evidence put before me by both the plaintiffs and the City demonstrates that the average time for processing a development permit application to decision by the Director of planning is approximately 10-14 weeks. This is drawn from the First Shaughnessy District New House Process bulletin and evidence of the usual timelines. The due date for decision given to the plaintiffs by the City when they filed their development permit application was April 24,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Zoning and Development Bylaw provides for the expiry of an application after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While I do not intend to articulate any firm threshold, these are the best indicators of what "within a reasonable time" means for the City when processing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Considering the realities of development permit processing, I do wish to add that what is a "reasonable time" for processing may depend on the complexity of the permit at issue. While the dates provided to applicants by the City themselves are determinative to this ruling, what is reasonable with respect to a different application will turn on the facts of that specific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the present case, I do not find that there was any significant complexity involved. The positions of the parties were clearly identified at the pre-application stage and did not shift throughout the process. This was a residential permit and the courses of action available to the City were clear from the beginning.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Having considered all of the evidence and all of the submissions, I am satisfied that the City delayed and stalled the Application by returning repeatedly to an option the plaintiffs were never interested in and requiring the plaintiffs to submit reports--the SOS and the retention options--that were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They met no deadline either set by themselves or by the bylaws. Despite some internal emails between City staff about deadlines looming, it is clear from the evidence that the City did not feel obliged to meet any target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At the time this action was commenced, it had been over two years after Mr. Leyland commenced the pre-application process--the time the clock starts to tick according to the Bulletin--and no final decision had been given to the plaintiffs on their development permit. This clearly falls outside of what can be considered a reasonable processing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accept the evidence of Mr. Leyland that he has never before had a legitimate and complete development permit application dealt with in this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I find that the City had made a decision regarding heritage merit by May 31, 2012, and certainly no later than October 3, 2012, but they chose to not advise the plaintiffs of it in order to avoid dealing with the Application until the new bylaw was passed and the requirement to pay compensation was done away with. As stated by the Supreme Court of Canada in </w:t>
      </w:r>
      <w:r>
        <w:rPr>
          <w:rFonts w:ascii="arial" w:eastAsia="arial" w:hAnsi="arial" w:cs="arial"/>
          <w:i/>
          <w:color w:val="000000"/>
          <w:sz w:val="20"/>
          <w:lang w:val="en-US" w:eastAsia="en-US" w:bidi="ar-SA"/>
        </w:rPr>
        <w:t>Entreprises Sibeca</w:t>
      </w:r>
      <w:r>
        <w:rPr>
          <w:rFonts w:ascii="arial" w:eastAsia="arial" w:hAnsi="arial" w:cs="arial"/>
          <w:color w:val="000000"/>
          <w:sz w:val="20"/>
          <w:lang w:val="en-US" w:eastAsia="en-US" w:bidi="ar-SA"/>
        </w:rPr>
        <w:t>, acts that are so markedly inconsistent with the relevant legislative context can constitute bad faith. I find that to be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Given these findings I am satisfied that the City fell below the standard of a reasonably competent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City made a number of arguments at trial defending their conduct. Notably, they asserted that the plaintiffs' Application was incomplete, which prevented a final decision. As I discussed earlier, based on the totality of the evidence I do not find that elements of the Application were in fact missing or deficient, and, even if they were, the City could still have decided not to issue the development permit, or issue it subject to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City also asserted that the plaintiff's Application had lapsed due to the 12-month expiry date in the Zoning and Development Bylaw. Again, based on the evidence I do not accept that the City allows applications to lapse while communications are ongoing. I also note that if they did attempt to let an application lapse in the middle of active communications, this in itself could provide evidence of a breach of the standard of care.</w:t>
      </w:r>
      <w:r>
        <w:rPr>
          <w:rFonts w:ascii="arial" w:eastAsia="arial" w:hAnsi="arial" w:cs="arial"/>
          <w:sz w:val="20"/>
          <w:lang w:val="en-US" w:eastAsia="en-US" w:bidi="ar-SA"/>
        </w:rPr>
        <w:cr/>
      </w:r>
    </w:p>
    <w:p>
      <w:pPr>
        <w:numPr>
          <w:numId w:val="1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As stated above, the plaintiffs must establish that any economic losses attributable to the City were a direct and foreseeable consequence of their breach of the standard of care. It must be clear that the loss would not have occurred without, or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A full consideration of damages and quantum will be conducted at a separate hearing. At this point in the analysis it is necessary only to decide whether the City's breach caused harm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find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plaintiffs commenced the pre-application process in April 2012. They submitted their completed Application on January 30, 2013, after the pre-application phase had, to their understanding, been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If a final determination had been made within the broadly acceptable time limits I have described, the Application would have been approved or rejected before June 2014 when the City placed the property under temporary heritage control, and long before September 29, 2015, when they formally placed the First Shaughnessy area under heritage protection. This timeline would have required the City to provide compensation if the House was determined to have heritage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Given the clear evidence indicating the City never intended to grant the plaintiffs a development permit due to the heritage merit of the property, and given that the plaintiffs were not interested in the City's retention options, the only action open to the City at the time was to designate the property as heritage and provide compensation. Their failure to do so within a reasonable time deprived the plaintiffs of the compensation they were owed, according to the legislative framework, for the decreased market value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find the following categories of loss are a direct consequence of the City's failure to meet the standard of a reasonably competent municipality when processing the Application, and meet the "but for" test for causation:</w:t>
      </w:r>
      <w:r>
        <w:rPr>
          <w:rFonts w:ascii="arial" w:eastAsia="arial" w:hAnsi="arial" w:cs="arial"/>
          <w:sz w:val="20"/>
          <w:lang w:val="en-US" w:eastAsia="en-US" w:bidi="ar-SA"/>
        </w:rPr>
        <w:cr/>
      </w:r>
    </w:p>
    <w:p>
      <w:pPr>
        <w:numPr>
          <w:numId w:val="1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property value would certainly be a direct and foreseeable consequence of a heritage designation. The legislation in place when the plaintiffs applied for a development permit recognized this reality and expressly provided for compensation. I am mindful that the City took the position in January 2014 that they did not owe the plaintiffs any money under this heading. That is a matter for the next chapter of this action;</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expenses incurred by the plaintiffs in connection with their property during the period that can be characterized as unreasonable delay may also be direct and foreseeable. This category of losses may include mortgage payments, if applicable, property taxes, and utilities. It may also include costs of having to live elsewhere during an unnecessary delay; and</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expenses suffered by the plaintiffs as a result of the City's delay tactics are also a direct and foreseeable consequence. This includes the cost of the SOS report, the cost of having the remediation options designed, and the cost of Mr. Leyland's services for work caused by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These are not exhaustive categories or lists. As stated at the outset of these reasons, damages will be determined at a separate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IX.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plaintiffs seek remedies of mandamus and/or damages. I will address each separately.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Mandamus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If the City had no choice but to issue the permit, then mandamus should be ordered: </w:t>
      </w:r>
      <w:r>
        <w:rPr>
          <w:rFonts w:ascii="arial" w:eastAsia="arial" w:hAnsi="arial" w:cs="arial"/>
          <w:b/>
          <w:i/>
          <w:color w:val="000000"/>
          <w:sz w:val="20"/>
          <w:lang w:val="en-US" w:eastAsia="en-US" w:bidi="ar-SA"/>
        </w:rPr>
        <w:t>0742848 B.C. Ltd. v. Squamish (District)</w:t>
      </w:r>
      <w:r>
        <w:rPr>
          <w:rFonts w:ascii="arial" w:eastAsia="arial" w:hAnsi="arial" w:cs="arial"/>
          <w:b/>
          <w:color w:val="000000"/>
          <w:sz w:val="20"/>
          <w:lang w:val="en-US" w:eastAsia="en-US" w:bidi="ar-SA"/>
        </w:rPr>
        <w:t xml:space="preserve">, </w:t>
      </w:r>
      <w:hyperlink r:id="rId977" w:history="1">
        <w:r>
          <w:rPr>
            <w:rFonts w:ascii="arial" w:eastAsia="arial" w:hAnsi="arial" w:cs="arial"/>
            <w:b/>
            <w:i/>
            <w:color w:val="0077CC"/>
            <w:sz w:val="20"/>
            <w:u w:val="single"/>
            <w:shd w:val="clear" w:color="auto" w:fill="FFFFFF"/>
            <w:lang w:val="en-US" w:eastAsia="en-US" w:bidi="ar-SA"/>
          </w:rPr>
          <w:t>2011 BCSC 747</w:t>
        </w:r>
      </w:hyperlink>
      <w:r>
        <w:rPr>
          <w:rFonts w:ascii="arial" w:eastAsia="arial" w:hAnsi="arial" w:cs="arial"/>
          <w:b/>
          <w:color w:val="000000"/>
          <w:sz w:val="20"/>
          <w:lang w:val="en-US" w:eastAsia="en-US" w:bidi="ar-SA"/>
        </w:rPr>
        <w:t xml:space="preserve"> at para. 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That is not the case here. The City had other options open to them. As I have found, the City determined early on that the House had heritage merit and had to be protected. That was a decision that was both open to them and reasonable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Accordingly, I find that the plaintiffs are not entitled to mandamus.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The plaintiffs are however entitled to damages for economic loss. The Supreme Court of Canada in </w:t>
      </w:r>
      <w:r>
        <w:rPr>
          <w:rFonts w:ascii="arial" w:eastAsia="arial" w:hAnsi="arial" w:cs="arial"/>
          <w:i/>
          <w:color w:val="000000"/>
          <w:sz w:val="20"/>
          <w:lang w:val="en-US" w:eastAsia="en-US" w:bidi="ar-SA"/>
        </w:rPr>
        <w:t>Design Services</w:t>
      </w:r>
      <w:r>
        <w:rPr>
          <w:rFonts w:ascii="arial" w:eastAsia="arial" w:hAnsi="arial" w:cs="arial"/>
          <w:color w:val="000000"/>
          <w:sz w:val="20"/>
          <w:lang w:val="en-US" w:eastAsia="en-US" w:bidi="ar-SA"/>
        </w:rPr>
        <w:t xml:space="preserve"> made it clear that these damages are available in cases such as this for the liability of statutory public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Similar circumstances supported an award of damages for economic loss in </w:t>
      </w:r>
      <w:r>
        <w:rPr>
          <w:rFonts w:ascii="arial" w:eastAsia="arial" w:hAnsi="arial" w:cs="arial"/>
          <w:i/>
          <w:color w:val="000000"/>
          <w:sz w:val="20"/>
          <w:lang w:val="en-US" w:eastAsia="en-US" w:bidi="ar-SA"/>
        </w:rPr>
        <w:t>Kamloops v. Nielsen</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where the Court stated at para. 88: "If economic loss was within the purview of the statute, then it should be recoverable for breach of the private law duty arising under the statute". Compensation was specifically contemplated by the legislation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Quantum of damages will be determined at a later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I find that the City owes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to development permit applicants who have submitted a complete application. This duty requires the City to make a final decision, in accordance with the applicable statutory framework, within a reasonable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find further that the applicable standard of care is that of a reasonably competent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 am satisfied on a balance of probabilities that the City was negligent as it acted in bad faith and failed to conduct itself to the standard of a reasonably competent municipality when dealing with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Finally, I find that the City is liable to the plaintiffs for damages for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MURRAY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1"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8"/>
          <w:headerReference w:type="default" r:id="rId979"/>
          <w:footerReference w:type="even" r:id="rId980"/>
          <w:footerReference w:type="default" r:id="rId981"/>
          <w:headerReference w:type="first" r:id="rId982"/>
          <w:footerReference w:type="first" r:id="rId9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4" w:history="1">
        <w:r>
          <w:rPr>
            <w:rFonts w:ascii="arial" w:eastAsia="arial" w:hAnsi="arial" w:cs="arial"/>
            <w:b/>
            <w:bCs/>
            <w:i/>
            <w:color w:val="0077CC"/>
            <w:kern w:val="32"/>
            <w:sz w:val="28"/>
            <w:szCs w:val="32"/>
            <w:u w:val="single"/>
            <w:shd w:val="clear" w:color="auto" w:fill="FFFFFF"/>
            <w:lang w:val="en-US" w:eastAsia="en-US" w:bidi="ar-SA"/>
          </w:rPr>
          <w:t>Sateri (Shanghai) Management Ltd. v. Vinall, [2017] B.C.J. No. 570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28-30, October 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5-9, 13-15 and 20-23,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Plaintiffs' further written reply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received, October 30,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S111963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570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491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786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277 A.C.W.S. (3d) 307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65 B.L.R. (5th) 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Sateri (Shanghai) Management Limited, Sateri International (Singapore) Pte. Ltd. and Bracell International Co. Ltd., Plaintiffs, and Peter Vinall, Fortress Paper Ltd. and Fortress Specialty Cellulose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(676 paras.)</w:t>
      </w:r>
    </w:p>
    <w:p>
      <w:pPr>
        <w:jc w:val="both"/>
        <w:rPr>
          <w:rFonts w:ascii="arial" w:eastAsia="arial" w:hAnsi="arial" w:cs="arial"/>
          <w:sz w:val="20"/>
          <w:lang w:val="en-US" w:eastAsia="en-US" w:bidi="ar-SA"/>
        </w:rPr>
      </w:pPr>
      <w:bookmarkStart w:id="410" w:name="Counsel_44"/>
      <w:bookmarkEnd w:id="4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2"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 McArthur, M.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Peter Vinall: S. Fitterman, A. Sabur.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Fortress Paper Ltd. and Fortress Specialty Cellulose Inc.: W. Smart, Q.C., J.K. McEwan, Q.C., K. Leung.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11" w:name="Judgment_44"/>
      <w:bookmarkEnd w:id="411"/>
      <w:r>
        <w:pict>
          <v:line id="_x0000_s1243" style="position:absolute;z-index:25175552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Corrections were released by the Court April 4, 2017; the changes have been made to the text and the corrigenda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and Other Sateri Companies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Peter Vinall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Chadwick Wasilenkoff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Fortress Paper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Preliminary Remarks about 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Early Dealings between Vinall and Wasilenkoff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Communications between Vinall and Wasilenkoff in 2007 and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2008 Poyry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Solicitation of Investors in the Thurso Mill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Sateri's Recruitment of Vinall - Summer/Fall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Wings and Beer Meeting - October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Vinall's Acceptance of Employment with Sateri Shanghai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Overview of Vinall's Sateri Employment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Life at the Bahia Mill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Hoon and Mr. Goh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Tragedy Strikes the Vinall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Vinall's Secondment/Transfer to Sateri Singapore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Fraser Papers under Creditor Protection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Wasilenkoff's Discussions with Sappi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Vinall's Trips to Mills in Asia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Identifying Mill Candidates for Conversion to Dissolving Pulp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8, 2009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Telephone Discussion between Vinall and Wasilenkoff - October 2009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When did Wasilenkoff receive a copy of the 2008 Poyry Report? * Did Sappi and Wasilenkoff discuss the Thurso Mill in 2009? * Summary of the Content of the October 2009 Call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October 2009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Performance Reviews at the Bahia Mill - October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Carrying out the Actions Assigned at the October 8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Fraser Papers' News Release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Fortress Paper Board Meeting - November 5 and 6,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Inquiries about the Kemijarvi Mill Equipment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Other Events in November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4, 2009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Incorporation of Fortress Specialty and Terminology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Presentation to the Quebec Government - December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Appointment of Vinall as a Director of Sateri Companies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Events in January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Fortress Paper Board Meeting - January 25,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Events in February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Events in March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Tanoto's Inquiry - March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Completion of the Thurso Mill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Vinall's Resignation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Events in the Aftermath of Vinall's Resignation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Fabricated Email Exchange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Involvement of Tecbiz</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Vinall's Fortress Employment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Operations at the Thurso Mill after Acquisition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Disposition of Vinall's Restricted Share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Thurso Mill "Opportunity"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Overview of Legal Framework * 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Fiduciary Duty Claim against Vinall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Overview of Legal Framework</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The Parties' Positions concerning Vinall's Liability qua Fiduciary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Application of the Top Management/Key Employee Tests and the Frame Guidelines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Vinall's Directorships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Allegations of Breach of Fiduciary Duties against Vinall and Knowing Assistance Claim against Fortress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Claims of Misuse of Plaintiffs' Confidential Information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Overview of Legal Framework * Confidentiality Provisions in the Sateri Employment Contract * Confidential Information in Issue</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Category One Documents 2. Category Two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 The Fortress Table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 The Fortress Market Share Chart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 Fortress Cotton Production Graph and Fortress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Cotton Yield Graph</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(iv) The Fortress Yield Information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 The Fortress Correlation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Other Allegations of Misuse of Confidential Information * Breach of Confidence Claim against Fortress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Claim that Vinall Competed with Sateri and/or Assisted Fortress While Employed by Sateri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General Comments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Implied Contractual Duty to Refrain from Competing</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Express Contractual Provisions to Refrain From Competing and Similar Activities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Alleged Breach of Six Month Notice Requirement Alleged Breach of Obligation not to Retain Confidential Information Claim against Fortress for Inducing Breach of Contract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Overview of Legal Framework *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REMEDIES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Comments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Overview of 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12" w:name="S.K. BALLANCE J."/>
            <w:bookmarkEnd w:id="412"/>
            <w:r>
              <w:rPr>
                <w:rFonts w:ascii="arial" w:eastAsia="arial" w:hAnsi="arial" w:cs="arial"/>
                <w:b/>
                <w:color w:val="000000"/>
                <w:sz w:val="30"/>
                <w:lang w:val="en-US" w:eastAsia="en-US" w:bidi="ar-SA"/>
              </w:rPr>
              <w:t>S.K. 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suggest that fidelity is at the heart of this case. The fidelity owed by a director-employee who partakes in clandestine and wrongful actions aimed at diverting a corporate opportunity to a third party competitor and obtains new employment for himself in the process. The cornerstone of the claim is that the director-employee was the plaintiffs' fiduciary. Also front and centre is the question of the concomitant liability of the participating third party and its parent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counter that the fidelity in issue is not of the kind portrayed by the plaintiffs. Casting the dispute in a vastly different light, they claim the nature of the fidelity is the brand of unflinching employee loyalty exacted by the plaintiffs, who are using the court process as a platform to display outrage over an employee's alleged defection and to punish him for his departure to a potential competitor. More to the point, say the defendants, this case is about finding the line between an employee's implied contractual duty of fidelity to the employer and the employee's entitlement, during the currency of employment, to take steps in anticipation of securing a position with a potential competitor.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will be seen, the contours of this hard-fought dispute were nuanced and complex and engaged legal issues beyond employee fidelity, with tens of millions of dollars in the balance. In the end, however, because I have concluded that the director-employee does not owe fiduciary obligations to any of the plaintiffs, the claims tied to his asserted fiduciary status fall by the wayside.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Not all of the important facts in this case were controversial. The following summary reflects factual findings that I have made based on evidence that was not in dispute or, where the evidence was in dispute, based on a consideration of the totality of the evidence, and the weight that it warrants. I have explained the reasoning underlying my findings where the evidence has conflicted in a significant way on material points, or where a party has urged that a particular inference be drawn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assessing the evidence, I have appreciated that caution should be exercised in determining the chronology of events in reliance on the dates and times shown on the emails in evidence, due to the different time zones from which they originate.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and Other Sateri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Sateri organization is an international conglomerate consisting of several corporations. It has three main components to its business. One of its chief undertakings is the production of dissolving wood pulp, including a specialty acetate grade. Dissolving wood pulp is a natural raw material that contains cellulose and is used in the production of viscose staple fibre (rayon), an ingredient found in a wide range of everyday items, such as baby wipes, sunglass frames, food items, pharmaceuticals and industrial products. In 2009, Sateri was ranked as one of the largest manufacturers of wood-based dissolving pulp in the world. At the material time, the dissolving pulp business represented a substantial component of the EBITDA, (essentially a cash-flow metric meaning, earnings before interest, taxes, depreciation and amortization), of the Sateri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industry, the manufacture of dissolving wood pulp is known as the "upstream" business, and the conversion of that pulp into the various end-products is known as the "downstream" operation. The case at hand concerns the upstream business facilitated by a dissolving pulp mill (the "Bahia Mill") and a eucalyptus plantation that harvests the wood supplied to that mill. Both are located in Brazil. The downstream side of the enterprise is carried on in plants in Asia.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two other primary business endeavours of the Sateri group of companies are employee management and human resources and services, and buying and selling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schematic depiction of the corporate relationship among the Sateri companies is shown in Appendix "A" to my Reasons. Of the eight corporations shown, only three of them are plaintiffs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nature of the plaintiffs' particular business operations and their practical and business-related connections with each other and with the five remaining Sateri companies (beyond their share ownership) received cursory attention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Positioned at the top of the Sateri structure is the plaintiff, Bracell International Co. Ltd. At the material times, it was known by its former name, Sateri International Co. Ltd., and I will refer to it as "Sateri International Co."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Sateri International Co., is primarily a holding company and owns 100% of the shares in the following corporations: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Sateri International (Singapore) Pte. Ltd. ("Sateri Singapore");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Sateri Specialty Cellulose Limited ("Sateri Cellulose");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Sateri Copener Limited ("Sateri Copener").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Sateri Singapore (being a wholly owned subsidiary of Sateri International Co.), owns 100% of the third plaintiff, Sateri (Shanghai) Management Limited ("Sateri Shanghai"). Sateri Shanghai and Sateri Singapore provide management and human resources services to the other corporate entities within the Sateri enterprise. In essence, they "hold" and manage the Sateri employees who are allocated to one or the other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Sateri Cellulose owns DP Marketing International Limited ("DP Marketing") and Sateri Bacell Limited ("Sateri Bacell"). DP Marketing is a trading company that buys and sells products used in the specialty cellulose business. Sateri Bacell owns the shares of Bahia Specialty Cellulose S.A. ("Bahia Specialty"). Beyond that, the evidence did not shed light on the business purpose of Sateri Bacell. Bahia Specialty, in turn, owns the Bahia Mill and, along with Sateri Copener, owns the shares of Norcell S.A. ("Norcell"). Norcell owns the eucalyptus plantation that grows the trees that are converted into dissolving wood pulp at the Bahia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companies under the Sateri umbrella were incorporated in various jurisdictions throughout the world. Sateri International Co., Sateri Copener, Sateri Bacell and DP Marketing were set up in the British Virgin Islands. Sateri Singapore is a Singaporean company; Sateri Shanghai was formed in China; and Sateri Cellulose was incorporated in the Cayman Islands. Bahia Specialty and Norcell were established in Brazil.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not shown on Appendix "A", the Sateri corporations are part of, and receive management services of some kind from, companies within a massive corporate network referred to as Royal Golden Eagle (the "RGE Group"). The RGE Group (previously known as RGM) is involved in the palm oil business, the oil and gas sector, and in the pulp and paper industry. It also provides management services to APRIL, which is an acronym for Asia Pacific for Resources International Limited. APRIL is a conventional pulp and paper company and is said to be a "sister" company to the Sateri corporations. It owns plantations, manufacturing facilities that convert wood into pulp and pulp into commodity paper, and a trading group that sells and distributes the end--product.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apex of this vast empire in the relevant timeline sat members of the Tanoto family, headed by its patriarch, Sukanto Tanoto. Mr. Tanoto enjoyed the highest level of authority at the RGE Group as its Chairman and majority shareholder. He also wielded the ultimate authority as the controlling shareholder of the Sateri assembly of companies, including the plaintiffs, and of APRIL.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Tanoto was also the majority shareholder of Toba Pulp Lestari ("Toba"), which owned a swing mill (producing both pulp and dissolving pulp) in Indonesia (the "Toba Mill"). Toba was a separate company that, technically speaking, did not form part of the RGE Group, APRIL or the Sateri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Throughout the course of trial, counsel and many witnesses frequently referred to one or more of the companies in the Sateri organization, either individually or collectively, as "Sateri", the "Sateri group", the "Sateri International group" and/or "Sateri International". Depending on the context in which those references were used, it appeared that, at various times, they were intended to encompass one or more of the plaintiffs, one or other of the non-plaintiff Sateri corporations, or an unspecified combination of those discrete groupings.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indiscriminate use of such untidy terminology in submissions and in the evidence posed a challenge to the analysis of key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my Reasons, I have used the designation "Sateri" where the evidence as a whole did not reliably clarify the particular company or companies within the Sateri collection that were being referenced.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 Peter Vinall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Peter Vinall is an Australian-trained mechanical and electrical engineer. He also holds a Master of Business Administration from Tulane University in New Orleans. Mr. Vinall has accumulated many years of experience in and extensive knowledge about the global pulp and paper industry, including the manufacture of dissolving pulp and the conversion of a conventional mill to a dissolving pulp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Aditya Birla Group ("Birla") originates from India and is the largest producer of rayon from dissolving pulp in the world. Starting in about 1998, Birla entered into various joint ventures with Tembec, a large Canadian forest company. One of their shared undertakings in 2005 was the acquisition and turnaround of a bankrupt mill in Nackawic located in southern New Brunswick.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the commencement of the relevant time period, Mr. Vinall was the President and CEO of Birla's Canadian operations. One of his primary responsibilities was to revive the Nackawic mill and convert it into a dissolving pulp plant.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Chadwick Wasilenkoff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Chadwick Wasilenkoff is a successful contrarian investor, meaning that he purchases distressed business assets, often in declining or unpopular markets, at a bargain and uses them to establish new businesses. The acquisitions are usually made through a corporate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Wasilenkoff keeps current about potential opportunities and market/business trends through his daily routine of reading several newspapers and magazines across a diverse array of subject areas, and by reviewing a variety of news feeds that report on the forestry industry in North America, Europe and elsewhere. Adhering to his unconventional investment model, Mr. Wasilenkoff has bought, built and sold between 12 and 20 companies in diverse market sectors, such as mining, oil and gas, copper and plastics manufacturing. It is typical for Mr. Wasilenkoff to pursue several potential business prospects at any given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 Fortress Paper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Fortress Paper Ltd. ("Fortress Paper") is not a conventional pulp and paper company. It manufactures specialty pulp used to make paper products such as currency, passports, visas and other government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2006, the newly incorporated Fortress Paper purchased and restructured a facility in Switzerland that made specialty paper for banknotes (the "Landqart Mill") and a mill in Germany that produced specialty-grade wallpaper (the "Dresden Mill"). Those repurposed mills thrived under Fortress Paper and proved to be extremely financially successful. At that time, Mr. Wasilenkoff was the single largest shareholder of Fortress Paper.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Preliminary Remarks about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As I have previously observed, assessing the credibility and reliability of a witness is fundamental to the judicial task, and yet is notoriously difficult. It has been acknowledged that the determination is not a purely intellectual exercise, and is more an art than a science. The factors involved can be challenging to verbalize: </w:t>
      </w:r>
      <w:r>
        <w:rPr>
          <w:rFonts w:ascii="arial" w:eastAsia="arial" w:hAnsi="arial" w:cs="arial"/>
          <w:i/>
          <w:color w:val="000000"/>
          <w:sz w:val="20"/>
          <w:lang w:val="en-US" w:eastAsia="en-US" w:bidi="ar-SA"/>
        </w:rPr>
        <w:t>R. v. R.E.M.</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2008 SCC 51</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 clarifying passage summarizing the factors to be considered in the art of the assessment is found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[1952] 2 D.L.R. 152 (B.C.C.A.) ...;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 witness may sincerely believe that she is telling the truth, but lack the sufficient memory, perspective, cognitive ability or narrative capacity to give reliable testimony. Alternatively, a witness "may unconsciously indulge in the human tendency to reconstruct and distort history in a manner that favours the desired outcome":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10. There is also always the possibility that a witness may simply choose to lie about certain matters out of self-interest, to protect others or for any host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Consistency is often an important factor in assessing credibility. However, some inconsistency is expected given the inherent frailty of memory. An individual's memory may be stimulated by other evidence which may also assist a witness to recall an event or details of it that he or she had seemingly forgotten.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waged an all-fronts attack on the credibility of Messrs. Vinall and Wasilenkoff. They assert that their testimony on disputed matters was variously implausible, inconsistent and, at its core, was wholly untruthful. The plaintiffs' approach in cross-examination was to attempt to reveal those individuals as deeply flawed witnesses who thought little of pitching concocted stories to the Court to try to portray their deceptive actions as relatively benign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contend that Mr. Vinall selectively destroyed documents that were not helpful to his position and that would have augmented the evidence of the secret dealings between himself and Mr. Wasilenkoff. They likewise accuse the Fortress defendants of failing to produce all relevant emails and other documents and of mingling their emails with the documents of another, making it virtually impossible to confidently single out the documents that were in the possession of the former at any given time. Although the plaintiffs are dissatisfied with Mr. Wasilenkoff's explanation for the absence of emails sent and received by the Fortress defendants in critical time periods, they concede that there is insufficient evidence to find an intentional destruction of evidence on the part of the Fortress defendants. Even so, the plaintiffs say that the defendants' failure to produce a full documentary picture of their secret dealings is to be taken into account in weighing the testimony of Messrs. Vinall and Wasilenkoff on all controversial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also urge the Court to regard Messrs. Vinall and Wasilenkoff as witnesses of bad character and to discount their evidence unless corroborated by reliable independent testimony or cogent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share the plaintiffs' view that the credibility of each of Mr. Vinall and Mr. Wasilenkoff was impeached in some important factual areas. I will not stop here to detail examples of the instances of tainted credibility, preferring instead to address them throughout my Reasons in the context in which they arise chronologically or by subject matter. At the same time, however, I found each of them to be truthful and their evidence reliable as it concerned other significant contentious points. There were many instances where their disputed evidence was supported by the weight of other probative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cumulatively my concerns compel me to approach the testimony of Messrs. Vinall and Wasilenkoff with extra caution and scepticism, assessment of their credibility is not an all or nothing proposition. Despite my misgivings about some aspects of their evidence, I am not prepared to conclude that either one of them is a fundamentally discreditable witness unworthy of belief entirely. Nor do I require there to be corroborative documentary evidence in order to accept their testimony on all matters of controversy.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Early Dealings between Vinall and Wasilenkoff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late summer 2006, Mr. Wasilenkoff was looking to hire a president/CEO to run Fortress Paper's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Vinall was recommended as a potential candidate. Mr. Wasilenkoff took introductory steps and Mr. Vinall was receptive. Over the next few months, they discussed the opportunity on the telephone, in person and over dinner with their spouses. Their conversations moved along positively and they eventually launched into a series of more pointed negotiations, ultimately reaching agreement about the key terms of Mr. Vinall's employment. I find that it was during these discussions that Mr. Wasilenkoff's attention was first drawn to the business of dissolving pulp in a general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Shortly before Mr. Vinall's employment agreement was finalized, Mr. Wasilenkoff informed him that the bankers behind Fortress Paper's initial public offering were insisting that Mr. Wasilenkoff personally take the helm.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This unwelcome turn of events was disappointing. Messrs. Vinall and Wasilenkoff nonetheless remained on good terms and stayed in touch by periodically communicating about business topics of shared interest in the forestry and pulp industries.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Communications between Vinall and Wasilenkoff in 2007 and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June 16, 2007, Mr. Vinall sent Mr. Wasilenkoff an email in which he raised two business opportunities related to Birla's desire to increase its supply of dissolving pulp. One prospect concerned the possibility of a joint venture between Birla and Fortress Paper in relation to Skeena, a pulp mill in northern British Columbia. The second related to a pulp and ground wood mill called Edmunston located in New Brunswick. Edmunston's sister paper mill, Madawaska, was situated over the river in the state of Maine. Because the Madawaska mill was in the business of making paper, it occurred to Mr. Vinall that Fortress Paper might have an interest in acquiring it. His joint venture concept envisioned that Birla would buy the Edmunston mill and Fortress Paper would take the Madawaska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Edmunston and Madawaska mills were owned by Fraser Papers. Fraser Papers also owned a kraft pulp mill located in Quebec (the "Thurso Mill"), which is the centerpiece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his email to Mr. Wasilenkoff, Mr. Vinall explained that Fraser Papers was experiencing financial difficulties with the Edmunston and Madawaska mills. He noted that the Edmunston facility could be converted to a dissolving pulp mill more quickly and for less cost than a kraft plant, such as Skeena or Nackawic. Mr. Wasilenkoff expressed interest in Mr. Vinall's proposition and asked him to supply more information about the products those mills manufactured.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Later that June, Mr. Vinall forwarded Mr. Wasilenkoff a press release issued by Fraser Papers concerning its upgrade and optimization plan for the Edmunston/Madawaska mills. Mr. Wasilenkoff asked that Mr. Vinall keep him posted.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 day or so later, Fortress Paper announced that it had raised $40 million as a result of its initial public offering. I accept Mr. Wasilenkoff's testimony, as reflected in the press release, that a strong feature of Fortress Paper's public offering was its stated intention to expand via more niche-type forestry acquisitions.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By email dated June 29, 2007, Mr. Vinall congratulated Mr. Wasilenkoff on Fortress Paper's successful launch. Among other things, he reported that he had approached the CEO and the CFO of Fraser Papers for a general introductory discussion and learned that Fraser Papers was trying to "ride out the storm" for a while. He mentioned the price of dissolving pulp in China and the fact that Birla was balking at the Skeena mill. I am satisfied that within this general timeframe Mr. Wasilenkoff pursued his own lines of inquiry into the viability of the Skeena mill as a candidate to convert to dissolving pulp and was discouraged by the problems associated with its unreliable wood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Jaakko Poyry ("Poyry") is a major international consulting firm that services several business sectors, including pulp and paper. Appreciating that Fortress Paper was in an acquisition mode after the success of its initial public offering, on August 3, 2007 Mr. Vinall emailed Mr. Wasilenkoff the name of Poyry's London contact with whom Mr. Vinall had discussed acquisition opportunities in the past. He advised that the contact could provide Mr. Wasilenkoff with a "solid list of potential targets as well as a process of establishing criteria for assessing potential on a number of dimensions".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Wasilenkoff followed up with the Poyry contact. In the meantime, Mr. Vinall sent him a copy of Birla's press release announcing its expansion plans for the production of its dissolving pulp operations in New Brunswick.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that Mr. Wasilenkoff also undertook his own research about the Edmunston/Madawaska mills. He reviewed the publicly available information about Fraser Papers and spoke to various analysts he knew in the field, together with members of the operational teams at the Dresden Mill and Landqart Mill. Mr. Wasilenkoff formed the view that while the Edmunston mill was a good conversion candidate, it was not the most obvious choice because it came saddled with the Madawaska plant. He explained that one of the negatives of Madawaska was that it was merely one of a number of commodity paper mills that were losing money, whereas Fortress Paper was a specialty paper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his March 4, 2008 email, Mr. Wasilenkoff told Mr. Vinall that some analysts had informed him that the Edmunston/Madawaska mills would have a tough time turning a decent financial return. Wishing to better ascertain the level of Mr. Wasilenkoff's interest in pooling resources with respect to the Edmunston/Madawaska venture, Mr. Vinall told him that he had "heard a whisper" that Fraser Papers was looking for a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May 14, 2008, Mr. Wasilenkoff forwarded Mr. Vinall an email he had received from his contact at PricewaterhouseCoopers Inc. who specialized in companies that are bankrupt or under creditor protection. The contact reported that an interim receiver of Pope &amp; Talbot, a failing forest products company, was soliciting offers in respect of the assets of its mills in British Columbia. In his cover email Mr. Wasilenkoff asked Mr. Vinall, "Do you know much about these mills? Wanna start a pulp company?" Mr. Wasilenkoff testified, and I accept, that he had no desire to buy the sawmill assets in receivership; he was interested in Mr. Vinall's thoughts on whether the mills were solid dissolving pulp conversion candidates.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Vinall promptly replied, "for starting up a pulp company I am definitely your man". His response was serious in the sense that he was always on the lookout for new employment prospects. Mr. Vinall identified the Harmac mill, an asset of Pope &amp; Talbot located on Vancouver Island, as the only option because it could be converted to a dissolving pulp mill. Mr. Vinall offered an update on the status of the Skeena mill and investments in wood assets generally, and told Mr. Wasilenkoff he would think some more about pulp opportunities. Significantly, he also disclosed that Birla had commissioned Poyry to perform an evaluation of opportunities in the pulp industry worldwide and that its report had yielded some very interesting analyses.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addition to the opportunities in dissolving pulp conversion that were surfacing in early 2008, Mr. Vinall gathered information about a biodiesel plantation in the Philippines that Mr. Wasilenkoff had spoken about as a potential business target. In or around that time period, Messrs. Vinall and Wasilenkoff also re-canvassed the prospect of Mr. Vinall joining Fortress Paper.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2008 Poyry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Poyry was a relative newcomer to the dissolving pulp industry. As noted, in April 2008 Poyry prepared an extensive report on dissolving pulp outlining global opportunities for converting paper pulp mills into dissolving pulp facilities as part of Birla's wider study (the "2008 Poyry Report"). It was this report that Mr. Vinall had alerted Mr. Wasilenkoff to in their email exchange of May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2008 Poyry Report contained a detailed analysis of pulp mills located around the world that might be candidates for conversion to dissolving pulp facilities. Edmunston and the Thurso Mill were among the many prospective mills identified. After applying select screening criteria, the 2008 Poyry Report identified the Thurso Mill among the mills with low wood costs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Thurso mill is believed to be available at very low investments. It is estimated to have cost-cutting potential, and conversion project is estimated to be profitable as such. Cost cutting potential decisive.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When he initially reviewed the 2008 Poyry Report, Mr. Vinall made checkmarks next to statements it contained with which he agreed. He also wrote comments about points he disagreed with or queried and added criteria to supplement certain of Poyry's content based on his own knowledge and experience. Specifically, he circled the reference to the Thurso Mill and wrote the following notation next to it, "Also may be opportunity to consolidate wood supply".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Solicitation of Investors in the Thurso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By June 2008 or sooner, Fraser Papers was actively looking for investors in relation to the conversion of its Thurso Mill to a dissolving pulp facility. In July 2008, as part of its mandate to try to partner with a third party on that project, Fraser Papers prepared a presentation outlining the Thurso Mill opportunity and made it available to prospective investors. To that end, Fraser Papers, through its general manager of pulp sales at the Thurso Mill, directly solicited Saiccor Sappi ("Sappi"), a global leader in the production of dissolving pulp. Some degree of communication among representatives of the two companies ensued, including a teleconference in early September 2008. Evidently, nothing concrete came of those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July 2008, as Birla was completing the conversation at the Nackawic mill, Mr. Vinall emailed Mr. Wasilenkoff hinting that he would be looking for new employment in a few months. Mr. Wasilenkoff responded that he was still working on numerous potential acquisition fronts but that the projects were mostly European-based, with a possible opportunity in North America months down the road. In this series of emails, Mr. Vinall ended one of his with, "Would be good to catch up sometime for a beer".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Sateri's Recruitment of Vinall - Summer/Fall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Coinciding with the near completion of the Nackawic mill in the late summer or early fall of 2008, Mr. Vinall was contacted by Keith Anderson with Russell Reynolds Associates, an international head-hunter firm, to gauge his interest in joining a Sateri company. Early on in their discussions, Mr. Anderson provided Mr. Vinall with a detailed written outline of the specifications of the position being offered. The title was said to be, "President Upstream -- Sateri International Group RGM International".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outline supplied to Mr. Vinall, Russell Reynolds referred to the prospective employer interchangeably as Sateri International Group and Sateri International and described it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one of several operating companies that are part of RGM International, a global group of highly successful, socially responsible companies operating in the resources development area including oil and gas; engineering, construction and procurement; agriculture; and pulp, paper and fiber.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Russell Reynolds specified that the position included "full P &amp; L responsibility for all aspects of operations in China, Brazil and Indonesia" and would require Mr. Vinall to lead: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...development and execution of a strategy to increase company EBITDA significantly, initially through the expansion of production capacity and then through strategic management of product mix and pricing.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Vinall testified, and I find, that "full P &amp; L responsibility" meant complete responsibility for the profit and loss of the entire upstream business, including forestry and mill operations, sales and marketing, research and development, staff positions and technical roles.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overture piqued Mr. Vinall's interest. The interview process involved multiple meetings up the chain of command, including meetings with the head of APRIL, members of the management team in the human resources division of the Sateri organization, Will Hoon and Mr. Tanoto himself. This is a convenient place to note that the evidence lacked clarity about Mr. Hoon's position in the Sateri enterprise. Some evidence pointed to him being the acting CEO of Sateri International Co. Other evidence, primarily in the form of the testimony of Sammie Li Xue Mei, a long-time analyst in Sateri's strategic planning department, indicated he was the CEO of Sateri Singapore. The probabilities of the evidence support the finding that Mr. Hoon was the acting CEO of Sateri International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that despite being actively engaged in negotiations with Sateri, Mr. Vinall had not given up on the notion of orchestrating a joint undertaking between Birla and Fortress Paper or otherwise becoming involved in one of Mr. Wasilenkoff's business endeavours. For that reason, he maintained periodic contact with Mr. Wasilenkoff.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Wings and Beer Meeting -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early September 2008, Don Roberts provided Mr. Wasilenkoff with a copy of a report by CIBC World Markets titled, "Future Opportunities for the Forest Products Industry in New Brunswick". Mr. Roberts was a corporate finance banker who supplied market reports to Mr. Wasilenkoff on a regular basis. I accept Mr. Wasilenkoff's testimony that he understood this report to conclude that the dissolving pulp sector was the best and most valuable use of forestry opportunities in New Brunswick and that he discussed its contents with Mr.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Wasilenkoff forwarded Mr. Roberts' email to Mr. Vinall. Mr. Vinall was aware of the report and in his reply portrayed himself to Mr. Wasilenkoff as having been "heavily consulted" in relation to it. At trial, Mr. Vinall admitted that he had inflated the depth of his involvement in the report as a means of trying to impress Mr. Wasilenkoff. As I will return to later in my Reasons, Mr. Vinall was prone to embellishment of his abilities and/or credentials in several of his writings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Over the next couple of days, Messrs. Vinall and Wasilenkoff traded emails about arranging a face-to-face meeting in Vancouver in early October. Both men claim that in October 2008, they met at a restaurant/pub in Vancouver where they ate chicken wings and drank beer as they caught up on each other's family and work lives. They testified that the meeting spanned several hours and that they discussed a range of potential business opportunities, most prominently, the dissolving pulp industry generally and the Edmunston/Madawaska mills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Vinall attested that when he met Mr. Wasilenkoff on this occasion, he brought along his copy of the 2008 Poyry Report, or the pertinent pages of it showing the notations he had made on his initial review, and a second clean copy in hand. Mr. Wasilenkoff recalled that Mr. Vinall handed him a full copy of the 2008 Poyry Report at the meeting and also remembered having seen handwritten comments on Mr. Vinall's copy. Both men testified that they pored over the 2008 Poyry Report and discussed it in great detail. Mr. Wasilenkoff stated that, in the process, he received an intense "crash course" about the dissolving pulp business. He confirmed that Mr. Vinall's focus continued to be on the Edmunston/Madawaska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Wasilenkoff testified that during the meeting he made his own comments and highlighted portions of the 2008 Poyry Report in several spots. In particular, he emphasized the references to the Edmunston mill on a number of pages, noting that it was a batch digester mill. Mr. Wasilenkoff did not mark any references to the Thurso Mill. Like Edmunston, the Thurso Mill was a batch digester mill. It is not controversial that it is more cost-effective to convert a batch digester mill to a dissolving pulp facility than the more modern digester type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Even though the Edmunston mill had not made it to the short list of desirable candidates in the 2008 Poyry Report, Mr. Wasilenkoff noticed that the report supported what Mr. Vinall had been telling him about the viability of Edmunston and dissolving pulp conversion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dispute that this get-together between Messrs. Vinall and Wasilenkoff, which has been dubbed the "wings and beer meeting" in this litigation, ever occurred. If it did, they say it is simply untrue that Mr. Vinall shared the 2008 Poyry Report with Mr. Wasilenkoff at that time. To that latter point, the plaintiffs contend that it was not until October or November the following year, long after Mr. Vinall was hired by Sateri Shanghai and when Sateri was considering the Thurso Mill as a potential acquisition, that he showed Mr. Wasilenkoff a copy of the 2008 Poyry Report. For convenience of analysis, I will resolve this factual dispute in the context of determining the matters discussed by Messrs. Vinall and Wasilenkoff during their telephone conversation in October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Vinall's Acceptance of Employment with Sateri Shanghai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Vinall credibly testified that as he progressed through the interviewing stages at Sateri, significant differences emerged between the job duties set out in the Russell Reynolds' outline and Sateri's expectations of his function being presented through drafts of his proposed employment contract. The primary discrepancy was that by cycle two or three of the draft contract, Sateri's written conception of his role lacked particularization beyond conferring the title of "President -- Upstream", and seemed to be formulated along the lines that Mr. Vinall was generally expected to perform whatever functions and assignments may be determined by management from time to time. The expansive profit and loss responsibilities initially detailed by Russell Reynolds were not reflected.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Vinall was troubled by the omissions. He voiced his concern and disappointment both to Mr. Anderson and to members of Sateri management and pushed hard for adjustments to be made to his contract. Mr. Anderson also lobbied for greater specification on Mr. Vinall's behalf. Despite those efforts, no changes were forthcoming.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According to Mr. Vinall, one or more of Sateri's management told him he would assume the high-level management functions described in Russell Reynolds' proposal even though they had not been particularized in his employment agreement. He was left with the impression that he ought not to be troubled by the general, even vague, description of his role in his employment contract, as it simply reflected standard Sateri practice. Mr. Vinall testified that Sateri management told him that he would be required to concentrate his efforts on the Bahia Mill for the first six months of his employment only, and after that he would relocate to the head office in Shanghai and take on the complete profit and loss role. Based on those assurances, he accepted the offer of employment. I accept Mr. Vinall's evidence on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December 2, 2008, Mr. Vinall entered into an employment agreement with Sateri Shanghai (the "Sateri Employment Contract"). His commencement date was January 12,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Overview of Vinall's Sateri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Sateri Employment Contract contained several provisions of importance. It incorporated a separate declaration made by Mr. Vinall (the "Declaration") and the provisions of the Sateri staff handbook that was said to form an integral part of the contract, but was not tendered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Sateri Employment Contract is explicit that Mr. Vinall's employer was Sateri Shanghai and that his term of employment was for three years, unless extended by mutual agreement. At the time, the Sateri head office was located in Shanghai and Sateri Shanghai employed most of the management employees who, like Mr. Vinall, were located outside of Singapore.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Clause I.1 of the Sateri Employment Contract entitled "Position of Work &amp; Reporting Relationship", described Mr. Vinall's title as the "President Upstream (Director Level) reporting to the Acting CEO, Sateri". It stipulated that his "...job description and specific assignments will be decided and communicated by" his superior. Another interesting feature was the entitlement of Sateri Shanghai to assign Mr. Vinall to work for any of its subsidiaries, associated or affiliated companies, which are collectively defined in the agreement as the "Group". It provided that, from time to time, Mr. Vinall would be assigned "to work for or be seconded to any of the [Group] in a position compatible with his skills and experience, whether on a project or term basis and in countries where the Group's businesses are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Vinall's obligations in that regard were expanded upon under the heading, "Performance of Duties" in clause XV, which reiterated that he was required to carry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duties and responsibilities as may be assigned by [Sateri Shanghai] and/or the Group including, without limitation: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carrying out the duties of his/her appointment on behalf of any company within the Group;</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acting as a director of any company within the Group or hold any other appointments or office as nominee or representative of [Sateri Shanghai] or any company within the Group</w:t>
      </w:r>
      <w:r>
        <w:rPr>
          <w:rFonts w:ascii="arial" w:eastAsia="arial" w:hAnsi="arial" w:cs="arial"/>
          <w:color w:val="000000"/>
          <w:sz w:val="20"/>
          <w:lang w:val="en-US" w:eastAsia="en-US" w:bidi="ar-SA"/>
        </w:rPr>
        <w:t>; and</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carrying out such duties and the duties attendant on any such appointment as if they were duties to be performed by him/her on behalf of the company and/or the Group. [Mr. Vinall] shall at all times faithfully and diligently attend to these in compliance with policy and procedures and will endeavour, at all times, and to the best of his/her ability, to protect the interests of [Sateri Shanghai].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Sateri Employment Contract clarified that, notwithstanding Mr. Vinall's secondment to another company within the Group, he "shall at all material times" remain under the employment of Sateri Shanghai and be subject to the terms and conditions of the Sateri Employment Contract and the applicable corporate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Sateri Employment Contract allowed for changes to Mr. Vinall's position, assignments and reporting requirements upon mutual agreement. Such changes were not to affect the terms and conditions of his employment unless the parties agreed they would. There were also detailed provisions concerning Mr. Vinall's duty of confidentiality and prohibiting his competition and participation in activities of other entities, which I discuss later. The Declaration likewise contained provisions pertaining to those matters and provided that its terms were to prevail over the terms of the Sateri Employment Contract to the extent of any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An addendum to the Sateri Employment Contract outlined the criteria to be applied in assessing Mr. Vinall's entitlement to an annual performance bonus. His bonus was dependent on the evaluation of key performance indicators, referred to as "KPIs", across four business quadrants pertaining to the Bahia Mill and plantation. It was contemplated that, by the second month of Mr. Vinall's employment, he and Sateri Shanghai would set and agree upon the critical KPIs. I accept Mr. Vinall's evidence that when he commenced his employment his KPIs for 2009 had already been fixed without his input and he had simply inherited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Very soon into the job it became plain to Mr. Vinall that the goals embedded in the applicable KPIs were likely unattainable.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Life at the Bahia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Vinall and his wife decided that he alone would move to Brazil where, as he understood it, and the Sateri Employment Contract stipulated, he would be stationed for the initial six-month period of his employment. It was intended that Mrs. Vinall and the younger children would remain in New Brunswick for that duration and after Mr. Vinall's stint on the ground in Brazil, which coincided with the end of the school year, he and his family would relocate to Shanghai. Aiming to maximize time spent with his family, Mr. Vinall did his best to travel to his home base in New Brunswick every fourth week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Before Mr. Vinall's arrival, the Bahia Mill had undergone a significant expansion at the cost of approximately $1.2 billion to install a second production line equipped to produce a specialty acetate pulp. The operation was in an overall weak state when Mr. Vinall came aboard. The project had experienced a rough start-up and had significantly overrun its budget. The existing team was just emerging from a very demanding year and the employees were fatigued.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When he joined Sateri, Mr. Vinall's paramount work tasks were to stabilize the operations of the newly upgraded Bahia Mill and ensure that the product being manufactured matched customer expectations so that sales would flourish. In addition, but secondary to those dual priorities, he was to work on improvements of mill efficiencies and output, especially of the very high-grade specialty acetate pulp, and to ensure that the product was transported to a Sateri downstream location (essentially, an internal customer) in a timely and cost-effective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Vinall undertook no other work assignments at Sateri during that crucial six-month period. Little by little, operations at the Bahia Mill began to streamline and improve incrementally. However, progress was achieved at a much slower pace than had been envisioned.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Hoon and Mr. Goh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the acting CEO of Sateri International Co., Mr. Hoon managed the Sateri budgeting process and delegated work assignments to a large number of subordinate management personnel, including Mr. Vinall. He was stationed in Singapore and was not directly active in the ground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Lin Piao Goh was a member of upper management of the RGE Group. Mr. Goh explained that senior executives within the RGE Group were occasionally temporarily assigned to select projects for different companies within Mr. Tanoto's larger corporate enterprise, including APRIL and the Sateri network. In the fall of 2009, being several months into Mr. Vinall's employment, Mr. Goh was seconded to Sateri International Co. as the "acting group executive director". He reported to Mr. Hoon.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primary reason for Mr. Goh's secondment to Sateri International Co., and his chief mandate while there, was to prepare it for listing on the stock exchange. Attaining that key goal required that Mr. Goh hire staff and evaluate and optimize performance throughout the enterprise as a whole, including the procurement of materials and services along the supply chain of the Sateri businesses, such as the Bahia Mill. He completed his secondment and returned to the RGE Group at the end of December 2010 after Sateri International Co. became a publicly traded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Hoon did not testify at trial. Mr. Goh was the most senior employee of the Sateri organization to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Goh testified that the line of command was organized so that subordinate management and/or business heads reported to Mr. Hoon or to him, depending upon the particular area in which the employee worked. With respect to Mr. Vinall, for example, he mainly reported directly to Mr. Hoon but was also required to report to Mr. Goh in relation to the functions for which Mr. Goh was chiefly responsible.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Tragedy Strikes the Vinall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May 2009, Mr. Vinall and his wife were in the process of finalizing the sale of their home in New Brunswick in preparation of the family relocating to the Sateri head office. The telephone rang in the middle of the night with the news that Mr. Vinall's stepson, M., was in intensive care. M. lived in Vancouver with his older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and Mrs. Vinall and their three younger children flew to Vancouver on the first available flight. They learned that M. had been involved in an altercation with two other males who were subsequently charged with manslaughter. By the time they arrived at the hospital, M. was on life support and soon died. He was 21 years old. The family was devastated.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Vinall remained in Vancouver for a few weeks to support his family and to make arrangements concerning M. His initial reaction was that it would not be possible to go forward with the family's planned move and pondered what steps he might take with respect to his future. As the weeks passed, he and his wife reassessed the situation and came to the decision that the new environment offered by the move could prove a welcome distraction for the family. Some practical considerations also favoured relocation: the Vinalls had already sold their home and vehicles in anticipation of the move and Mr. Vinall needed to continue to earn an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or around this time, the head office shifted from Shanghai to Singapore. As far as Mr. Vinall was concerned, Singapore was a far more attractive destination for the family. At no time had Mr. Vinall worked out of the Shanghai head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Vinalls took the plunge and moved their household to Singapore in about July 2009. Mr. Vinall's stepdaughter remained in Vancouver.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Vinall's Secondment/Transfer to Sateri Singapore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By letter written on letterhead titled, "Sateri International Group", Mr. Vinall's transfer from Sateri Shanghai to Sateri Singapore was confirmed to be effective on August 1, 2009. It had been prepared at Mr. Vinall's request as confirmation that his remuneration, other benefits and employment terms would not be altered.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letter described Mr. Vinall's designation as the "President Specialty Cellulose" and indicated his internal level was as "director". It referred to his transfer as being "in pursuance of the Management's decisions", and characterized it as a "new assignment". The letter confirmed that Mr. Vinall's transport and housing allowances, salary and the other terms and conditions of the Sateri Employment Contract would remain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My impression was of a consensus among the parties that this letter denoted that Mr. Vinall actually left the employ of Sateri Shanghai and had become an employee of Sateri Singapore. However, when read in conjunction with the Sateri Employment Contract and Declaration and interpreted in light of the surrounding circumstances, the letter readily admits of another view. That is, Mr. Vinall was being temporarily seconded to Sateri Singapore, an occurrence that was expressly envisaged in his Sateri Employment Contract, and that Sateri Shanghai remained his employer. Either way, nothing of significance turns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After his family took up residence in Singapore, Mr. Vinall continued to work primarily at the Bahia Mill. He did his best to keep up his pattern of returning home from Brazil approximately every fourth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Vinall recalled that he was at the Singapore office on twelve occasions, at most, throughout his entire employment. While there, he was expected to continue to direct substantially all of his effort and attention to the operations of the Bahia Mill, and he did so. Mr. Vinall convincingly testified that when Mr. Tanoto spotted him at the Singapore office, he would grill him about the Bahia Mill operations and then would instruct him to "get on a plane and go back to Brazil", declaring that he "shouldn't be" at the head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Vinall began to doubt whether his executive management position at head office was going to materialize.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Fraser Papers under Creditor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June 2009, Fraser Papers filed for creditor protection in Canada and bankruptcy in the United States. Its dire financial situation was covered in the general media and the news feeds about the forest industry that Mr. Wasilenkoff regularly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Fraser Papers' monitor in bankruptcy, PricewaterhouseCoopers Inc., openly marketed the Thurso Mill as an acquisition opportunity. In a news release, the monitor reported that Fraser Papers was prepared to either sell the Thurso Mill or its assets. It offered to make the Thurso Mill business plan available to interested third parties on the execution of a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numerous confidentiality agreements in evidence between Fraser Papers and various third parties speak to the fact that the Thurso Mill opportunity became widely known throughout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Wasilenkoff testified he had been keeping an eye on Fraser Papers' decline. He became aware it had come under creditor protection around the time that it occurred and the monitor began to solicit interest in the Thurso Mill. He considered that event to be a game-changer in terms of the acquisition opportunities it presented because it meant that the assets of Fraser Papers could be broken up and sold separately, free from crushing pension liabilities. Given the convincing evidence that Mr. Wasilenkoff was seeking to acquire forestry-related assets for Fortress Paper, I find his testimony entirely plausible.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Wasilenkoff's Discussions with Sappi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early June 2009, Mr. Wasilenkoff visited Sappi's headquarters in South Africa. He met with high-level Sappi representatives to pursue discussions that had commenced some months earlier about a potential business collaboration between Fortress Paper's Landqart Mill and Sappi to manufacture banknote paper. Other meetings with Sappi had also taken place at the Landqart Mill and the discussions were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Wasilenkoff testified that, in the course of his exchanges with Sappi executives, they talked about opportunities in the dissolving pulp business. He recalled having had a tour of Sappi's research and development facility where its breakthrough testing of dissolving pulp was on display.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Wasilenkoff, on behalf of the Landqart Mill, and Sappi entered into a confidentiality agreement dated June 3, 2009 in relation to their communications (the "Sappi Confidentiality Agreement"). With some exceptions, the Sappi Confidentiality Agreement provided that the confidentiality obligations would endure until December 31,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Wasilenkoff claimed that while visiting Sappi's headquarters in June 2009, and in the context of a more general conversation about the dissolving pulp sector, he raised the financial troubles of Fraser Papers and asked whether Sappi had ever looked at the Edmunston mill. He testified that the Sappi people answered that they had not, but disclosed that they had considered the Thurso Mill and proceeded to share their thoughts on its suitability for conversion to a dissolving pulp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veracity of Mr. Wasilenkoff's evidence on this latter point was challenged by the plaintiffs. For logical convenience, I will resolve this factual dispute later in my Reasons in the context of determining the matters that Messrs. Vinall and Wasilenkoff discussed during their telephone conversation in October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Vinall's Trips to Mills in Asia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early fall 2009 or thereabouts, Mr. Vinall was directed to review the Toba Mill in Indonesia with a view on how to debottleneck its operations. I find that Mr. Vinall spent no more than one day at the Toba Mill to complete his review and to compose a short report of his technical suggestions. So far as Mr. Vinall was aware, nothing came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At a later date, Mr. Vinall was asked to accompany a group of individuals, which included Mr. Tanoto, to APRIL's mill in Sumatra. Mr. Vinall spent a full day at that facility where he was introduced to members of the APRIL team and observed a performance review. No follow-up tasks were assigned to him as a result of that meeting. Evidently, in conjunction with this trip, Mr. Vinall travelled to the Toba Mill a second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Identifying Mill Candidates for Conversion to Dissolving Pulp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Goh explained that in contemplation of becoming a public company, Sateri International Co. was looking to expand its operations. One mode of growth was to buy a closed mill at a reasonable price and convert it to a dissolving pulp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Members of the strategic planning divisions of the RGE Group, Sateri and APRIL tended to work collaboratively. On about October 5, 2009, Mr. Tanoto instructed Wanyan Shaohua, who was the department head of strategic planning at APRIL, to provide a list of pulp mills that had closed within the preceding three years. Mr. Shaohua completed his assignment the same day and reported to Mr. Tanoto by email, copied to the president of APRIL, the CFO of APRIL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Mr. Tanoto's email reply to Mr. Shaohua the next day, he added Sammie Li Xue Mei (whom I will refer to as Ms. Li), Mr. Hoon and Mr. Goh as recipients to the string. In that email, Mr. Tanoto instructed Mr. Shaohua and Ms. Li to place the mills Mr. Shaohua had identified "in the Canada and [Country] map" and to check each mill's processing and digester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stated earlier, Ms. Li was an in-house strategic planning analyst for Sateri based in the Singapore office. She was not as senior as Mr. Vinall or Mr. Shaohua. Her function was to collect and analyze data that was publicly available or provided by industry consultants for use on discrete work assignments. Some of those industry consultants included Poyry, RISI and Hawkins Wright (also known as HW).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Li understood that Sateri was considering increasing its upstream capacity by purchasing and converting an existing dissolving pulp facility or by building a new one. Working together, she and Mr. Shaohua compiled one map showing the closed pulp mills in North America and another indicating closures throughout Europe, as had been requested. On each map, they colour--coded mills that Rick Van Lee, then the technical director of APRIL, determined had the potential for conversion and were in close proximity to seaports. The separate list naming the closed mills also highlighted the mills that Mr. Van Lee considered to be potential conversion targets. Although the Thurso Mill was shown as a mill candidate on both the list and the map, it had not been highlighted by Mr. Van Lee as having either attribute. On October 6, the list and maps were sent to the expanded email group; another version with immaterial revisions was forwarded on October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Although Mr. Vinall was not a recipient of that email chain, more or less contemporaneously, Mr. Hoon enlisted his assistance to compile information about recent mill closures in North America. Mr. Vinall happened to be in the Singapore office at the time and recalled this task as one of his few work assignments that was unrelated to the Bahia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accordance with Mr. Hoon's instructions, on October 6, 2009 Mr. Vinall sent Ms. Li an email informing her about his assignment and asking that they meet to review whatever helpful background materials she may have to contribute. Ms. Li informed Mr. Vinall that Mr. Tanoto had already made a similar request of her and that he was looking at a mill in Spain and some other pulp mills that had recently closed. It was common practice for Mr. Tanoto to assign different employees with the same tasks to see how their results would compare.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Vinall and Ms. Li met in the office and discussed the assignment in general terms. Mr. Vinall learned then that Mr. Shaohua had also been tasked with the same assignment. He mentioned to Ms. Li that, while at Birla, he had engaged in an analysis of acquisitions and knew of target mills in North 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 a matter of routine for close to a decade, Mr. Vinall had maintained a comprehensive inventory of electronic files in which he stored materials, articles and other data regarding the commodity and specialty pulp industries. He testified that he typically obtained the information from industry reports and publicly available sources, and that it was neither confidential nor proprietary. From time to time he drew on his extensive catalogue of information to create charts and perform various analyses respecting the paper pulp and dissolving pulp industries. As I will return to, Ms. Li maintained her own database containing publicly accessible information and industry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After meeting with Ms. Li, Mr. Vinall emailed her and Mr. Hoon some of the content from his data files. Included were extracts of the 2008 Poyry Report enumerating the evaluative factors Poyry had developed and applied to the surveyed mills, the comments he had added to the report when he first reviewed it, along with a summary of enhanced criteria that he had formulated at Birla. Mr. Vinall's summary named the mills that had made it to the final list in the 2008 Poyry Report, together with four additional mills that Mr. Vinall thought warranted consideration. The Thurso Mill was one of the four. The evidence indicated that, by this point in time, the assessment criteria endorsed by Poyry regarding mill conversion to the manufacture of dissolving pulp were fairly well-known in the pulp sector.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With respect to the Thurso Mill, Mr. Vinall had made a notation that its "wood supply overlaps with SSCC Pontiac", and "if can consolidate wood supply would be positive". At trial, Mr. Vinall explained that his comments addressed the fact that the Thurso Mill and the Pontiac mill were essentially in competition for the same wood supply and that, at some future point, one of them would have to close. His belief was that because the economics of the Thurso Mill were superior to Pontiac's, it would survive in the end and, therefore, had the future potential for a lower cost wood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the same email, Mr. Vinall requested an opportunity to discuss the focus of his assignment with Mr. Hoon and raised additional factors for consideration. I accept Mr. Vinall's testimony that he was never provided with a framework for how the expansion project by way of purchase and conversion was envisioned to proceed. Nor had he yet been given the list of mill closures and accompanying maps prepared by Ms. Li and Mr. Shaohua.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From the information that Ms. Li received from Mr. Vinall and Mr. Shaohua, but based predominately on her discussion with Mr. Vinall, she narrowed the North American candidates appearing on Mr. Shaohua's list to three Canadian mills and created a one-page chart comparing their respective features. The three mills were: Crofton in British Columbia and Pontiac and the Thurso Mill, both in Quebec. Ms. Li's understanding was that Mr. Vinall was leaning in favour of the two east coast mills. The chart showed three sources for the information: RISI, HW, and a 2007 report by Poyry. At trial, Ms. Li clarified that she had relied on the 2008 Poyry Report provided to her by Mr. Vinall, and that she had mistakenly referred to the year as 2007. On a separate document, Ms. Li pinpointed the location of the mills on a map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Vinall reviewed Ms. Li's chart, altered some of the information it contained and added data that he considered germane to the assessment. More particularly, he noted that the Quebec government would be financially supportive of conversion of the Thurso Mill and the Pontiac mill. He based that assertion on his knowledge that the Quebec government endorsed jobs in the forestry sector and had a history of assisting provincial mills that were not competitive. Along the way, a fourth candidate was included in the chart, namely the Harmac mill, located on the west coast of Canada. Mr. Vinall emailed his supplemented version to Ms.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On October 7, someone casually mentioned to Mr. Vinall that the Canadian mill candidates were going to be discussed at an upcoming meeting. That was quickly followed by Mr. Hoon's formal request that Mr. Vinall make a presentation at that meeting scheduled for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Meanwhile, the family turmoil created by M.'s death remained fresh. Mr. Vinall's wife was becoming increasingly depressed and his stepdaughter was struggling on her own in Vancouver. Overlaying the grief and deterioration on the home front was Mr. Vinall's emerging dissatisfaction with his job. The time spent in Brazil had far exceeded the initial six months anticipated and the distance had posed increasing difficulty for Mr. Vinall and his family after M.'s death. He had not expected the working conditions and work culture at the Sateri organization to be so unpalatable. Also fueling his disenchantment was his growing concern that his ascension to the profit and loss function in upper executive management might ever come about. He was interested in returning to Canada and found the possibility of the Sateri organization expanding via the acquisition and conversion of a Canadian mill an exciting prospect.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October 8, 2009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Goh explained that the annual budgeting/strategic planning process for the Sateri companies was divided into three phases. At the first stage, the focus was on growth and the strategic direction to be taken in the coming year(s). It was commonplace for Mr. Tanoto to take an active role in this phase.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During the next stage, detailed budget numbers were circulated and discussed. Mr. Tanoto did not ordinarily involve himself in this step. He did, however, participate directly in the third phase, where the board proposed strategic initiatives and addressed most of the corresponding budget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Phase one of the 2010 budget process took place at a meeting in Singapore on October 8, 2009 (the "October 8 Meeting"). Among those present were: Mr. Tanoto; his wife; Mr. Hoon; Mr. Goh; Ms. Li; Mr. Vinall; Mr. Sia (the CFO of the RGE Group); a person who worked for Mr. Sia; another member of the strategic planning team of APRIL or the RGE Group; a member of the RGE Group who was "focused on Sateri"; and an independent individual experienced in sales and the market in China with specialization in the downstream business. It was not made clear on the evidence whether this was an actual meeting of board members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By this time, Mr. Vinall was about nine months into the job. He had not previously attended a meeting of this kind. He understood that he was expected to explain the materials that he and Ms. Li each had a hand in compiling with respect to potential Canadian mill acquisition opportunities. At this juncture, Mr. Vinall was still in the dark about the list of mills and maps compiled by Ms. Li and Mr. Shaohua.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Minutes of the October 8 Meeting in evidence record, and Mr. Goh confirmed, that Mr. Tanoto lead the meeting by providing an overview of the Sateri organization and a forecast of its future. Concentrating his remarks on the downstream side of the enterprise, Mr. Tanoto spoke about the burgeoning rayon market in China and commented on things like how to hedge against the risks that may arise in the marketplace. Mr. Tanoto also addressed the main strategic objectives of the Sateri companies. In the context of that discussion, nine matters were identified as requiring some post-meeting follow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final item raised was "M &amp; A opportunities in America Presented by [Mr. Vinall]". The minutes record Mr. Vinall's presentation, in relevant part,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precondition to convert from BKP to [dissolving pulp] is "Batch Digester"</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West Coast opportunities recommended by [Mr. Vinall]:</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--&gt;Crofton Mill (400 kt integrated) located in Vancouver island, Soft-wood fiber, having additional capacity [...] which can increase the yield of [dissolving pulp], wood cost around C$50/m3</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--&gt;Harmac mill (400 kt) located in Vancouver island, Soft-wood fiber, old assets. Competing wood supply with Crofton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East Coast opportunities recommended by [Mr. Vinall]: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Thurso mill (250 kt) and Pontiac mill (232 kt), both Hard-wood fiber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Thurso has a batch digester, government supported. Production cost might be lower than West Coast mills but with higher logistic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Goh testified that the minutes accurately summarize Mr. Vinall's presentation. The evidence as a whole, including Mr. Vinall's testimony, satisfies me that Mr. Goh has a poor recollection of the event, and that the minutes were incomplete as they concerned Mr. Tanoto's reaction to Mr. Vinall's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Vinall recounted that he opened his topic by addressing the mill conversion opportunities on the east coast of Canada. In discussing the Thurso Mill, I accept that he started to canvass the bullet points on the chart he and Ms. Li. had prepared showing the four Canadian mill targets. He also explained the wood supply issue and reported, as a positive feature, that the owner of the Thurso Mill (Fraser Papers) was in bankruptcy, which he had discovered in carrying out his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Vinall persuasively testified that before he was able to finish his remarks about the two Quebec prospects, Mr. Tanoto interrupted him and exclaimed that he was not interested in mills in Quebec and that no one ever made money there. He then pounded the table with his hand for emphasis. Mr. Vinall recalled that after Mr. Tanoto's outburst, no one in the room said anything about the east coast mills. As far as Mr. Vinall was concerned, Mr. Tanoto's forceful message left no room for doubt that he was not willing to do business in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Vinall claimed that, in light of Mr. Tanoto's unequivocally negative position about the candidates in Quebec, he skipped forward in his remarks and discussed the two west coast mills. He recalled there being little reaction to his comments. After he fielded a couple of questions, he and Mr. Shaohua were instructed to take some straightforward action in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Vinall explained, and the minutes of the October 8 Meeting reflect, that Mr. Shaohua's task was to ascertain the identity of the bankers for the west coast mills and determine whether they were concerned about their investment for use as leverage in a possible acquisition. He was not instructed to do likewise with regard to the Quebec mills. Mr. Vinall was directed to check with Craig Barker, who was in Sateri management on the downstream side, about whether he had a preference for wood pulp from hardwood or softwood and what wood type would fit with production at the Sateri viscose mill in China. There were no further directions from Mr. Tanoto or any other attendee at the meeting regarding the mill acquisition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Goh did not remember much about the discussion that took place at the October 8 Meeting or what Mr. Vinall had said about the Thurso Mill or any details about Mr. Tanoto's comments or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Li kept her own notes of the meeting. She stated that at the end of Mr. Vinall's presentation, Mr. Tanoto said he had always thought that the West Coast was better because its superior proximity to Asia meant that delivery of the product to the downstream mills would be more cost-effective and timely. According to her, Mr. Tanoto indicated that Mr. Vinall's presentation as it pertained to the east coast mills "was not strong enough" and that he would need to do "more studies" to convince Mr. Tanoto that they were better than the west coast targets. Much of Ms. Li's testimony on this point was compatible with Mr. Vinall's evidence that at the October 8 Meeting Mr. Tanoto rejected the east coast mills out of hand. To the extent, however, that she intended to suggest that Mr. Tanoto wanted Mr. Vinall to perform further "studies" or investigations about the Quebec mills or that he was possibly receptive to east coast targets, I do not accept it. There was no suggestion in the minutes, Ms. Li's notes or any other document that Mr. Vinall, or anyone, was to take further steps along those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Li added that she had not seen Mr. Tanoto pound the table during this or any other business meeting she had attended. I find that Ms. Li had either forgotten Mr. Tanoto's gesticulation during the October 8 Meeting, or as a current employee of his corporate empire, felt too constrained to recount it to the Court. Moreover, and despite Mr. Vinall's obvious self-interest, his description about Mr. Tanoto's response to his presentation concerning the mills in Quebec was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Vinall testified to the effect that at the end of the October 8 Meeting, he was not clear about what was to happen next with respect to the potential mill conversion matter, other than Mr. Hoon would be making a presentation to the board about it at the next meeting. I do not interpret Mr. Vinall's evidence on this discrete point to imply that after the October 8 Meeting he was uncertain about whether the Thurso Mill was still under consideration as a candidate for conversion by Sateri, as plaintiffs' counsel submitted in closing argument. Mr. Vinall was consistent in his testimony that the Thurso Mill was categorically rejected out of hand as an expansion by Mr. Tanoto at the October 8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cross-examination, Mr. Vinall candidly acknowledged that it was within the realm of possibility that Sateri could change its mind about conversion of the Thurso Mill at some future point. His acknowledgement of the existence of such a possibility was intended in the general sense, namely that such an event - like any number of future happenings - could not be said to be wholly impossible. I attach no probative value to that piece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Vinall testified that at no time after the October 8 Meeting was the subject of the Thurso Mill or the possible acquisition of the Quebec candidates more generally, raised with him by Ms. Li, Mr. Hoon, Mr. Goh, Mr. Tanoto or any other person at Sateri, the RGE Group or APRIL. The exception to this is the telephone and email communications that touched on the matter in early March 2010. As I will discuss, those communications supported Mr. Vinall's testimony about Mr. Tanoto's rejection of the Thurso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preponderance of the evidence satisfies me that on the heels of the October 8 Meeting (and not before), Ms. Li forwarded to Mr. Vinall, the emails written between October 5 and October 7, 2009 that had been circulated variously among her, Mr. Tanoto, Mr. Shaohua, and others. Mr. Vinall had not previously received that email string. When he received it and saw the map, he immediately noticed that the Thurso Mill was shown as an inland plant. To his mind, that depiction was inaccurate because the Thurso Mill was located only 100 kilometres from Montreal, the largest eastern port in Canada. He promptly advised Ms. Li of the oversight by way of email the following day, which was shortly before the meeting of the board was set to convene in Shanghai on October 16, 2009. As it happened, that meeting was rescheduled to the following week (the "Second October Meeting").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Telephone Discussion between Vinall and Wasilenkoff - October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On or about October 17, 2009, Mr. Vinall sent a cryptic email to Mr. Wasilenkoff in which he stated, "It would be good to have a quick call as I see an interesting opportunity". At some point between October 20 and October 22, Messrs. Vinall and Wasilenkoff chatted over the telephone (the "October 2009 Call"). The "interesting opportunity" that Mr. Vinall referred to and the content of the October 2009 Call is intensely contentious.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plaintiffs asserted that the "interesting opportunity" was the prospect of purchasing the Thurso Mill for conversion to dissolving pulp. Mr. Vinall insisted that was not the case. He instead professed that the "interesting opportunity" was the bankruptcy of Fraser Papers, which he believed might re-ignite Mr. Wasilenkoff's interest in the Edmunston/Madawaska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Wasilenkoff gave corroborating testimony that during the October 2009 Call, Mr. Vinall reported on Fraser Papers' creditor protection status and again raised the Edmunston/Madawaska takeover. He testified that he told Mr. Vinall that he was already aware of Fraser Papers' financial decline and that it had not revived his interest in Edmunston/Madawaska because he foresaw too many problems inherent in that venture. According to Mr. Wasilenkoff, he then shared the idea that the Thurso Mill might be a worthwhile prospect in light of Fraser Papers' downturn and disclosed to Mr. Vinall the discussions he claimed to have had about the Thurso Mill with Sappi in June 2009. He said he asked Mr. Vinall, in a somewhat tongue-in-cheek manner, whether he would be interested in returning to Canada. With that, says Mr. Wasilenkoff, Mr. Vinall's excitement level increased materially; it seemed to be what Mr. Vinall had been hoping to hear.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At trial, Mr. Vinall said he was "shocked" when Mr. Wasilenkoff mentioned the Thurso Mill possibility. He maintained that it was only after Mr. Wasilenkoff brought up the Thurso Mill that he informed him that Sateri had passed on it as a possible conversion candidate because it was situated in Quebec. Mr. Wasilenkoff said he did not find Sateri's reported stance to be unusual because Quebec was widely perceived as a uniquely challenging place to do business on several fronts.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order to determine what it was that Mr. Vinall and Mr. Wasilenkoff discussed during their October 2009 Call, it is helpful to resolve two factual disputes. First, whether the wings and beer meeting took place in October 2008 and, if it did, whether Mr. Vinall supplied Mr. Wasilenkoff with a copy of the 2008 Poyry Report at that time or soon afterward. Second, whether Mr. Wasilenkoff and representatives of Sappi discussed the Thurso Mill in June 2009 or otherwise before the October 2009 Call.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When did Wasilenkoff receive a copy of the 2008 Poyry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combined evidence of Messrs. Vinall and Wasilenkoff and their communications by email in July and September 2008 satisfy me that they met in Vancouver for wings and beer in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As referenced earlier, the plaintiffs assert that Mr. Vinall first furnished a copy of the 2008 Poyry Report to Mr. Wasilenkoff after the October 2009 Call in which they say Mr. Vinall alerted Mr. Wasilenkoff to the Thurso Mill opportunity. In support of their theory of events, the plaintiffs emphasized that Mr. Vinall's evidence about what he provided to Mr. Wasilenkoff at the wings and beer meeting was internally inconsistent and incompatible with Mr. Wasilenkoff's own recollection. I agree there were some mild inconsistencies.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Vinall initially testified that he had brought along a second clean copy of the 2008 Poyry Report and handed it to Mr. Wasilenkoff at the wings and beer get-together in October 2008. Then, in cross-examination, he said he may have only brought a clean copy of the pages of that report that dealt with the dissolving pulp industry. Still later in cross-examination, Mr. Vinall allowed that he may not have brought a clean copy or clean pages with him after all, and that he and Mr. Wasilenkoff may have together reviewed his one marked-up copy. Purporting to expand on that recollection, Mr. Vinall said he believed that days or weeks after the meeting, he sent Mr. Wasilenkoff a clean copy of the 2008 Poyry Report, together with the pages containing his commentary. When it was pointed out that he had not produced an email showing the transmission of those documents (and nor had Mr. Wasilenkoff), he answered that he suspected that he or his secretary had simply photocopied the pages and mailed them to Mr. Wasilenkoff. While Mr. Vinall agreed it was possible that he had scanned and emailed the 2008 Poyry Report and pages containing his handwritten remarks to Mr. Wasilenkoff, he was "pretty sure", that they had been sent by regular 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Wasilenkoff testified that Mr. Vinall had supplied him with a separate copy of the 2008 Poyry Report at the wings and beer meeting. He confirmed that he was also given the pages with Mr. Vinall's handwritten comments, although he did not seem to pinpoint when it was that he received them (i.e. during or after the wings and beer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To fortify their position, the plaintiffs also point to an email from Mr. Wasilenkoff to Mr. Vinall dated November 3, 2009 (the "November 3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not had a chance to review the material yet. Please feel free to make the introduction to your QC guy. I can be the "front guy". We should come up with a framework or structure for our group relatively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It is the plaintiffs' contention that the "material" being referred to was the 2008 Poyry Report along with the pages showing Mr. Vinall's handwritten notes, which they say Mr. Vinall provided to Mr. Wasilenkoff for the first time shortly after the October 2009 Call. There is no dispute that the "QC guy" Mr. Wasilenkoff mentioned was Pierre Monahan. Mr. Monahan had been a CEO of a forest products company in Quebec and he would come to figure prominently in the ultimate acquisition of the Thurso Mill by the corporate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Vinall could not remember specifically what "material" Mr. Wasilenkoff was speaking of, but denied that it was the 2008 Poyry Report, maintaining that he had given it to Mr. Wasilenkoff when they met for wings and beer a year earlier. At the same time, Mr. Vinall agreed, as did Mr. Wasilenkoff, that the material being referred to probably in some way related to the Thurso Mill and I find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Periodically over the years, Messrs. Vinall and Wasilenkoff had talked about working together in a venture in the pulp and/or pulp and paper industry. In 2006, Mr. Wasilenkoff backed Mr. Vinall as the President and future CEO of Fortress Paper and, but for the intervention of third party bankers, Mr. Vinall would have likely assumed that position. Since mid-2007 or so, they had discussed the possibility of doing a shared project involving the Edmunston/Madawaska mills and had several communications about the dissolving pulp business. At the time of the wings and beer meeting, Fortress Paper was well into acquisition mode and dissolving pulp had been gaining Mr. Wasilenkoff's interest as a niche business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Wasilenkoff's actions were consistent with his emerging interest. Quite independently of Mr. Vinall, he had made his own enquiries regarding the viability for conversion of the Skeena mill and the Edmunston/Madawaska mills. He had also gathered information about Fraser Papers and, on Mr. Vinall's recommendation, communicated with the Poyry London contact to discuss potential acquisition targets. Shortly before they met for wings and beer, he had discussed Mr. Roberts' report on dissolving pulp with Mr. Vinall.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evidence leaves the strong impression that, of the two men, Mr. Vinall's desire for a business collaboration of some kind was greater than Mr. Wasilenkoff's corresponding interest, and that he kept a lookout for opportunities that might bring that association about. Mr. Vinall had previously let Mr. Wasilenkoff know that he was looking to leave Birla (which he ultimately did a few months later). At the time of their wings and beer meeting, Mr. Vinall was motivated to inform Mr. Wasilenkoff more fully about the opportunities in dissolving pulp in the hope that a job opportunity might materialize. Mr. Vinall had received the 2008 Poyry Report that contained a comprehensive analysis of dissolving pulp on a global scale and had mentioned it to Mr. Wasilenkoff during one of their email exchanges several months earlier. For many reasons favourable to Mr. Vinall's interests, the 2008 Poyry Report was an obvious document to share with Mr. Wasilenkoff at the wings and beer meeting in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weighing the evidence, including Mr. Vinall's testimonial inconsistencies, I conclude that the wings and beer get-together occurred in early October 2008. I find that most probable scenario was either that Mr. Vinall handed Mr. Wasilenkoff a full copy of the 2008 Poyry Report during that meeting and supplied him with the pages showing Mr. Vinall's handwritten notations at the same time or shortly afterward; or reviewed his copy of the 2008 Poyry Report and his handwritten comments with Mr. Wasilenkoff and not long afterwards gave him copies. The bottom line is that Mr. Vinall provided Mr. Wasilenkoff with a copy of the 2008 Poyry Report along with the pages showing his notations in about October 2008, approximately one year before the October 2009 Call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preponderance of the evidence further indicates that Mr. Wasilenkoff came away from the wings and beer meeting in 2008 with a greater knowledge of the dissolving pulp industry and an elevated interest in it as a niche opportunity for Fortress Paper.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Did Sappi and Wasilenkoff discuss the Thurso Mill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conversion of a conventional mill to a dissolving pulp plant as a future business endeavor for Fortress Paper had been percolating in Mr. Wasilenkoff's mind for some time before he met with the representatives of Sappi in June 2009. By then, he had reviewed the 2008 Poyry Report, engaged in several dialogues with Mr. Vinall about the dissolving pulp industry, received information on dissolving pulp from business advisors and analysts, made his own inquiries about the dissolving pulp business and specific mills, and had seen Birla's press release outlining its expansion plans for dissolving pulp operations. He was also aware that Fraser Papers had been teetering on the brink of significant financial failure for some time, and that it was about to enter, or had recently come under, creditor protection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This backdrop combined with the important fact that Sappi was the largest dissolving pulp manufacturer in the world, favours a high probability that dissolving pulp was among the topics canvassed by Mr. Wasilenkoff and the representatives of Sappi during their discussions in June 2009. I find this to be so even though the centrepiece of their business relationship was the banknotes venture. That said, Mr. Wasilenkoff's assertion that they talked about the Thurso Mill specifically, gives me significant pause.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At his first examination for discovery on May 31, 2013, Mr. Wasilenkoff was questioned about the conversations he had with the Sappi people in around June 2009. Mr. Wasilenkoff answered that by then he was looking at the Thurso Mill and, although it was not a top priority, he would not have revealed his interest to a direct competitor like Sappi. He characterized his communications with Sappi in June 2009 as "not relevant" to the case at bar and said "it was a different type of discussion". Mr. Wasilenkoff elaborated that he was not at liberty to say whether he had partaken in discussions with Sappi respecting the conversion of an existing conventional mill to a dissolving pulp facility due to the constraints of the Sappi Confidentiality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When confronted with the discrepancies between his evidence on this point at trial compared to his first examination for discovery, Mr. Wasilenkoff attempted to explain them away by saying that at his discovery he had been constrained by the Sappi Confidentiality Agreement, which was no longer in effect at the time of the trial. However, the Sappi Confidentiality Agreement clearly does not purport to classify discussions on the subject of dissolving pulp as confidential and to prohibit their disclosure. Challenged on that point, Mr. Wasilenkoff claimed to have not reminded himself of the ambit of the Sappi Confidentiality Agreement in advance of his discovery and to have simply presumed that it forbade disclosure of conversations that he said were embarked upon concerning dissolving pulp. He stated that when he subsequently reviewed the Sappi Confidentiality Agreement a couple of weeks before trial, he realized that it did not restrain communications about dissolving pulp. I do not find that plausible. It is in Mr. Wasilenkoff's nature to be accurately attuned to the details of his possible business pursuits and I find he would have readily recalled the parameters of any agreed suppression of his freedom to discuss business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On August 6 and 7, 2009, Fortress Paper held a board meeting at the Landqart Mill. The Fortress defendants advised by way of answers to requests made of Mr. Wasilenkoff at his examination for discovery, that the minutes of this board meeting did not contain any relevant information and, therefore, would not be produced in the action. Counsel later had a change of mind and disclosed the minutes partway through Mr. Wasilenkoff's evidence in-chief. They record that at the meeting Mr. Wasilenkoff reported on various growth strategies for Fortress Paper, including Sappi. There is nothing in the minutes with respect to the Thurso Mill, dissolving pulp or any discussions with Sappi beyond reference to the potential combined endeavour concerning banknotes. If Mr. Wasilenkoff had discussed the Thurso Mill opportunity with Sappi in June 2009, it is difficult to understand his steadfast position that the board minutes were irrelevant given that they reflect that he provided an update on Sappi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During his evidence in-chief, Mr. Wasilenkoff, for the first time, professed to have relayed Sappi's analysis of the Thurso Mill to Mr. Vinall during the October 2009 Call. No time while testifying about that conversation during his examinations for discovery, did he suggest he had done so. It remains to add that, while on the one hand Mr. Wasilenkoff cited the Sappi Confidentiality Agreement as the reason he had not given more fulsome answers at his May 31, 2013 discovery concerning the content of his discussions with Sappi, on his own evidence he had no compunction sharing that information to Mr. Vinall during the October 2009 Call. Also informative is that in Mr. Vinall's detailed account of the October 2009 Call, he said nothing about Mr. Wasilenkoff relaying any prior discussion he may have had with Sappi respecting the Thurso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All things considered, I do not accept Mr. Wasilenkoff's evidence that he discussed the Thurso Mill with Sappi prior to the October 2009 Call. It follows that he was also untruthful when he testified that he had disclosed Sappi's observations about the suitability of the Thurso Mill conversion with Mr. Vinall during their discussion. None of that happened.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 of the Content of the October 2009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return now to the discussion between Messrs. Vinall and Wasilenkoff during the October 2009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reviewing the potential mill targets for Sateri, Mr. Vinall had been somewhat bullish on the two candidates in Quebec, one of which was the Thurso Mill. His assessment of the Thurso Mill as a favourable acquisition was partly informed by the fact that Fraser Papers was under creditor protection. It is unlikely that Mr. Vinall would have used Fraser Papers' creditor protection status, an event that by then was more than four months old, as a springboard to communicate with Mr. Wasilenkoff and segue into yet another discussion about the Edmunston/Madawaska prospect. Mr. Vinall was sufficiently acquainted with Mr. Wasilenkoff's business acumen to know that he would have been aware of Fraser Papers' status around the time it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Vinall also knew that Mr. Wasilenkoff had been cultivating an interest in the dissolving pulp business. Indeed, Mr. Vinall had been actively promoting it for some time. The potential involvement of Fortress Paper in a dissolving pulp conversion underlay many of their communications in 2007 and 2008. They had several times exchanged thoughts on the topic when they spoke about the Skeena mill and the prospect of an Edmunston/Madawaska venture, shared written information about dissolving pulp and talked about that industry at length when they reviewed the 2008 Poyry Report together in the fall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am satisfied that Mr. Vinall genuinely and correctly believed that Mr. Tanoto and, hence Sateri, had vetoed the very idea of pursuing a mill in Quebec. He had a personal interest in finding a bridge back to Canada due to his mounting family crisis and growing discontentment with his current job, and foresaw that the conversion of the Thurso Mill might pave his return. In his own self-interest, Mr. Vinall reached out to Mr. Wasilenkoff to that end. That is not to say that further discussion about a possible venture involving Edmunston was necessarily off the table. However, the Thurso Mill prospect was at the forefront and was indeed the interesting opportunity that Mr. Vinall wished to raise with Mr. Wasilenkoff and the reason he arranged the October 2009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Wasilenkoff was well aware of the Thurso Mill as a dissolving pulp target and had not discounted it as a potential acquisition for Fortress Paper. I find that all of Fraser Papers' forestry assets, including the Thurso Mill, became of greater interest to Mr. Wasilenkoff when Fraser Papers entered into creditor protection proceedings in June 2009. However, I do not accept Mr. Wasilenkoff's testimony that he was actively working on the pursuit of the Thurso Mill at the time of the October 2009 Call. What I do find is that he was interested in the Thurso Mill and, on this occasion, Mr. Vinall's timing was right. The fact that Mr. Vinall indicated a potential willingness to make himself available to lead the technical side of the conversion was appealing to Mr. Wasilenkoff, elevating his degree of interest and focusing his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find that during the October 2009 Call, Mr. Wasilenkoff indicated his interest in giving the Thurso Mill a closer and serious look, while at the same time cautioning Mr. Vinall that these were very preliminary days and many unsettled pieces would have to come together in order to formulate a preliminary plan sufficient to secure Fortress Paper's involvement. That was understood by Mr. Vinall. Mr. Wasilenkoff went on to float the idea that if Fortress Paper were to decline the venture, it may be attractive enough for him to consider pursuing through another corporate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Reflecting that he had given some thought to the pulp mill business climate in Quebec, Mr. Wasilenkoff suggested that it may be preferable to approach the Quebec government with a proposal before involving Fraser Papers' monitor. Mr. Vinall told Mr. Wasilenkoff about a senior executive he knew who was well-connected with the Quebec government and experienced in the forest industry. He offered to contact him in confidence. Mr. Wasilenkoff was keen to have the involvement of someone who understood the "lay of the land" and who could help make inroads to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Vinall did not tell Mr. Wasilenkoff that the executive he referred to was Pierre Monahan. I find that he chose not to divulge Mr. Monahan's name at that time because he was playing his cards close to his vest in the hope that Mr. Wasilenkoff would perceive his continued involvement to be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this time frame, Mr. Vinall had also been eliciting input from others about a potential Thurso Mill deal. Before the October 2009 Call, he sent an email to his close friend in which he said, "good talking and scheming will let you know how my calls pan out...". After the October 2009 Call, Mr. Vinall updated his friend that, "[Mr. Wasilenkoff] is in -- so we are on first base... Spoke briefly with [Mr. Monahan] and he is interested as well but we didn't get to any specifics yet".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Vinall gave unconvincing testimony that when he emailed his friend he and Mr. Wasilenkoff were still contemplating the possibility of a venture involving the Edmunston/Madawaska mills. The content and timing of Mr. Vinall's emails to his friend, and particularly his reference in one of them to Mr. Monahan, further bolstered the inference that the Thurso Mill was the "interesting opportunity" that Mr. Vinall explored with Mr. Wasilenkoff during the October 2009 Call.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Second October 2009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Messrs. Tanoto, Hoon and Goh were among those present at the Second October Meeting. Mr. Vinall had not been asked to attend and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One of the documents placed before those in attendance was a one page summary titled "Strategic Focus + Main Objectives for 2010" which was divided into eight subtopics, one of which was headed "Growth". Three options for growth of the upstream arm of the business were identified as: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Debottleneck the Bahia Mill;</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Debottleneck the Toba Mill in Indonesia;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Acquire paper pulp mill in North America or Europe for conversion to producing rayon-grade pulp.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Goh confirmed that those options were the critical strategic points that the board was trying to reach consensus on for the coming year. Curiously, he was unable to provide any useful evidence about the discussions that ensued on those topics.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During the Second October Meeting, Mr. Hoon presented slides that showed the potential mill candidates. Although Ms. Li claimed to have rectified the map to reflect Mr. Vinall's clarification about the proximity of the Thurso Mill to a seaport, it was unclear when she did so. More to the point, the preponderance of the evidence established that the materials reviewed at the Second October Meeting contained Mr. Van Lee's uncorrected version of the map that did not identify the Thurso Mill as being close to a port or as a mill that could be converted to produce dissolving pulp. Here, I would add, that except for Mr. Vinall's correction concerning the location of the Thurso Mill, there was no evidence that Mr. Van Lee's technical assessment of the suitability of the identified mills (and the unsuitability of the Thurso Mill) was ever changed or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Goh professed a vague recollection that there had been some discussion surrounding the handouts prepared by Ms. Li and Mr. Shaohua about the potential mill targets at the Second October Meeting. He could not recall any of the specifics and provided no evidence as to whether the Thurso Mill was raised for discussion and, if it was, what was said. Remarkably, given that Mr. Goh was the most senior ranking executive in the Sateri organization to testify, he had no recollection as to whether any decision about purchasing a mill was reached at that meeting or at any time thereafter. The plaintiffs called no other attendee of the Second October Meeting as a witness and did not tender the minutes of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Vinall was curious about the outcome of the Second October Meeting as it concerned the mill acquisitions and asked Mr. Hoon about it. He testified that Mr. Hoon replied with words to the effect, "Let's just keep looking". In my view, Mr. Hoon's response was equivocal. On the one hand, it is capable of being interpreted as discrediting Mr. Vinall's assertion that Mr. Tanoto, and thus Sateri, had already dismissed the Thurso Mill as a contender at the October 8 Meeting. On the other, it may be construed as confirming that the plaintiffs' plan to expand by converting an existing mill to a dissolving pulp plant continued to be a live strategy, and, because a suitable target had not yet been found, scouting for a candidate would continue. This interpretation is consistent with Mr. Vinall's testimony that Mr. Tanoto vetoed only the Quebec prospects at the October 8 Meeting. After all, Mr. Tanoto had not abandoned the entire strategic model; he had only rejected mills, like Thurso, located in Quebec. I prefer the latter interpretation of Mr. Hoon's remarks.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Second October Meeting was held just days before the performance review of the Bahia Mill got underway in Brazil, as discussed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Performance Reviews at the Bahia Mill - October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Tanoto was not a mere figurehead of his business empire. It is common ground that no strategic decision of any consequence concerning the Sateri organization, the RGE Group, APRIL or Toba was made without his knowledge and approval. Mr. Goh testified to the effect that, unlike strategic matters, Mr. Tanoto typically did not involve himself in the operational side of the Sateri businesses. I do not accept his evidence as it concerns the granular nature of Mr. Tanoto's participation relative to the Bahia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Tanoto travelled to Brazil in the spring of 2009 and again in late October that year to hold performance review meetings. On each occasion, the meetings took place at the Bahia Mill and in rooms booked at a local hotel over a period of approximately four days. Mr. Tanoto was normally accompanied by his personal bodyguards, Mr. Hoon, an analyst and/or other assistants, an employee from the corporate finance department of Sateri International Co. Mr. Goh was part of the entourage at the October 2009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Vinall credibly recounted that Mr. Tanoto ran these review meetings in a demanding manner. The manager from each department was required to make a formal presentation summarizing the departmental achievements year-to-date and formulating steps to be taken to improve performance. Mr. Tanoto was detail-oriented and would spend a few hours with members of each department, questioning them about the operations they were in charge of and why KPIs were not being attained. Mr. Vinall, who was present throughout, claimed that in the course of those exchanges, Mr. Tanoto would frequently berate Mr. Vinall and others for perceived inadequacies. He would sometimes signal his displeasure by folding his arms across his chest and turning away from the participants and/or by pounding the table. Occasionally, he screamed at Mr. Vinall, calling him a dumb Australian.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By the end of those marathon meetings, Mr. Tanoto would have unilaterally stretched the performance goals and altered certain of the KPIs in a way that Mr. Vinall considered to be even more unrealistic.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Vinall convincingly testified that, in addition to his observations regarding Mr. Tanoto's punishing review style at the Bahia Mill, he witnessed him ridicule and degrade other employees of his larger business enterprise, including the president of APRIL.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Vinall understood Mr. Tanoto to be a rags-to-riches figure who had become one of the wealthiest industrialists in Indonesia, and who was a very powerful man. He claimed that Mr. Tanoto had a reputation for being a bully who insisted on unflinching personal loyalty from all who worked for him. I am not making a finding as to the truth of whether Mr. Tanoto possessed these attributes or of his character in general. I do conclude, however, that Mr. Vinall truthfully testified about his genuinely-held beliefs about Mr. Tanoto. I am also satisfied that despite his awareness of Mr. Tanoto's unfavorable reputation, Mr. Vinall was not prepared for and was unaccustomed to his grueling management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As I will discuss in a later section, Mr. Vinall's negative perception of Mr. Tanoto very much influenced the secretive manner in which he comported himself while assisting Mr. Wasilenkoff with Fortress Paper's pursuit of the acquisition of the Thurso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Minutes of the April/May performance review of the Bahia Mill were not tendered; however, those kept of the October review were in evidence. They are the plaintiffs' documents. The October minutes comprise 19 typewritten pages and record Mr. Tanoto's detailed interest and involvement in a wide array of operational matters of the Bahia Mill. The minutes state that he obtained information about, and gave instructions and directions pertaining to, sales, marketing, wood supply, research and development, improvements to the specialty pulp grade being produced at the Bahia Mill and other technical subjects. Mr. Vinall credibly testified that at no time over the course of those days and meetings in October did Mr. Tanoto or any other participant raise the topic of the Thurso Mill, and it was not mentioned in the detailed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At the material time, Mr. Tanoto was keeping a close eye on and control over the operations of the billion dollar Bahia Mill. I am satisfied that he also travelled to other mills, such as the Toba Mill, to participate in managerial performance reviews that entailed a similar degree of operational and strategic detail.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Carrying out the Actions Assigned at the October 8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accordance with the instructions he received at the October 8 Meeting, Mr. Vinall contacted Mr. Barker, who did not express a strong preference for either softwood or hardwood. Mr. Vinall remembered reporting on their discussion to the larger group, and I find that he did so in a timely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Pursuant to the follow-up action assigned to Mr. Shaohua at the same meeting, on October 21, 2009 he emailed an overview of the ownership of the Crofton and Harmac mills to several recipients, including Mr. Tanoto, Ms. Li, Mr. Hoon and Mr. Goh. Ms. Li, in turn, forwarded his email to Mr. Vinall.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next day, Mr. Vinall emailed Mr. Shaohua, copied to Ms. Li, asking that he run a "Cornerstone model" and provide him with projected costs and flow sheets for five mills including, Thurso and Edmunston/Madawaska. Ms. Li credibly explained that the Cornerstone model is a method of detailed financial analysis that was developed by RISI. In her view, the information that such an analysis would yield was "totally different" from the scope of the follow-up tasks that Mr. Vinall had been assigned at the October 8 Meeting. I am persuaded of that. I find that the information Mr. Vinall asked Mr. Shaohua to collect was unrelated to the actions Mr. Vinall was tasked with at the conclusion of the October 8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Although the Cornerstone data Mr. Vinall sought may have had an ancillary usefulness for him in his position at Sateri, his primary motivation at that stage was to have it made available for his use in the pursuit of the Thurso Mill possibility.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Fraser Papers' News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On November 2, 2009, Fraser Papers' monitor circulated a news release announcing that enough funding had been obtained from the Quebec government to maintain the Thurso Mill until February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Mr. Wasilenkoff read this release around the time that it was issued. The February 1, 2010 deadline signalled to him that the Thurso Mill had been given a very short financial lifeline. In this regard, Mr. Wasilenkoff explained that once the cost of keeping the lights on at the Thurso Mill was no longer covered, the final leg of the mill shutdown would occur, and at that point it would be too costly to turn things around. If he was going to go forward with a proposal to acquire the Thurso Mill, he would have to act quickly. He needed to meet with the members of his board.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Fortress Paper Board Meeting - November 5 and 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directors of Fortress Paper convened a meeting on November 5 and 6, 2009. Mr. Vinall and Mr. Wasilenkoff traded emails in the hope of arranging a telephone call in advance of the meeting, but were unable to connect.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minutes of the November meeting record that Mr. Wasilenkoff gave updates about several possible growth strategies. One of them was in reference to Sappi although, once again, there were no particulars of that update noted in the minutes. He also introduced "a new potential dissolving pulp project in Quebec", which was the prospective purchase and conversion of the Thurso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Mr. Wasilenkoff walked the board through aspects of the Thurso Mill opportunity and relevant surrounding information, such as the background he had compiled on Fraser Papers and highlights of the 2008 Poyry Report. At his discovery, Mr. Wasilenkoff did not recollect whether he told the board about Mr. Vinall's involvement specifically. At trial, he recalled that he had informed the board about Mr. Vinall's breadth of knowledge in the dissolving pulp field and his desire to be the operational leader of the project. It is not an unusual occurrence for a witness to have an improved recall on matters of marginal significance after being steeped in trial preparation. That was Mr. Wasilenkoff's explanation for his discrepancy in recalling this small point,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Wasilenkoff was interested in obtaining guidance and input about the Thurso Mill idea from his fellow directors, who were experienced in a range of businesses. One of the directors in particular, Per Gundersby, was an engineer and the former chair and CEO of Poyry Worldwide. He was knowledgeable in the pulp and paper sectors and, coincidentally, had been involved in some capacity in the dissolving pulp conversion at the Bahia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While the board favoured Mr. Wasilenkoff continuing to pursue the opportunity, the transaction was considered to be too premature in its development for Fortress Paper to make a firm commitment.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Inquiries about the Kemijarvi Mill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October 2009, Mr. Van Lee obtained information about the sale of used pumps, digesters and other assets by the inactive Kemijarvi mill in Finland. Like the Thurso Mill, Kemijarvi was a batch digester plant. On October 30, 2009, Mr. Van Lee emailed his findings to Mr. Tanoto and copied Mr. Vinall and Marcelo Leite. Mr. Leite led the technical team at the Bahia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find Mr. Van Lee included Messrs. Vinall and Leite in his email report to Mr. Tanoto to inform them of the availability of the Kemijarvi equipment so they could determine whether any of it might be useful at the Bahia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Soon after he received Mr. Van Lee's email, Mr. Vinall passed it along to Mr. Wasilenkoff. The probabilities of the evidence suggest that the contents of Mr. Van Lee's October 30 email to Mr. Vinall, forwarded to Mr. Wasilenkoff, may have been the "material" referred to by Mr. Wasilenkoff in the November 3 Email. Most likely when they spoke on November 5, Messrs. Vinall and Wasilenkoff discussed the used mill equipment that might be desirable to purchase for the Thurso Mill and the kinds of questions that should be asked of the Kemijarvi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mid-November, Mr. Vinall separately initiated communication with Mr. Leite. He advised that Sateri was "confidentially" looking at the possibility of acquiring and converting a conventional mill to a dissolving pulp facility and asked him questions about the compatibility for conversion of some of the Kemijarvi equipment. As a second possibility, Mr. Vinall raised the notion that the Kemijarvi digesters might be suitable for the Bahia Mill and the rest of its equipment could be used at the Toba Mill. Between November 18 and 19, Mr. Vinall and Mr. Leite exchanged additional emails on the topic. Mr. Leite raised an issue concerning wood density to which Mr. Vinall replied that a possible wood supply would be eastern hardwood like maple. That was the wood type used at the Thurso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Almost to the day, Mr. Wasilenkoff also made inquiries of the Kemijarvi project manager about the Kemijarvi equipment. According to Mr. Wasilenkoff, Mr. Gundersby had drawn his attention to the equipment sell-off and had provided him with the contact information. By email dated November 18, 2009, Mr. Wasilenkoff offered to purchase a list of super batch equipment from Kemijarvi.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Wasilenkoff maintained that Messrs. Gundersby and Monahan had assisted him in creating a list of the desirable Kemijarvi equipment that could be compatible with the conversion of the Thurso Mill, which formed the foundation of his offer. While I accept that is accurate, it does not tell the full 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A feature of Mr. Wasilenkoff's demonstrated business success was his ability to surround himself with people knowledgeable in areas that he knew little about, and to delegate tasks to them within their field of expertise. Mr. Vinall's expertise was on the technical side of converting a conventional mill to a dissolving pulp mill and operating such a facility. He was the person best positioned in Mr. Wasilenkoff's circle to know what equipment at Kemijarvi might be suitable for the Thurso Mill. I find that Mr. Vinall was instrumental in arming Mr. Wasilenkoff with the information he required to present Kemijarvi with an offer to purchase on November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have not overlooked that in Mr. Wasilenkoff's November 18 offer to purchase, he explicitly contemplated that he may have to discuss the purchase of other equipment with his "technical experts". I do not construe his statement as indicating that he had not already discussed the sell-off with Mr. Vinall. I find it supports the opposite conclusion and affirms that Mr. Wasilenkoff was aware that he may need to have further discussions with Mr. Vinall (and, possibly, Messrs. Gundersby and/or Monahan) once Mr. Leite had answered the follow-up questions or it came to light that there was other equipment not reflected in the offer they may wish to obtain.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According to Mr. Vinall, the inquiries he made of Mr. Leite about the utility of the used Kemijarvi assets were for Sateri's business purposes. He denied that he was attempting to obtain information from Mr. Leite to further his interests to bring about a venture with Mr. Wasilenkoff in relation to the Thurso Mill. Mr. Vinall's denial is not believable when weighed against the evidence of the surrounding events. Mr. Wasilenkoff's communications with the Kemijarvi contact within this same window of time, which Mr. Wasilenkoff agreed were "more than a coincidence", further impugned Mr. Vinall's testimony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find that Mr. Vinall's communications with Mr. Leite about the Kemijarvi equipment were legitimately in Sateri's interests to a narrow extent only and subordinate to his paramount aim. In the big picture, Mr. Vinall was using Sateri's resources to assist Fortress in its pursuit of the Thurso Mill and in furtherance of his personal desire to return to work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Continuing throughout the ensuing months and into 2010, Mr. Wasilenkoff periodically followed up on his offer with his contact at the Kemijarvi mill.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Events in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his November 3 Email, Mr. Wasilenkoff had suggested that he and Mr. Vinall come up with a framework or structure for "our group" relatively soon. In his reply on November 5, Mr. Vinall proposed corporate structures that might be used to facilitate the acquisition of the Thurso Mill. Each option allowed for Mr. Vinall to take an equity position in the new enterprise. To Mr. Wasilenkoff, none of the scenarios envisioned by Mr. Vinall were realistic from a commercial perspective. In any event, as far as he was concerned, far too many variables were in flux at that time to warrant delving into much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By this stage, Mr. Vinall had set up the new email address of "Mr. Bio", which had no personal identifiers. He used this anonymized address in his communications about the Thurso Mill project and, in those email exchanges, began to refer to himself by his middle name, John.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Mr. Vinall's desire to move cautiously and to preserve his privacy in relation to the steps he was taking did not surprise Mr. Wasilenkoff. He credibly testified that in his experience, it was fairly standard for an employee in Mr. Vinall's shoes, namely seeking to leave his current employer, to correspond by way of a non-work email address. Mr. Vinall's protective email measures seemed especially prudent to Mr. Wasilenkoff given his understanding of Mr. Tanoto's dark reputation in the industry. That said, he regarded Mr. Vinall referring to himself as John as somewhat juvenile.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It was apparent to Mr. Wasilenkoff from the outset that the Quebec government would have a major say in who would be the new owner of the Thurso Mill. He also recognized the potential for the government to provide financing to support the substantial capital investments required to transform the mill and preserve assets and jobs. Put simply, financing and approval from the Quebec government was crucial to a successful acquisition.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Appreciating that reality, in or about mid-November 2009 Messrs. Wasilenkoff and Monahan started to brainstorm effective acquisition strategies. Mr. Monahan's past experience and connections with the Quebec government gave him special insight about the preferable approach to take in terms of a favourable political platform. He was also indispensable in identifying the governmental departments from whom funding could be sought, developing a position on securing the wood supply on Crown land, ensuring that the relevant parties were represented at the table in the negotiations and formulating how and when to bring Fraser Papers' monitor into the loop.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December 4, 2009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Another phase of Sateri's budget meeting was held on December 4, 2009. None of Mr. Vinall, Ms. Li or Mr. Shaohua was in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Behind the scenes, Mr. Goh and others at the executive level in the Sateri organization were concentrating their efforts on ensuring that appropriate steps were being taken to have Sateri International Co. listed on the Hong Kong Stock Exchange. Achieving that goal was of the utmost importance to the entire enterprise. To that end, a number of new directors had recently been appointed to the board of Sateri International Co. and were in attendance at this budget meeting (and possibly at the preceding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At that time, Mr. Goh's primary responsibility was to familiarize the new directors with the Sateri businesses and the organization as a whole. Once again, he was not able to recall any discussions around the Thurso Mill during that meeting or reliably say whether any decisions were made about it then or at any subsequent time. No minutes were placed into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Incorporation of Fortress Specialty and Terminology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Mr. Wasilenkoff incorporated Fortress Specialty Cellulose Inc. ("Fortress Specialty") on December 16, 2009. Initially, he was its sole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In the remainder of my Reasons, I will use "Fortress" to refer to Fortress Paper and Fortress Specialty as 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Presentation to the Quebec Government - December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A slide presentation entitled "AcCELLerate Quebec" (accentuating the word, cellulose), was a vital part of Fortress's introduction to the Quebec government of its proposed acquisition of the Thurso Mill. Chris Holland, with Fortress Paper, took the lead in composing the PowerPoint slides. At Mr. Wasilenkoff's request, Mr. Vinall also provided input to some of the slides, largely on the technical aspects. Several other individuals including Mr. Wasilenkoff, Mr. Monahan and Kurt Loewen, the chief financial officer of Fortress Paper, had a hand in composing the slides.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extent of Mr. Vinall's involvement in the preparation of the slides is contentious. In addition to the plaintiffs' assertion that he played a significant role in composing them while still in their employ, they allege that he wrongfully lifted content from their confidential materials and other internal data, and reproduced it in some of those slides. I will examine these allegations more closely when I address the applicable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December 2009 version of the AcCELLerate PowerPoint included a slide of key personnel that recited the credentials and accomplishments of Messrs. Wasilenkoff and Monahan. Another slide headed "Undisclosed Future Operational Leader" was about Mr. Vinall, although he was not identified by name. It was based on information that Mr. Vinall had furnished. One of the bullet points on that slide described him as "the President of a global multi-mill specialty pulp company". That was a significant exaggeration of his actual designation and role in the Sateri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An early iteration of the PowerPoint also contained an executive summary. It described Fortress Specialty as a new company formed "... as a partnership between [Mr. Wasilenkoff], the owner of Fortress Paper, a highly successful specialty paper company, and a seasoned industry partner with specific experience in transforming these kinds of assets". Mr. Vinall was the unnamed industry partner who was said to be expected to take the leadership role in driving the transformation and operating the Thurso Mill on the conclusion of the transaction. He was also one of the unnamed dissolving pulp technical experts referred to in the slides.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Mr. Wasilenkoff and Mr. Monahan met with between six and eight representatives of the Quebec government in mid-to-late December 2009 to introduce the proposal. As part of their presentation, they took the attendees through the AcCELLerate PowerPoint. Mr. Vinall was not present.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Appointment of Vinall as a Director of Sateri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the short space between December 26 and 29, 2009, Mr. Vinall signed documents by which he consented to act as a director of two of the plaintiffs, namely Sateri Singapore and Sateri International Co., and in respect of other companies in the Sateri group: Sateri Bacell; Sateri Copener; DP Marketing; and Sateri Cellulose.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statutory book records of Norcell and Bahia Specialty indicate that Mr. Vinall was probably appointed as a director of those companies effective November 17, 2009, although his written consents to act as such were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addition to signing the consents, between December 29 and 31, 2009, Mr. Vinall signed eight directors' resolutions in relation to four of the Sateri companies: Sateri International Co., D.P. Marketing, Sateri Cellulose and Sateri Singapore. On their face, the subject matter of most of those resolutions appeared to concern the approval of the transfer and/or exchange of certain shares, particularly as between Sateri International Co. and Sateri Cellulose, as part of an internal corporate reorganization. Aside from that, one resolution confirmed and approved Sateri Cellulose's annual return and another accepted the resignation of certain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only resolution in evidence signed by Mr. Vinall beyond this December timeline was that of Sateri Cellulose, dated March 22, 2010, by which its financial statements were presented and approved.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Events in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In December 2009 or early January 2010, Fortress Paper's proposal regarding the Thurso Mill project obtained qualified support from the Quebec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Unbeknownst to Mr. Wasilenkoff, at some point after Fortress had presented the AcCELLerate PowerPoint, Fraser Papers' monitor instructed Marco Veilleux, the former mill manager of the Thurso Mill, to contact 14 other strategic pulp companies and four biofuel companies as potential buyers of the Thurso Mill. There was no evidence that Sateri was among those approached, or that Sateri had made any overture to Fraser Papers or its monitor.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mid-January 2010, Fortress Specialty entered into a letter of intent relating to the Thurso Mill acquisition. Mr. Wasilenkoff solicited input from Mr. Vinall and others in relation to the contents of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As an essential adjunct to the negotiations, Fortress also executed a series of confidentiality and non-disclosure agreements with ministers of various governmental departments and third parties. Those third parties included the firm mandated by the Quebec government to evaluate Fortress Specialty's business plan, and the engineering company engaged to undertake an analysis of the potential conversion. Substantially all communications with the government representatives were directed to be made primarily through Mr. Wasilenkoff and secondarily through Mr. Monahan.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At the same time that Fraser Papers entered into a confidentiality agreement with Fortress, it also signed a virtually identical confidentiality agreement with another interested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With these agreements in place, Mr. Wasilenkoff was able to access previously unavailable and detailed data about the Thurso Mill, such as its cost structures, maintenance schedules, flow rates and a full internal evaluation about the conversion. The information also shed light on a co-generation plan that the Thurso Mill employees wanted. The concept was that, in addition to converting the plant to a dissolving pulp facility, a co-generation power plant would be constructed on the site to provide the Thurso Mill with electricity at a preferred rate. Mr. Veilleux was a strong proponent of the co-generation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Relatively soon into the process, the parameters of the project expanded to incorporate the co-generation feature. In response to a request by a government representative, on January 20, 2010 Mr. Wasilenkoff asked Messrs. Vinall and Veilleux to modify the plan to include the co-generation component. A quick turnaround was essential. In Mr. Wasilenkoff's words to Messrs. Vinall and Veilleux: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You need to quickly build a new model and finalize the expected costs of our new combined business plan. All conversion costs. All expected working capital requirements. Start talking about candidates to fill management gaps. Wood supply requirements. And most important what money is required as a minimum so that I know what to use in a potential new structure. Then we can re ask the government with more firm numbers that has combined dissolving and [co-generation].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any thoughts or requirements to utilize all the federal grants and credits so that we can ensure we are structured properly to qualify.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Mr. Wasilenkoff's request spawned a flurry of emails about the revised business plan variously among himself and Messrs. Vinall, Veilleux, and Monahan. The PowerPoint was modified along the way to incorporate Mr. Veilleux's input on the co-generation component. Slides and/or a separate document were prepared to reflect the newly formulated combined business model and were used in subsequent meetings primarily as an investor tool.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Jeffery MacHan was the Regional Director for Quebec's Ministére de L'Economie del'Innovation et des Exportations at the material time. He explained that it was important to the Quebec government that Fortress have in-house expertise relating to the conversion and business of dissolving pulp. Based on pronouncements made by Messrs. Wasilenkoff and Monahan, Mr. MacHan was satisfied that Fortress had the requisite technical experience, largely in the form of an expert advisor called "John". Mr. MacHan confirmed that the man he knew initially as John turned out to be Mr. Vinall. He was under the impression that "John" was involved on behalf of Fortress.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find that representations made on the part of Fortress to the effect that a person possessing Mr. Vinall's technical know-how and experience would be part of the project, was an important factor in securing a green light from the Quebec government to move forward with the next stages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While the parties worked toward putting a deal together, the government agreed to continue to fund the cost of heating the Thurso plant and extended the February 1 shutdown deadline to March 1, 2010. Fortress agreed that, if a binding agreement was achieved, it would cover the post-February maintenance costs, estimated to be in the range of $2.4 million.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Fortress Paper Board Meeting - January 25,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A special board meeting of Fortress Paper was called on January 25, 2010 exclusively to discuss the Thurso Mill opportunity. Mr. Wasilenkoff took the board through a version of the AcCELLerate PowerPoint either slide-by-slide or discussed their contents in a more general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board gave its approval to proceed with the project and authorized the dispatch of a due diligence team to Quebec. Mr. Vinall was not part of that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As mentioned, the shares in Fortress Specialty had originally been issued to Mr. Wasilenkoff personally. On Mr. Wasilenkoff's motion at the meeting, legal title to the shares was transferred to Fortress Paper.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Events in February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The Thurso Mill acquisition continued to take shape throughout February. Ongoing discussions culminated in the signing of one or more amended letters of intent. By no measure, however, was the transaction yet a </w:t>
      </w:r>
      <w:r>
        <w:rPr>
          <w:rFonts w:ascii="arial" w:eastAsia="arial" w:hAnsi="arial" w:cs="arial"/>
          <w:i/>
          <w:color w:val="000000"/>
          <w:sz w:val="20"/>
          <w:lang w:val="en-US" w:eastAsia="en-US" w:bidi="ar-SA"/>
        </w:rPr>
        <w:t>fait accompli.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evidence establishes that on operational and technical aspects of the proposed transaction, Mr. Wasilenkoff generally deferred to the experience of Messrs. Vinall and Veilleux and others. However, several weighty matters fell squarely onto Mr. Wasilenkoff's shoulders and to persons other than Mr. Vinall. Those matters included orchestrating the entire financial underpinnings of the transaction and the ultimate structure of the deal as a whole, negotiating with the Ministry of Natural Resources for access to Crown-allocated lands and taking other steps to ensure access to an adequate wood supply, negotiating with the three affected unions, overseeing completion of the substantive due diligence, and obtaining final approval by the Quebec government, Fraser Papers' monitor and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At the Fortress Paper board meeting on February 11 and 12, 2010, Mr. Wasilenkoff provided a progress update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At about this time, Mr. Vinall's involvement behind the scenes began to heighten and, according to Mr. Wasilenkoff, he was becoming increasingly important in the general scheme of things, particularly assisting the technical team at Fortress. This resulted in Mr. Vinall being included in more email communications with Messrs. Wasilenkoff, Monahan and Veilleux and being consulted to help troubleshoot technical and operational issues with greater regularity. He also exchanged a number of emails with Mr. Veilleux about a range of other matters that had bearing on the Thurso Mill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evidence shows that throughout the course of the negotiations, Mr. Vinall did not attend any of the actual meetings with government officials or any other stakeholders. However, he did participate as "John" in one or two telephone conferences to address technical features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Mr. Vinall had made it known to Mr. Wasilenkoff at the start that he was hoping for some shares in Fortress. That expectation had been reflected in the descriptions about him in all versions of the AcCELLerate PowerPoints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From Mr. Wasilenkoff's standpoint, once Fortress Paper assumed ownership of the shares in Fortress Specialty the door closed to the possibility that Mr. Vinall would become a shareholder. The remuneration and equity position that Mr. Vinall was seeking were not in line with the acceptable commercial terms that Fortress Paper had to adhere to as a public company. Although Mr. Wasilenkoff wanted Mr. Vinall to take on a formal role in the project, he was not able to give his blessing to the compensation package that Mr. Vinall had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Responsibility for negotiating Mr. Vinall's compensation was handed off to Harjit Sangra, counsel for Fortress. Mr. Sangra responded very negatively to Mr. Vinall's notion that he be allotted an equity interest, informing him by email of February 12, 2010 that it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far off base on the economics as not to be of much help. Fortress needs to ensure a market deal for a North American public company in the forest products space. This [is] nowhere near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Mr. Vinall responded with a lengthy email lauding the value he professed to bring to the project, which he asserted distinguished him from an ordinary employee. In a particularly self-praising portrayal conveyed by email dated February 15, 2010, he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concept I took to the Quebec government was that [Mr. Wasilenkoff] and I were full partners in creating this opportunity. The notion of me as an employee was secondary as I had created the concept, I had done all the work preparing and have the unique industry network to attract the required people.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 bring is a unique access to this marketplace as I am responsible for the single largest "spot" operator in the business... and I have an extensive network of both salespeople and customers. With this knowledge we will build our own sales team over the next 12 months. I have people ready and have already forged a contact with China's leading viscose maker who is interested in pursuing a take-off.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Several of Mr. Vinall's other emails had a similar boastful thrust.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Mr. Vinall insisted that he deliberately overplayed his credentials and inflated the importance of his involvement in the project to persuade Mr. Sangra of the value of his expertise and thereby enhance his bargaining position on remuneration. There is truth to that. But it is not the whole truth. Puffery to the side, there was some accuracy to Mr. Vinall's conceit.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Mr. Sangra continued to push back in the negotiations. At one point he somehow led Mr. Vinall to believe that Mr. Wasilenkoff had already cleared the Thurso transaction with the Quebec government without Mr. Vinall's knowledge or involvement. Mr. Vinall blasted Mr. Wasilenkoff in an email of February 24, 2010 accusing him of stealing "our deal" and saying he felt "totally screwed". Mr. Wasilenkoff told Mr. Vinall that there had been a misunderstanding and that he had done nothing to exclude him from the project. Although Mr. Vinall derived some comfort from Mr. Wasilenkoff's assurance and the belief that Mr. Sangra was bluffing as a negotiation tactic, he felt disadvantaged in continuing to negotiate directly with Mr. Sangra and retained his own counsel to do so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Within this time period, Mr. Veilleux sent Mr. Wasilenkoff a draft organizational chart. An earlier chart had left the CEO position blank. On this rendition, Mr. Wasilenkoff was shown as holding that office. I accept Mr. Wasilenkoff's evidence that his name was inserted because the employment negotiations with Mr. Vinall had not been going well. As much as Mr. Wasilenkoff strongly preferred that Mr. Vinall remain involved, it was not looking certain that would come about. Once Mr. Vinall had his own counsel, his expectations about compensation shifted to better align with Mr. Wasilenkoff's perception of commercial reality. The negotiations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Events in March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At a special meeting of the directors of Fortress Paper convened on March 5, 2010, Mr. Wasilenkoff reviewed the key terms of the draft purchase agreement of the Thurso Mill. Time was of the essence because it was anticipated that the transaction would close in mid-March. Although the board approved the terms of the draft purchase agreement in all material respects, some loose ends persisted even at this late date. One of them was an unexpected request that Fraser Specialty assume a landfill site with possible environmental implications as part of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As the agreement had been approved in principle, Mr. Wasilenkoff was eager to get the word out to investors. He instructed Mr. Holland to be ready to post news of the acquisition on Fortress Paper's website and to prepare slides for that purpose by amending the existing AcCELLerate presentation. He also asked Mr. Vinall to cast his eyes over the slides and confirm certain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Mr. Wasilenkoff persuasively explained that everything Fortress Paper released into the public domain was first scrutinized by its legal team to ensure that the information was properly sourced and that the requisite approvals had been obtained. Because the original AcCELLerate PowerPoint had been prepared for the Quebec government and was not intended for the public's eyes, it had not been reviewed by Fortress's legal counsel. However, its legal counsel reviewed the version of the slides that were being modified for circulation to investors and had not expressed any concerns about the contents. Mr. Vinall, on the other hand, "freaked out" when he saw the slides and immediately fired off this warning to Mr. Wasilenkoff via an email of March 6,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just no way we can put out a presentation anything like this particular one in the public domain. I would say 40% to 50% will need to be heavily modified as there are concepts and material that is very similar to what my company has used internally. I will be dead meat immediately and this will naturally flow to Fortress quickly as my company will then have a strong case that you have taken their plan. I took a hell of a risk sharing some of this with parties under CA's. Public domain is entirely different there are ways to avoid this and get what you need - let's discuss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At trial, Mr. Vinall professed to have deliberately exaggerated the urgency of the situation and used extreme language in his email in order to "spook" Mr. Wasilenkoff into paying attention. He testified that he also was trying to leverage the situation to exert pressure to have his compensation package finalized in his favour. Mr. Vinall went on to say that, although he did not believe he had divulged any information confidential to Sateri, he recognized there may be some grey areas and was concerned about the similarities in content between some of the AcCELLerate slides and certain charts internal to Sateri. He claimed that his "dead meat" description pertained to his fear that if the PowerPoint was circulated without amendment, members of Sateri management, and ultimately Mr. Tanoto might see and recognize some of the contents and discover that he was planning to leave. He did not want his position at Sateri to be compromised before he was ready to resign on the off-chance his intended alliance with Fortress did not materialize.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 accept Mr. Vinall's explanation as far as it goes. But there was more to it than that. I find that he voiced his concern to Mr. Wasilenkoff because he was worried about his entitlement to use certain graphs, charts and other information, some of which he had lifted directly from Sateri's documents. As I will return to, what Mr. Vinall did not appreciate in the moment was that, for the most part, the body of information he was likely concerned about was not confidential to the plaintiffs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 am satisfied that Mr. Vinall had never indicated to Mr. Wasilenkoff that he may have used some of Sateri's internal and/or confidential information or work product in any of the AcCELLerate slides that he prepared or helped to compose. I find that Mr. Wasilenkoff's receipt of this email was when he first became aware of the possibility that some portion of the slides based on information supplied by Mr. Vinall, might contain Sateri's internal information. In Mr. Wasilenkoff's email response, he expressed relief that he had checked with Mr. Vinall and instructed that any offending content be changed. He was not prepared to forge ahead in light of Mr. Vinall's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Meanwhile, the criminal case against the two youths accused of killing M. was moving along, and Mr. Vinall's family situation had continued to deteriorate. His stepdaughter had uttered some "suicidal things" and his wife's well-being was progressively worsening. Mr. Vinall convincingly testified to his realization that, in light of this, he may have little choice but to resign from Sateri even without having the security of a binding employment agreement with Fortress. He decided to take matters into his own hands. On March 7, 2010, Mr. Vinall emailed Mr. Wasilenkoff directly. He complained that he could not leave Sateri without an agreement in place with Fortress, but that the negotiations had stagnated. He proposed that he would tell Sateri that he had to deal with a family crisis in Canada, which he described as "not stretching the truth far". Mr. Vinall proposed that Mrs. Vinall would join him in Vancouver and a day or two later he would tender his resignation "citing family challenges etc". 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story is much more likely to hold up if I act now and as you know I have been planting the seeds for this plan with my company for some time so it won't be a complete shock. I must avoid a confrontation with Sateri at all costs as if I am exposed then the risk for Fortress escalates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remainder of Mr. Vinall's email reiterated his proposed terms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Mr. Vinall was asked to clarify the nature of the risk facing Fortress referred to in his email. As I understand his answer, he believed that if he did not become an employee of Fortress and thus was not assisting with the Thurso Mill project, Fortress was at risk because it may not be in a position to successfully implement the dissolving pulp conversion without him. Mr. Vinall's explanation did not logically mesh with the tenor of his caution to Mr. Wasilenkoff. That was not the risk that worried him. Rather, the evidence as a whole indicated that what was troubling Mr. Vinall was his appreciation that he had likely overstepped the bounds of what he was permitted to do in terms of assisting Mr. Wasilenkoff and/or Fortress with the Thurso Mill proposal while still employed at Sateri. As mentioned earlier, he also had misgivings about his liberal use of some of the information he had taken from documents composed by Sateri for its internal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Messrs. Vinall and Wasilenkoff exchanged emails on March 9, 2010. It is clear that Mr. Vinall's remuneration had still not been settled to his satisfaction at that time. Mr. Vinall itemized the outstanding issues and, without the involvement of lawyers, he and Mr. Wasilenkoff came to an agreement in principle about his compensation package, subject to approval by Fortress's compensation committee and its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It was around this time that Mr. Wasilenkoff reminded Mr. Vinall that he needed an acceptable PowerPoint presentation for the website and investors and asked him to bear in mind that legal counsel had now approved the last version and would need to do so again if any major changes were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Tanoto's Inquiry - March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On March 8, 2010, Mr. Hoon called Mr. Vinall to relay that Mr. Tanoto wanted him to start looking at mills in Canada again. Mr. Vinall's verbal response to Mr. Hoon was accurately captured in his reporting email to Mr. Hoon sent the next day. It read,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our last discussion with [Mr. Tanoto] I believe October, I spent some time looking at West Coast Canada opportunities as you recall, [Mr. Tanoto] made it clear he has no interest in Eastern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Mr. Vinall included a summary of the mills in British Columbia that had been considered with a short analysis and possible next steps relating to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Mr. Hoon forwarded Mr. Vinall's email to Mr. Tanoto. Mr. Tanoto's response consisted of a brief instruction to Mr. Hoon to, "Pls. check with [A.J. Devanesan], who recent [sic] we hire some manager from BC to Rizhao mill". As noted, Mr. Devanesan was the president of APRIL and the Rizhao mill was APRIL's new pulp mill in China. Mr. Tanoto copied his email directly to Mr. Vinall, Mr. Devanesan and another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Mr. Vinall apprised Mr. Wasilenkoff of these exchanges by email the next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a call from my boss yesterday saying [Mr. Tanoto] wants me to start looking at Canadian mills again as viscose is looking even tighter now. I was a bit spooked as you were telling me at the same time there was a leak...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told my boss that I had looked at West Coast mills only as [Mr. Tanoto] wanted nothing to do with the Eastern mills. He agreed that [Mr. Tanoto] was clear on that and asked me for a note giving an update. I had sent the note and in the note - to test - I confirmed that [Mr. Tanoto] had no interest in the East plus gave an update on West Coast mills.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boss forwarded the note to [Mr. Tanoto]...and he replied directly - saying that I should talk to a new hire at APRIL from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exchange is powerful reinforcement that [Mr. Tanoto] has passed on Thurso and other eastern mills and if the issue ever comes up this is perfect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copied you on the email exchange in strictest confidence.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may want to pass on to Winston.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"Winston" referred to Winston Yee, one of Mr. Sangra's colleagues.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 accept Mr. Vinall's evidence that he followed up with Mr. Devanesan, who advised that the manager from B.C. referred to by Mr. Tanoto had no detailed knowledge of any of the west coast mills mentioned in Mr. Vinall's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evidence indicates that nothing further came of Mr. Tanoto's inquiries. Ms. Li and Mr. Goh were not even made aware of them and the issue was not broached with Mr. Vinall again.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Completion of the Thurso Mill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agreement between Fortress and Fraser Papers (as well as a co-vendor) in the form of an asset purchase transaction was sealed on March 18, 2010. The agreement received court approval on April 13, 2010 and the transaction closed at the end of that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final purchase price paid for Thurso Mill's assets was $3 million, net of certain amounts. The Quebec government advanced a secured loan in the amount of $102.4 million for the conversion.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Vinall's Resignation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In mid-March 2010, Mr. Vinall made a pre-arranged trip to Vancouver where he joined his wife and stepdaughter and attended a memorial for M. He remained in Vancouver with his family for close to two weeks. On March 18, while Mr. Vinall was still in Vancouver, Fortress issued a press release announcing the Thurso Mill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News of the deal travelled quickly throughout the industry. On the same day, a salesperson with a Sateri company sent an email to Mr. Hoon, Mr. Vinall, Ms. Li and others attaching information about a "new project". The attachment was not in evidence but the probabilities indicate that it pertained to the freshly inked Thurso Mill acquisition. There was no evidence that any of Messrs. Tanoto, Hoon, Goh, Shaohua or Ms. Li was taken aback by the news, discussed it among themselves or had any reaction to it one way or another. Certainly, none of them raised the topic with Mr. Vinall.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Feigning ignorance, Mr. Vinall responded to the email by professing that the news was a "bit of a surprise". He could see it was neither personally nor professionally sustainable for him to stay with the Sateri enterprise any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Mr. Vinall's employment contract with Fortress Specialty was still unsigned and in draft form as of March 26, 2010. However, he had secured a non-binding employment term sheet. Although not ideal in Mr. Vinall's estimation, particularly given that the other job offer he had received from Mr. Wasilenkoff had fallen apart at the last minute, it gave him enough confidence to sever his employment with Sateri Shanghai.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By email dated March 26, 2010, Mr. Vinall provided his formal letter of resignation to Mr. Hoon. In the letter, Mr. Vinall cited as the reason for his resignation, the hard toll taken on him and his family by M.'s murder and the need for him to relocate to Canada for the sake of his family and his marriage. He represented that the "imminent" murder trial made it essential that he focus all his efforts on supporting his family. Mr. Vinall stated that his resignation was to be effective immediately, and asked that the company treat his three weeks of owed vacation time as his abbreviated notice period. The criminal trial was hardly imminent when Mr. Vinall tendered his resignation. While a pre-trial conference was on the near horizon, the actual trial was not set to start until several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Mr. Goh made some inquiries to try to come up with an arrangement that would allow Mr. Vinall to use Canada as his work base for an extended period to allow him to support his family, while maintaining his employment with Sateri. Mr. Vinall was not receptive.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Sateri Employment Contract provided that Mr. Vinall was to give six months' notice of termination or pay in lieu. Clearly, he did not do so. There was no evidence that the plaintiffs insisted that he comply with the payment in lieu of notice stipulation. Instead, in light of the Vinalls' family circumstances, Mr. Goh and others at Sateri were trying to obtain special permission that Mr. Vinall be paid his bonus, despite the fact that the Bahia Mill had not achieved all of its targets.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Events in the Aftermath of Vinall's Resignation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evidence shows that Mr. Vinall spent approximately the last three weeks of April 2010 in Ottawa and at the Thurso Mill. In this period and into May, he continued to be in contact with various individuals in the Sateri organization, including Mr. Goh, to tidy up matters that lingered after his departure. Some of the communications concerned the logistics of Mr. Vinall returning his access cards, phone and company laptop to head office. In early May 2010, Mr. Vinall stopped through Singapore on a flight to or from Australia and left his laptop and access cards at his former apartment. He informed Mr. Goh he had done so and proposed that he arrange for their delivery by courier to head office. Mr. Goh confirmed "that would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Letters of resignation of his appointment as a director also required his signature. Not all of them were in evidence. Oddly, on two of the resignations in evidence, the name and signature that purported to be made by Mr. Vinall were not his. That hinted that someone at Sateri had the authority to sign on Mr. Vinall's behalf. However, no evidence on the matter was elicited and I have drawn no inference.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Fabricated Email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Mr. Vinall testified that although he believed he had applied an appropriate confidentiality filter with respect to Sateri's internal information, he felt a nagging discomfort that Mr. Tanoto might react irrationally to his departure. Mr. Vinall claimed it was for that reason that he composed false email correspondence to make it appear as though he had initiated contact with Mr. Wasilenkoff after he had returned to Canada in March in the hope of obtaining a position with Fortress. At Mr. Vinall's request, Mr. Wasilenkoff went along with the scheme and wrote back a phoney email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Mr. Vinall perpetuated the deceit about the nature and timing of his involvement with Fortress in an email to Mr. Goh of May 9, 2010. In it, he wrote that he had been focusing his time developing employment options in Vancouver and that Fortress had approached him after becoming aware of his "situation recently" and that he had "just taken" a suitable position with that company. In cross-examination, Mr. Vinall testified that his statement about trying to develop employment options in Vancouver was accurate and insisted that he had spoken to employment recruiters during that time. His evidence was wholly implausible when examined in light of his actions and those of others in the surrounding circumstances. Another taint to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At trial, Messrs. Vinall and Wasilenkoff both expressed regret about orchestrating such a charade and agreed it had been foolish. Their dishonest conduct and willingness to manufacture documents to protect their interests cast a negative light on their character and, as I have said, served to compromise the trustworthiness of their evidence. But it did not have the effect of discrediting their testimony across the board as the plaintiffs advocated it should.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Involvement of Tecbiz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Alarm bells sounded when Mr. Goh learned that Mr. Vinall had joined a company that Mr. Goh understood was a dissolving pulp competitor. Following his instinct, Mr. Goh notified Alex Tiong in the internal audit department of the RGE Group. Mr. Tiong, on behalf of the RGE Group, retained Tecbiz, an expert forensic computer company, to perform a forensic evaluation of Mr. Vinall's laptop. The RGE Group frequently used Tecbiz to conduct computer forensics of that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On about June 8, 2010, Tecbiz provided a computer forensic examination report and an analysis for the RGE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The defendants objected to the admissibility of the Tecbiz documents on the footing that they contained opinion evidence of which the defendants had not received proper notice, and also because the author was not being called as a witness. Plaintiffs' counsel confirmed they were not purporting to tender the documents for the truth of their contents, and clarified that their relevance was confined to explain the actions taken by Mr. Goh after he received it. The documents were admitted for that limited evidentiary purpose. For sake of clarity, they were not admitted into evidence for the truth about what Tecbiz may have located or not located from its evaluation of Mr. Vinall's laptop.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Vinall's Fortress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An employment agreement between Mr. Vinall and Fortress Specialty was signed effective June 3, 2010 (the "Fortress Employment Contract"). In overview, Mr. Vinall's compensation was comprised of:</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one-time relocation allowance of a maximum of $30,000;</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annual base salary of $350,000;</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annual discretionary cash bonus not to exceed 50% of his base salary;</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participation bonus based upon Fortress Specialty achieving certain financial targets generated from the Thurso Mill after completion of the conversion, with a cumulative cap of $12 million in the first five years and a call option in favour of the company;</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Issuance to Mr. Vinall of 75,000 restricted share units ("RSUs") in Fortress Paper, of which 12,500 vested immediately. The vesting of the balance was tied either to the occurrence of a date or of a milestone achievement;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Pension benefits and like perquisites.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Although the Fortress Employment Contract was not approved by the Fortress board until late May 2010 and not signed until the first week of June, it is clear from the totality of the evidence that Mr. Vinall's employment with Fortress Specialty began before then. That Mr. Vinall visited the Kemijarvi mill where he inspected the digesters and pumps that Mr. Wasilenkoff had previously offered to buy, and finalized the purchase of them for Fortress Specialty near the end of April 2010, is reflective of that finding. He also sought reimbursement of expenses that he incurred between March 12 and May 1, 2010 on Fortress's behalf. The majority of the expenses, which totalled close to $21,000, related to the cost of airline tickets, accommodation, meals, vehicle rentals and fuel, spent mostly on behalf of Mr. Vinall, and exceptionally for members of his family. Based on some kind of a side arrangement, Fortress Specialty reimbursed Mr. Vinall for the expenses he incurred from April 1 onward. Additionally, by early May, Mr. Vinall had established and was using a Fortress Specialty email address. Most telling is that effective May 7, 2010, Mr. Vinall was appointed as the President and CEO of Fortress Specialty.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 find that by about April 13, 2010, coinciding with the receipt of court approval of the transaction, Mr. Vinall had become an employee of Fortress Specialty for all intents and purposes. After that date, the execution of the Fortress Employment Contract was a mere formality.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Operations at the Thurso Mill after Acquisition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Fortress's intention was to convert the Thurso Mill into a commercially viable facility. The end date for completion of the dissolving pulp conversion was originally forecasted as May 2011. However, unanticipated factors delayed the production of dissolving pulp until December 2011. Exacerbating the fallout caused by the delay, was that certain building block assumptions contained in Fortress's business plan for the Thurso Mill did not materialize as anticipated. For example, Fortress had projected cash costs of $536 per air-dried metric tonne (ADMT) of pulp by September 2011; however, the actual cost in the fourth quarter of 2014 was significantly more at $808 per ADMT. Another major unforeseen obstacle was China's introduction of an interim anti-dumping duty applied to Canadian, American and Brazilian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Problems, such as the unavailability of the equipment that had initially been earmarked for the facility, also plagued the co-generation side of the Thurso Mill, significantly delaying its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 accept Mr. Wasilenkoff's testimony that the confluence of these factors "nearly bankrupted the company", and effectively compelled Fortress Paper to sell certain assets, including its Dresden Mill and the farmland and co-generation facility at the Landqart Mill, to keep the Thurso Mill afloat. Fortress Paper flowed those sale proceeds through to Fortress Specialty by way of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Until production of dissolving pulp finally started in December 2011, the revenue attributable to the Thurso Mill came from the manufacture and sale of non-bleached hardwood pulp. I find that, except in 2010 when it was producing and selling only that hardwood pulp, the Thurso Mill suffered substantial operating losses. After December 2011, the Thurso Mill operated as a swing mill, manufacturing both dissolving pulp and the hardwood pulp.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Due to the significant delays in production and cost overruns, some of the terms of Mr. Vinall's Fortress Employment Contract were renegotiated.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In December 2014, when it was apparent that Fortress would not be able to repay the loan from the Quebec government that was about to mature, it renegotiated the debt. The maturity date was extended until December 31, 2026. As at December 31, 2014, more than $106 million remained owing under that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The recent financial evidence indicated that Fortress Specialty expended approximately $294 million on its capital assets. Including the significant debt it owes to Fortress Paper as a result of its ongoing cash injections, it is carrying long-term debt of more than $415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plaintiffs did not meaningfully challenge the validity of the above figures or the dismal financial performance of the Thurso Mill on the dissolving pulp side. Indeed, as will be seen, their argument for an accounting and disgorgement of gain inherently recognizes that no actual profits attributable to the dissolving pulp arm of the Thurso Mill were realized in those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Disposition of Vinall's Restricted Share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As mentioned, Mr. Vinall received an immediate vesting of 12,500 RSUs as a signing bonus when he joined Fortress Specialty. He described them as a "complete disaster" to his personal financial picture. Mr. Vinall elaborated that for significant blocks of time Fortress Paper was engaged in various corporate activities that resulted in blackout periods that prevented the sale of his RSUs. Despite these outside constraints on his ability to sell, within a short time after each grouping of RSUs vested he was deemed to have disposed of them at a set value and was required to pay the corresponding income taxes. Mr. Vinall's predicament was significantly worsened by the fact that the market value of the RSUs started to decline and then fell precipitously. He attested that although he was able to sell some of his RSUs to pay some of his taxes, he still had to borrow to cover his tax indebtedness. According to Mr. Vinall, at the end of the day the value of the RSUs he was allocated was nowhere close to the amount of tax he paid, and that the net result to him was a whopping loss of close to $800,000.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While it would have been preferable to have documentary back-up of Mr. Vinall's testimony on this matter, his evidence was plausible and was not weakened in cross-examination. I accept that he gained no overall benefit from the receipt of is RSUs.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Mr. Vinall's employment with Fortress Specialty was terminated effective March 27, 2013. There was not much evidence about his termination or the circumstances giving rise to it, except that more or less contemporaneously, Fortress Specialty retained the services of Mr. Vinall's company as a consultant on a contract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Thurso Mill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The plaintiffs maintain they have not brought a claim for the misappropriation of the Thurso Mill opportunity in its conventional doctrinal form. Yet, the nub of their complaint is that Mr. Vinall's knowledge about the Thurso Mill as a possible conversion candidate came to him as a fiduciary and was recommended by him to Sateri in that capacity and in breach of the duties of his high office, he assisted Fortress acquire that opportunity. In so doing, the plaintiffs say that Mr. Vinall placed himself in an impermissible conflict between his personal interest and the fiduciary obligations he owed to them and must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Despite the plaintiffs' disavowal of advancing a traditional claim of appropriation of corporate opportunity, their complaint is a classic averment of the corporate opportunity doctrine. As well, a considerable amount of the evidence at trial was elicited to fit that evolving legal paradigm. Further, a recurring connective theme of the plaintiffs' submissions is the characterization of the Thurso Mill as a Sateri "opportunity" that Mr. Vinall wrongfully disclosed to Fortress and that all defendants seized upon for their mutual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corporate opportunity ethic is demanded of corporate and employee fiduciaries. It does not extend to non-fiduciary employees who, for example, may have breached their implied contractual duties of fidelity and loyalty. While there may be an overlap of the factual circumstances that trigger disputes concerning alleged breaches of duty by fiduciary and non-fiduciary employees, they are properly determined by the engagement of different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For sound reasons given the rationale and application of the doctrine, the majority of the plaintiffs' submissions impugning the defendants' involvement in relation to the Thurso Mill were constructed on the premise that Mr. Vinall owed them fiduciary obligations. In the next section of my Reasons I conclude that Mr. Vinall was not in a fiduciary relationship with any of the plaintiffs and did not owe them any fiduciary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In light of my determination that Mr. Vinall lacks fiduciary standing, it would ordinarily be unnecessary to determine whether the Thurso Mill was an opportunity taken and wrongfully exploited by him. That said, because some of the plaintiffs' accusations of wrongful conduct against the defendants vis-à-vis the Thurso Mill "opportunity" were expressed in propositions that are not dependent on Mr. Vinall's status as a fiduciary, and the relief sought implicates the doctrine, it is appropriate that the Court make a determination. Accordingly, for thoroughness, I will briefly overview the legal principles of the corporate opportunity doctrine and summarize my factual findings with respect to what can only be fairly described as the passing glance paid by the plaintiffs to the Thurso Mill.</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Overview of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xml:space="preserve">  The corporate opportunity doctrine is a simple label for a complex construct. It derives from the evolvement of the fiduciary's duty to avoid conflicts of interest and not to profit from the fiduciary office. The gravamen of the wrong and the fundamental basis of liability under the corporate opportunity rubric is that the fiduciary has permitted self-interest for profit to collide with the heightened duties owed by virtue of his or her fiduciary stature: </w:t>
      </w:r>
      <w:r>
        <w:rPr>
          <w:rFonts w:ascii="arial" w:eastAsia="arial" w:hAnsi="arial" w:cs="arial"/>
          <w:i/>
          <w:color w:val="000000"/>
          <w:sz w:val="20"/>
          <w:lang w:val="en-US" w:eastAsia="en-US" w:bidi="ar-SA"/>
        </w:rPr>
        <w:t>Canadian Aero v.</w:t>
      </w:r>
      <w:r>
        <w:rPr>
          <w:rFonts w:ascii="arial" w:eastAsia="arial" w:hAnsi="arial" w:cs="arial"/>
          <w:color w:val="000000"/>
          <w:sz w:val="20"/>
          <w:lang w:val="en-US" w:eastAsia="en-US" w:bidi="ar-SA"/>
        </w:rPr>
        <w:t xml:space="preserve"> O'Malley, </w:t>
      </w:r>
      <w:hyperlink r:id="rId992" w:history="1">
        <w:r>
          <w:rPr>
            <w:rFonts w:ascii="arial" w:eastAsia="arial" w:hAnsi="arial" w:cs="arial"/>
            <w:i/>
            <w:color w:val="0077CC"/>
            <w:sz w:val="20"/>
            <w:u w:val="single"/>
            <w:shd w:val="clear" w:color="auto" w:fill="FFFFFF"/>
            <w:lang w:val="en-US" w:eastAsia="en-US" w:bidi="ar-SA"/>
          </w:rPr>
          <w:t>[1974] SCR 592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xml:space="preserve">  The leading authority on the modern articulation is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Disapproving of the narrow scope of the test found in its earlier decision in </w:t>
      </w:r>
      <w:r>
        <w:rPr>
          <w:rFonts w:ascii="arial" w:eastAsia="arial" w:hAnsi="arial" w:cs="arial"/>
          <w:i/>
          <w:color w:val="000000"/>
          <w:sz w:val="20"/>
          <w:lang w:val="en-US" w:eastAsia="en-US" w:bidi="ar-SA"/>
        </w:rPr>
        <w:t>Peso Silver Mines Ltd. v. Cropper</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[1966] S.C.R. 673</w:t>
        </w:r>
      </w:hyperlink>
      <w:r>
        <w:rPr>
          <w:rFonts w:ascii="arial" w:eastAsia="arial" w:hAnsi="arial" w:cs="arial"/>
          <w:color w:val="000000"/>
          <w:sz w:val="20"/>
          <w:lang w:val="en-US" w:eastAsia="en-US" w:bidi="ar-SA"/>
        </w:rPr>
        <w:t xml:space="preserve">, relied upon by Mr. Vinall, the Supreme Court of Canada in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revived a strict adherence to the cornerstone duties of good faith, loyalty and trust that define the fiduciary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held that a corporate fiduciary was forbidden to usurp for personal use or divert to another with whom the fiduciary was associated, a maturing business opportunity that the company was actively pursuing. Speaking for the Court, Laskin J. cautioned that attempting to lay down a rigid test of the doctrine would be reckless and repugnant to the fluid and expansive nature of the fiduciary concept. Instead, his Lordship preferred, as a starting point, consideration of a non-exhaustive list of factors, stating at 620: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Among them are the factor of position or office held, the nature of the corporate opportunity, its ripeness, its specificness and the director's or managerial officer's relation to it, the amount of knowledge possessed, the circumstances in which it was obtained and whether it was special or, indeed, even private, the factor of time in the continuation of fiduciary duty where the alleged breach occurs after termination of the relationship with the company, and the circumstances under which the relationship was terminated, that is whether by retirement or resignation or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xml:space="preserve">  Thus, the question of whether a fiduciary has appropriated a corporate opportunity to self or diverted it to another in breach of the no conflict and no profit rules is evaluated on a case-by-case basis taking into account the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factors and others pertinent to the particular case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Pan Pacific Recycling Inc. v. So</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2006 BCSC 1337</w:t>
        </w:r>
      </w:hyperlink>
      <w:r>
        <w:rPr>
          <w:rFonts w:ascii="arial" w:eastAsia="arial" w:hAnsi="arial" w:cs="arial"/>
          <w:color w:val="000000"/>
          <w:sz w:val="20"/>
          <w:lang w:val="en-US" w:eastAsia="en-US" w:bidi="ar-SA"/>
        </w:rPr>
        <w:t xml:space="preserve"> at paras. 174-179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 xml:space="preserve">], Sigurdson J. commented that the terminology used in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of a "maturing business opportunity" that the corporation is "actively pursuing", and the phrase, "ripening business opportunity" used in subsequent cases, are probably misleading insofar as they suggest that fiduciaries are only forbidden from taking opportunities that the corporation is willing and able to pursue. The doctrine has a much wider grasp: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 xml:space="preserve"> at para. 177. At para. 176, Sigurdson J. concluded that for liability to attach, the corporation does not have to establish that </w:t>
      </w:r>
      <w:r>
        <w:rPr>
          <w:rFonts w:ascii="arial" w:eastAsia="arial" w:hAnsi="arial" w:cs="arial"/>
          <w:i/>
          <w:color w:val="000000"/>
          <w:sz w:val="20"/>
          <w:lang w:val="en-US" w:eastAsia="en-US" w:bidi="ar-SA"/>
        </w:rPr>
        <w:t>but for</w:t>
      </w:r>
      <w:r>
        <w:rPr>
          <w:rFonts w:ascii="arial" w:eastAsia="arial" w:hAnsi="arial" w:cs="arial"/>
          <w:color w:val="000000"/>
          <w:sz w:val="20"/>
          <w:lang w:val="en-US" w:eastAsia="en-US" w:bidi="ar-SA"/>
        </w:rPr>
        <w:t xml:space="preserve"> the fiduciary breach it would have pursued the opportunity and would have made the profit in question. The rigour of the principle referred to by Sigurdson J. was affirmed by the Court of Appeal in </w:t>
      </w:r>
      <w:r>
        <w:rPr>
          <w:rFonts w:ascii="arial" w:eastAsia="arial" w:hAnsi="arial" w:cs="arial"/>
          <w:i/>
          <w:color w:val="000000"/>
          <w:sz w:val="20"/>
          <w:lang w:val="en-US" w:eastAsia="en-US" w:bidi="ar-SA"/>
        </w:rPr>
        <w:t>Canadian Metals Exploration Ltd. v. Wiese</w:t>
      </w:r>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2007 BCCA 318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Canadian Metals</w:t>
      </w:r>
      <w:r>
        <w:rPr>
          <w:rFonts w:ascii="arial" w:eastAsia="arial" w:hAnsi="arial" w:cs="arial"/>
          <w:color w:val="000000"/>
          <w:sz w:val="20"/>
          <w:lang w:val="en-US" w:eastAsia="en-US" w:bidi="ar-SA"/>
        </w:rPr>
        <w:t xml:space="preserve">], which held, at para. 19, that a fiduciary may not make personal use of an opportunity even where the corporation is unable to take it up or has declined to pursue it: see also, </w:t>
      </w:r>
      <w:r>
        <w:rPr>
          <w:rFonts w:ascii="arial" w:eastAsia="arial" w:hAnsi="arial" w:cs="arial"/>
          <w:i/>
          <w:color w:val="000000"/>
          <w:sz w:val="20"/>
          <w:lang w:val="en-US" w:eastAsia="en-US" w:bidi="ar-SA"/>
        </w:rPr>
        <w:t>3464920 Canada Inc. v. Strother</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2007 SCC 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xml:space="preserve">  The business opportunity in question does not have to be confidential: </w:t>
      </w:r>
      <w:r>
        <w:rPr>
          <w:rFonts w:ascii="arial" w:eastAsia="arial" w:hAnsi="arial" w:cs="arial"/>
          <w:i/>
          <w:color w:val="000000"/>
          <w:sz w:val="20"/>
          <w:lang w:val="en-US" w:eastAsia="en-US" w:bidi="ar-SA"/>
        </w:rPr>
        <w:t>First Majestic Silver Corp. v. Davila</w:t>
      </w:r>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2013 BCSC 717</w:t>
        </w:r>
      </w:hyperlink>
      <w:r>
        <w:rPr>
          <w:rFonts w:ascii="arial" w:eastAsia="arial" w:hAnsi="arial" w:cs="arial"/>
          <w:color w:val="000000"/>
          <w:sz w:val="20"/>
          <w:lang w:val="en-US" w:eastAsia="en-US" w:bidi="ar-SA"/>
        </w:rPr>
        <w:t xml:space="preserve"> at paras. 127 to 127, aff'd </w:t>
      </w:r>
      <w:hyperlink r:id="rId998" w:history="1">
        <w:r>
          <w:rPr>
            <w:rFonts w:ascii="arial" w:eastAsia="arial" w:hAnsi="arial" w:cs="arial"/>
            <w:i/>
            <w:color w:val="0077CC"/>
            <w:sz w:val="20"/>
            <w:u w:val="single"/>
            <w:shd w:val="clear" w:color="auto" w:fill="FFFFFF"/>
            <w:lang w:val="en-US" w:eastAsia="en-US" w:bidi="ar-SA"/>
          </w:rPr>
          <w:t>2014 BCCA 214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xml:space="preserve">  The extent to which the business opportunity must have "matured" is unsettled. In a case that Mr. Vinall relies on, </w:t>
      </w:r>
      <w:r>
        <w:rPr>
          <w:rFonts w:ascii="arial" w:eastAsia="arial" w:hAnsi="arial" w:cs="arial"/>
          <w:i/>
          <w:color w:val="000000"/>
          <w:sz w:val="20"/>
          <w:lang w:val="en-US" w:eastAsia="en-US" w:bidi="ar-SA"/>
        </w:rPr>
        <w:t>Donor Gateway Inc. v. Passero</w:t>
      </w:r>
      <w:r>
        <w:rPr>
          <w:rFonts w:ascii="arial" w:eastAsia="arial" w:hAnsi="arial" w:cs="arial"/>
          <w:color w:val="000000"/>
          <w:sz w:val="20"/>
          <w:lang w:val="en-US" w:eastAsia="en-US" w:bidi="ar-SA"/>
        </w:rPr>
        <w:t xml:space="preserve">, 2007 Carswell Ont. 724 at para. 14 (Ont S.C.J.), the court held that the business opportunity had to be a "prize ready for immediate grasping". However, in </w:t>
      </w:r>
      <w:r>
        <w:rPr>
          <w:rFonts w:ascii="arial" w:eastAsia="arial" w:hAnsi="arial" w:cs="arial"/>
          <w:i/>
          <w:color w:val="000000"/>
          <w:sz w:val="20"/>
          <w:lang w:val="en-US" w:eastAsia="en-US" w:bidi="ar-SA"/>
        </w:rPr>
        <w:t>Blue Line Hockey Acquisition Co. v. Orca Bay Hockey Ltd. Partnership</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2009 BCCA 34</w:t>
        </w:r>
      </w:hyperlink>
      <w:r>
        <w:rPr>
          <w:rFonts w:ascii="arial" w:eastAsia="arial" w:hAnsi="arial" w:cs="arial"/>
          <w:color w:val="000000"/>
          <w:sz w:val="20"/>
          <w:lang w:val="en-US" w:eastAsia="en-US" w:bidi="ar-SA"/>
        </w:rPr>
        <w:t xml:space="preserve"> at para. 61, the Court of Appeal, without deciding the issue, postulated: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and when the point is ever argued, then, a Canadian court might well take the view that the appropriation of an opportunity "belonging to" a corporation by a director or former director merit equitable intervention even where the opportunity is not a "mature" one.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Mr. Vinall had been aware of the suitability of the Thurso Mill as a potential conversion mill long before he joined Sateri. In performing his work assignment at Sateri, he learned that Fraser Papers was under creditor protection, a fact that was within the public domain. Like Mr. Wasilenkoff, Mr. Vinall regarded Fraser Papers' financial descent as a significant plus in terms of the attractiveness of acquiring the Thurso Mill and was one the reasons he recommended the Thurso Mill to Sateri.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It warrants repetition that Mr. Goh was unable to offer much evidence about the discussions and decisions that occurred within the Sateri organization touching on the fate of the Thurso Mill. To the extent that he had any recollection, it was nonspecific. That was perhaps not surprising given that he was concentrating on preparing the organization for a public offering and had first learned about the assignment to identify mill candidates more or less when Mr. Vinall did. Indeed, there was very little evidence of Mr. Goh's participation in strategic decision-making regarding Sateri's expansion options. In the circumstances, I consider it unsafe to give credit to Mr. Goh's half-hearted statement that "no decision" was ever made by the plaintiffs regarding the Thurso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Ms. Li's testimony that suggested the plaintiffs had not ruled out the east coast mills at or after the October 8 Meeting was meek and unconvincing.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On the whole, the combined evidence of Mr. Goh and Ms. Li was less probative and persuasive than Mr. Vinall's forceful testimony on the matter. It was also at odds with the convincing probabilities of the evidence that go the other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By contrast, Mr. Goh's evidence to the effect that no strategic decision was ever taken in the Sateri organization without Mr. Tanoto's prior knowledge and approval was definite and compatible with other cogent evidence. It is uncontroversial that the expansion of the upstream business via the conversion of a conventional kraft pulp mill was a strategic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Mr. Van Lee considered the Thurso Mill to be unsuitable as a target before Ms. Li and Mr. Vinall even received their assignments. Unaware of Mr. Van Lee's assessment, Mr. Vinall had put forward the Thurso Mill, along with others, as a Canadian mill for consideration. The only evidence of any remarks being made about the Thurso Mill by Mr. Tanoto, the chief strategic decision-maker, were those he expressed at the October 8 Meeting. It was not clear on the evidence the October 8 Meeting was even a meeting of the actual board. Mr. Vinall was instructed to attend that meeting at the last minute, and not as a decision-maker, but as someone with stock technical knowledge of mills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During the October 8 Meeting, little more than introductory remarks had been made about the Thurso Mill before Mr. Tanoto halted the discussion by expressing his unqualified and unchallenged rejection of it. Also significant, is the absence of evidence to indicate that Mr. Tanoto underwent a change of mind on the matter after the October 8 Meeting or that the plaintiffs subsequently adopted a different stance. The very notion of the Thurso Mill as a candidate for conversion by Sateri was preliminary and superficial; it was essentially over before it began and did not even rise to the threshold of being the subject matter of a considered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The evidence about whether the plaintiffs had reached a decision concerning the Thurso Mill was not inconclusive as it was in </w:t>
      </w:r>
      <w:r>
        <w:rPr>
          <w:rFonts w:ascii="arial" w:eastAsia="arial" w:hAnsi="arial" w:cs="arial"/>
          <w:i/>
          <w:color w:val="000000"/>
          <w:sz w:val="20"/>
          <w:lang w:val="en-US" w:eastAsia="en-US" w:bidi="ar-SA"/>
        </w:rPr>
        <w:t>Canadian Metals</w:t>
      </w:r>
      <w:r>
        <w:rPr>
          <w:rFonts w:ascii="arial" w:eastAsia="arial" w:hAnsi="arial" w:cs="arial"/>
          <w:color w:val="000000"/>
          <w:sz w:val="20"/>
          <w:lang w:val="en-US" w:eastAsia="en-US" w:bidi="ar-SA"/>
        </w:rPr>
        <w:t xml:space="preserve"> referred to by the plaintiffs. Quite the opposite, the totality of the evidence strongly supports the finding that although the strategy of growth by way of converting an existing mill had not been discarded by the plaintiffs, any idea of converting a mill located in Quebec had been scrapped. I find that with Mr. Tanoto's unequivocal decree of rejection of the Thurso Mill at the outset, it was not even raised as a possible prospect before the board at the Second October Meeting, the subsequent board meeting in December 2009, or 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private assessment made by Mr. Vinall to Mr. Wasilenkoff to the effect that his communications involving Mr. Tanoto and Mr. Hoon in early March 2010 would be a powerful reinforcement of Mr. Tanoto's rejection of the Thurso Mill, has proved to be prescient. That neither Mr. Hoon nor Mr. Tanoto disagreed with Mr. Vinall's stated understanding that Mr. Tanoto had indicated disinterest in a mill located in Eastern Canada, and did not pursue the point further, stands as compelling confirmatory evidence of Mr. Vinall's testimony. I do not interpret Mr. Vinall's suggestion to Mr. Wasilenkoff to forward that email string to Fortress's counsel as evidence of his belief that the Thurso Mill may have been a misappropriated corporate opportunity that belonged to Sateri. In any event, even had Mr. Vinall owed the plaintiffs fiduciary duties, under an interpretation of the facts most generous to them, the Thurso Mill was not their corporate opportunity within the meaning of the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The plaintiffs complained about the paucity of documentation produced by the defendants concerning communications that might be expected to have been exchanged among them at crucial events along the timeline. A few of their grievances have merit; but many others were of no moment or were satisfactorily explained by evidence of the server malfunction experienced by Fortress in early 2010, Mr. Wasilenkoff's preferred use of a Blackberry device over email and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same criticism can be levied about the dearth of documentary evidence from the plaintiffs in relation to their internal consideration of the Thurso Mill both before and after they learned that it had been acquired by a third party, and that Mr. Vinall had taken up employment with a company that planned to enter the dissolving pulp business. As a further deficiency in the plaintiffs' case, the defendants cite their failure to call witnesses who could have spoken more directly to what took place at the October 8 Meeting and the Second October Meeting and afterward, as it relates to the Thurso Mill. Linked to that assertion is the defendants' submission that this Court ought to draw an adverse inference from the plaintiffs' failure to call Mr. Tanoto, who was the most obvious choice to speak definitively on whether the Thurso Mill had been ruled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Given the healthy state of the evidence on the issue presented, including my acceptance of Mr. Vinall's convincing testimony of Mr. Tanoto's authoritative veto of the specter of the Thurso Mill as a possibility, I need not consider whether such an inference ought to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As an aside, I will close this discussion by noting that at the date of trial the plaintiffs had not purchased a pulp mill for conversion.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Fiduciary Duty Claim against Vinall</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Overview of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doctrine of fiduciary duty finds its origin in the classical trust where one party, the trustee (fiduciary), holds legal title to property on behalf of another, the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xml:space="preserve">  Relationships outside the realm of trust law have been recognized as giving rise to the duties that equity imposes upon trustees. Relationships that fall within these other categories include solicitor-client and principal-agent: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at 646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The director-corporation relationship has also long been classified as a traditional fiduciary relationship: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at 597; </w:t>
      </w:r>
      <w:r>
        <w:rPr>
          <w:rFonts w:ascii="arial" w:eastAsia="arial" w:hAnsi="arial" w:cs="arial"/>
          <w:i/>
          <w:color w:val="000000"/>
          <w:sz w:val="20"/>
          <w:lang w:val="en-US" w:eastAsia="en-US" w:bidi="ar-SA"/>
        </w:rPr>
        <w:t>Owen Sound Lumber Co. (Re)</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(1917), 38 O.L.R. 414</w:t>
        </w:r>
      </w:hyperlink>
      <w:r>
        <w:rPr>
          <w:rFonts w:ascii="arial" w:eastAsia="arial" w:hAnsi="arial" w:cs="arial"/>
          <w:color w:val="000000"/>
          <w:sz w:val="20"/>
          <w:lang w:val="en-US" w:eastAsia="en-US" w:bidi="ar-SA"/>
        </w:rPr>
        <w:t xml:space="preserve"> (Ont. C.A.). These traditional or status-based relationships are sometimes referred to as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relationships: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at 631, Wilson J. concurring;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409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Galambos v. Perez</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2009 SCC 48</w:t>
        </w:r>
      </w:hyperlink>
      <w:r>
        <w:rPr>
          <w:rFonts w:ascii="arial" w:eastAsia="arial" w:hAnsi="arial" w:cs="arial"/>
          <w:color w:val="000000"/>
          <w:sz w:val="20"/>
          <w:lang w:val="en-US" w:eastAsia="en-US" w:bidi="ar-SA"/>
        </w:rPr>
        <w:t xml:space="preserve"> at para. 36 [</w:t>
      </w:r>
      <w:r>
        <w:rPr>
          <w:rFonts w:ascii="arial" w:eastAsia="arial" w:hAnsi="arial" w:cs="arial"/>
          <w:i/>
          <w:color w:val="000000"/>
          <w:sz w:val="20"/>
          <w:lang w:val="en-US" w:eastAsia="en-US" w:bidi="ar-SA"/>
        </w:rPr>
        <w:t>Galambos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xml:space="preserve">  The hallmarks of the conventional trust-beneficiary relationship, being complete trust, absolute fidelity/loyalty and confidence reposed toward another, form the pillars of all fiduciary relationships: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at 405, La Forest J., and at 461, Sopinka J. and McLachlin J. (now C.J.C.). Equity presumes that the inherent purpose or factual and/or legal incidents attributable to fiduciaries are present in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Sopinka J., writing for the majority on the fiduciary issue, explained at 597-599 that the establishment of a fiduciary relationship on the basis of the status of the involved parties is not absolute. His Lordship elaborated that when the nature and degree of the characteristics accepted as being innate to a fiduciary relationship are not present in a traditional fiduciary relationship, the presumption that such a relationship imposes fiduciary obligations may be rebutted. A related precept is that not every act performed by a fiduciary will carry a fiduciary obligation. At 597, Sopinka J. expounded on these foundational propositions: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nature of the relationship may be such that, notwithstanding that it is usually a fiduciary relationship, in exceptional circumstances it is not. See J.C. Shepherd, </w:t>
      </w:r>
      <w:r>
        <w:rPr>
          <w:rFonts w:ascii="arial" w:eastAsia="arial" w:hAnsi="arial" w:cs="arial"/>
          <w:i/>
          <w:color w:val="000000"/>
          <w:sz w:val="20"/>
          <w:lang w:val="en-US" w:eastAsia="en-US" w:bidi="ar-SA"/>
        </w:rPr>
        <w:t>The Law of Fiduciaries</w:t>
      </w:r>
      <w:r>
        <w:rPr>
          <w:rFonts w:ascii="arial" w:eastAsia="arial" w:hAnsi="arial" w:cs="arial"/>
          <w:color w:val="000000"/>
          <w:sz w:val="20"/>
          <w:lang w:val="en-US" w:eastAsia="en-US" w:bidi="ar-SA"/>
        </w:rPr>
        <w:t xml:space="preserve"> at pp. 21-22. Furthermore, not all obligations existing between the parties to a well-recognized fiduciary relationship will be fiduciary in nature. Southin J., in </w:t>
      </w:r>
      <w:r>
        <w:rPr>
          <w:rFonts w:ascii="arial" w:eastAsia="arial" w:hAnsi="arial" w:cs="arial"/>
          <w:i/>
          <w:color w:val="000000"/>
          <w:sz w:val="20"/>
          <w:lang w:val="en-US" w:eastAsia="en-US" w:bidi="ar-SA"/>
        </w:rPr>
        <w:t>Girardet v. Crease &amp; Co.</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(1987), 11 B.C.L.R. (2d) 361</w:t>
        </w:r>
      </w:hyperlink>
      <w:r>
        <w:rPr>
          <w:rFonts w:ascii="arial" w:eastAsia="arial" w:hAnsi="arial" w:cs="arial"/>
          <w:color w:val="000000"/>
          <w:sz w:val="20"/>
          <w:lang w:val="en-US" w:eastAsia="en-US" w:bidi="ar-SA"/>
        </w:rPr>
        <w:t xml:space="preserve">, observed that the obligation of a solicitor to use care and skill is the same obligation as that of any person who undertakes to carry out a task for reward. Failure to do so does not necessarily result in a breach of fiduciary duty but simply a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issued this strong caveat against the overuse of claim for breach of fiduciary duty (at p. 362):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plaintiff spoke of this case in his opening as one of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became clear during his opening that no breach of fiduciary duty is in issue. What is in issue is whether the defendant was negligent in advising on the settlement of a claim for injuries suffered in an accident. The word "fiduciary" is flung around now as if it applied to all breaches of duty by solicitors, directors of companies and so forth. But 'fiduciary' comes from the Latin "fiducia" meaning "trust". Thus, the adjective, "fiduciary" means of or pertaining to a trustee or trusteeship. That a lawyer can commit a breach of the special duty of a trustee, e.g., by stealing his client's money, by entering into a contract with the client without full disclosure, by sending a client a bill claiming disbursements never made and so forth is clear. But to say that simple carelessness in giving advice is such a breach is a perversion of words. The obligation of a solicitor of care and skill is the same obligation of any person who undertakes for reward to carry out a task. One would not assert of an engineer or physician who had given bad advice and from whom common law damages were sought that he was guilty of a breach of fiduciary duty. Why should it be said of a solicitor? I make this point because an allegation of breach of fiduciary duty carries with it the stench of dishonesty -- if not of deceit, then of constructive fraud. See </w:t>
      </w:r>
      <w:r>
        <w:rPr>
          <w:rFonts w:ascii="arial" w:eastAsia="arial" w:hAnsi="arial" w:cs="arial"/>
          <w:i/>
          <w:color w:val="000000"/>
          <w:sz w:val="20"/>
          <w:lang w:val="en-US" w:eastAsia="en-US" w:bidi="ar-SA"/>
        </w:rPr>
        <w:t>Nocton v. Lord Ashburton</w:t>
      </w:r>
      <w:r>
        <w:rPr>
          <w:rFonts w:ascii="arial" w:eastAsia="arial" w:hAnsi="arial" w:cs="arial"/>
          <w:color w:val="000000"/>
          <w:sz w:val="20"/>
          <w:lang w:val="en-US" w:eastAsia="en-US" w:bidi="ar-SA"/>
        </w:rPr>
        <w:t>, [1914] A.C. 932 (H.L.). Those who draft pleadings should be careful of words that carry such a connotation.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The extract from J.C. Shepherd's text referred to approvingly by Sopinka J. in the above passage states the principle that no identifiable relationship, not even as between trustee and beneficiary or director and corporation, is necessarily in all cases fiduciary in nature. Sopinka J. resumed his considered pronouncement of the law at 598,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Court is dealing with one of the traditional relationships, the characteristics or criteria for a fiduciary relationship are assumed to exist. In special circumstances, if they are shown to be absent, the relationship itself will not suffice.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xml:space="preserve">  The law also recognizes that the established categories of fiduciary relationships, which presume the existence of fiduciary characteristics, are not exhaustive of the principle: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at 461. Accordingly, relationships that have not classically been regarded as fiduciary may be found to be so and may attract fiduciary obligations: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Hodgkinson; Guerin v. The Queen</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xml:space="preserve">  In her instructive, and now widely-accepted, dissent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136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Wilson J. enumerated three characteristics or indicia to assist the court in identifying fiduciary relationships: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Relationships in which a fiduciary obligation have been imposed seem to possess three general characteristics: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Wilson J.'s three-part analysis is not intended as an absolute code or to be applied mechanically as a litmus test to identify fiduciary relationships. Rather, her conceptual formulation, adopted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is a "rough and ready guide" in determining whether a particular relationship engages the special degree of trust, selfless loyalty and confidence sufficient to warrant the intervention of equity: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at 577-578, Sopinka J.</w:t>
      </w:r>
      <w:r>
        <w:rPr>
          <w:rFonts w:ascii="arial" w:eastAsia="arial" w:hAnsi="arial" w:cs="arial"/>
          <w:i/>
          <w:color w:val="000000"/>
          <w:sz w:val="20"/>
          <w:lang w:val="en-US" w:eastAsia="en-US" w:bidi="ar-SA"/>
        </w:rPr>
        <w:t>; Hodgkinson</w:t>
      </w:r>
      <w:r>
        <w:rPr>
          <w:rFonts w:ascii="arial" w:eastAsia="arial" w:hAnsi="arial" w:cs="arial"/>
          <w:color w:val="000000"/>
          <w:sz w:val="20"/>
          <w:lang w:val="en-US" w:eastAsia="en-US" w:bidi="ar-SA"/>
        </w:rPr>
        <w:t xml:space="preserve"> at 408, La Forest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xml:space="preserve">  It follows that it is possible for a fiduciary relationship to arise even where not all of the elements outlined by Wilson J. are present. The converse is also true: the presence of all criteria will not invariably establish a fiduciary relationship: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at 599,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Fundamental to the trustee-beneficiary dynamic and crucial to any fiduciary relationship, is that the fiduciary has a discretionary power to affect the other's legal or practical interests such that the latter is vulnerable to the actions of the former: </w:t>
      </w:r>
      <w:r>
        <w:rPr>
          <w:rFonts w:ascii="arial" w:eastAsia="arial" w:hAnsi="arial" w:cs="arial"/>
          <w:i/>
          <w:color w:val="000000"/>
          <w:sz w:val="20"/>
          <w:lang w:val="en-US" w:eastAsia="en-US" w:bidi="ar-SA"/>
        </w:rPr>
        <w:t>Galambos</w:t>
      </w:r>
      <w:r>
        <w:rPr>
          <w:rFonts w:ascii="arial" w:eastAsia="arial" w:hAnsi="arial" w:cs="arial"/>
          <w:color w:val="000000"/>
          <w:sz w:val="20"/>
          <w:lang w:val="en-US" w:eastAsia="en-US" w:bidi="ar-SA"/>
        </w:rPr>
        <w:t xml:space="preserve"> at para. 83, citing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at 384 and 387.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xml:space="preserve">  In addressing the essential criteria for a fiduciary relationship, the majority on the issue of breach of fiduciary duty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considered the qualities of dependency and vulnerability as indispensable. La Forest J. at 662, dissenting on this issue, placed less emphasis on the vulnerability feature with his observation that vulnerability is not a necessary ingredient in every fiduciary relationship. At 664, La Forest J. also noted that power and discretion in this context mean only the ability to cause harm. He expanded on these remarks in his majority decision in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at 430 where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Vulnerability is nothing more than the corollary of the ability to cause harm, viz the </w:t>
      </w:r>
      <w:r>
        <w:rPr>
          <w:rFonts w:ascii="arial" w:eastAsia="arial" w:hAnsi="arial" w:cs="arial"/>
          <w:color w:val="000000"/>
          <w:sz w:val="20"/>
          <w:u w:val="single"/>
          <w:lang w:val="en-US" w:eastAsia="en-US" w:bidi="ar-SA"/>
        </w:rPr>
        <w:t>susceptibility</w:t>
      </w:r>
      <w:r>
        <w:rPr>
          <w:rFonts w:ascii="arial" w:eastAsia="arial" w:hAnsi="arial" w:cs="arial"/>
          <w:color w:val="000000"/>
          <w:sz w:val="20"/>
          <w:lang w:val="en-US" w:eastAsia="en-US" w:bidi="ar-SA"/>
        </w:rPr>
        <w:t xml:space="preserve"> to harm. For this reason, it is undesirable to overemphasize vulnerability in assessing the existence of a fiduciary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at 405, La Forest J. discussed the contours of the element of vulnerability in relation to the establishment of fiduciary status. He commented that, from a conceptual standpoint, fiduciary duty was a species of a more generalized duty by which the law aims to protect vulnerable individuals in transactions with others. In the same passage, his Lordship noted how the component of vulnerability is not the hallmark of a fiduciary relationship, describing it instead as "the golden thread" that unites claims such as breach of fiduciary duty, undue influence, unconscionability and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at 409 and in </w:t>
      </w:r>
      <w:r>
        <w:rPr>
          <w:rFonts w:ascii="arial" w:eastAsia="arial" w:hAnsi="arial" w:cs="arial"/>
          <w:i/>
          <w:color w:val="000000"/>
          <w:sz w:val="20"/>
          <w:lang w:val="en-US" w:eastAsia="en-US" w:bidi="ar-SA"/>
        </w:rPr>
        <w:t>Galambos</w:t>
      </w:r>
      <w:r>
        <w:rPr>
          <w:rFonts w:ascii="arial" w:eastAsia="arial" w:hAnsi="arial" w:cs="arial"/>
          <w:color w:val="000000"/>
          <w:sz w:val="20"/>
          <w:lang w:val="en-US" w:eastAsia="en-US" w:bidi="ar-SA"/>
        </w:rPr>
        <w:t xml:space="preserve"> at paras. 66, 71 and 77-78, clarified that essential to the existence of a fiduciary duty in both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relationships is that the alleged fiduciary has given an undertaking of responsibility to act utterly selflessly in accordance with the strict duty of loyalty.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xml:space="preserve">  There can be no question but that the presence of vulnerability of one party's legal, economic and vital practical interests to the discretionary power held by the fiduciary remains significant relative to the imposition of fiduciary obligations. However, vulnerability alone is not enough to sustain a fiduciary claim: </w:t>
      </w:r>
      <w:r>
        <w:rPr>
          <w:rFonts w:ascii="arial" w:eastAsia="arial" w:hAnsi="arial" w:cs="arial"/>
          <w:i/>
          <w:color w:val="000000"/>
          <w:sz w:val="20"/>
          <w:lang w:val="en-US" w:eastAsia="en-US" w:bidi="ar-SA"/>
        </w:rPr>
        <w:t>Galambos</w:t>
      </w:r>
      <w:r>
        <w:rPr>
          <w:rFonts w:ascii="arial" w:eastAsia="arial" w:hAnsi="arial" w:cs="arial"/>
          <w:color w:val="000000"/>
          <w:sz w:val="20"/>
          <w:lang w:val="en-US" w:eastAsia="en-US" w:bidi="ar-SA"/>
        </w:rPr>
        <w:t xml:space="preserve"> at para. 67; </w:t>
      </w:r>
      <w:r>
        <w:rPr>
          <w:rFonts w:ascii="arial" w:eastAsia="arial" w:hAnsi="arial" w:cs="arial"/>
          <w:i/>
          <w:color w:val="000000"/>
          <w:sz w:val="20"/>
          <w:lang w:val="en-US" w:eastAsia="en-US" w:bidi="ar-SA"/>
        </w:rPr>
        <w:t>Alberta v. Elder Advocates of Alberta Society</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xml:space="preserve">  The settled principles reflect that ultimately it is the attributes of the particular relationship, and not the label or categorization applied to it, that are determinative: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at 422, La Forest J.; </w:t>
      </w:r>
      <w:r>
        <w:rPr>
          <w:rFonts w:ascii="arial" w:eastAsia="arial" w:hAnsi="arial" w:cs="arial"/>
          <w:i/>
          <w:color w:val="000000"/>
          <w:sz w:val="20"/>
          <w:lang w:val="en-US" w:eastAsia="en-US" w:bidi="ar-SA"/>
        </w:rPr>
        <w:t>Galambos</w:t>
      </w:r>
      <w:r>
        <w:rPr>
          <w:rFonts w:ascii="arial" w:eastAsia="arial" w:hAnsi="arial" w:cs="arial"/>
          <w:color w:val="000000"/>
          <w:sz w:val="20"/>
          <w:lang w:val="en-US" w:eastAsia="en-US" w:bidi="ar-SA"/>
        </w:rPr>
        <w:t xml:space="preserve"> at para. 70, citing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at 384. Accordingly, whether a relationship is of the exacting character classified as fiduciary is a question of fact to be informed by examining the surrounding circumstances and the unique features of the relationship on a case-by-case basis: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at 135-136, Wilson J.;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at 598-599;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xml:space="preserve"> at paras. 27-36.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I turn next to discuss more specifically the circumstances in which an employee, who is not a director of the employer, may be held to owe fiduciary obligations to his or her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xml:space="preserve">  Every employee (fiduciary and non-fiduciary) owes the employer an implied contractual duty of loyalty, fidelity and good faith, which compels faithful service in many forms, often with far-reaching implications. In </w:t>
      </w:r>
      <w:r>
        <w:rPr>
          <w:rFonts w:ascii="arial" w:eastAsia="arial" w:hAnsi="arial" w:cs="arial"/>
          <w:i/>
          <w:color w:val="000000"/>
          <w:sz w:val="20"/>
          <w:lang w:val="en-US" w:eastAsia="en-US" w:bidi="ar-SA"/>
        </w:rPr>
        <w:t>McMahon v. TCG International Inc.</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2007 BCSC 1003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McMahon</w:t>
      </w:r>
      <w:r>
        <w:rPr>
          <w:rFonts w:ascii="arial" w:eastAsia="arial" w:hAnsi="arial" w:cs="arial"/>
          <w:color w:val="000000"/>
          <w:sz w:val="20"/>
          <w:lang w:val="en-US" w:eastAsia="en-US" w:bidi="ar-SA"/>
        </w:rPr>
        <w:t>], Fisher J. succinctly summarized the content of the duty: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[51] The implied duty has been held to include the following:</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serve his employer faithfully;</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compete with his employer;</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reveal confidential information;</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conceal from his employer facts which ought to be revealed;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full-time service to his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Generally speaking, however, an employee is not a fiduciary and, therefore, is not held to the exacting duties of that office. There are exceptions to that general rule. An employee who wields a sufficiently high degree of management control and authority over the employer's affairs or is otherwise functionally integral or "key" to the operations of the business may be impressed with fiduciary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is the seminal decision on the characteristics of the employer-employee relationship that serve to distinguish an ordinary employee from the category of a "top management" employee who may owe fiduciary duties to the employer. The top management test formulated in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was subsequently broadened to encompass "key" employees. Even where an employee is said to be "key" to the employer, it does not necessarily follow that such key employee and employer are in a fiduciary relationship: </w:t>
      </w:r>
      <w:r>
        <w:rPr>
          <w:rFonts w:ascii="arial" w:eastAsia="arial" w:hAnsi="arial" w:cs="arial"/>
          <w:i/>
          <w:color w:val="000000"/>
          <w:sz w:val="20"/>
          <w:lang w:val="en-US" w:eastAsia="en-US" w:bidi="ar-SA"/>
        </w:rPr>
        <w:t>RBC Dominion Securities Inc. v. Merrill Lynch Canada Inc.</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2008 SCC 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RBC Dominion Securities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 xml:space="preserve"> Sigurdson J. carefully surveyed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and other appellate authorities on the approaches taken by the courts in determining whether an employee owed fiduciary duties to his or her employer: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In </w:t>
      </w:r>
      <w:r>
        <w:rPr>
          <w:rFonts w:ascii="arial" w:eastAsia="arial" w:hAnsi="arial" w:cs="arial"/>
          <w:i/>
          <w:color w:val="000000"/>
          <w:sz w:val="20"/>
          <w:lang w:val="en-US" w:eastAsia="en-US" w:bidi="ar-SA"/>
        </w:rPr>
        <w:t>Canadian Aero</w:t>
      </w:r>
      <w:r>
        <w:rPr>
          <w:rFonts w:ascii="arial" w:eastAsia="arial" w:hAnsi="arial" w:cs="arial"/>
          <w:color w:val="000000"/>
          <w:sz w:val="20"/>
          <w:lang w:val="en-US" w:eastAsia="en-US" w:bidi="ar-SA"/>
        </w:rPr>
        <w:t xml:space="preserve"> the court found that "top management" of a company owed that company a fiduciary duty, even if they were supervised by officers of the company and did not hold positions in the company, such as director, that fell within the usual categories of those who had fiduciary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That said, </w:t>
      </w:r>
      <w:r>
        <w:rPr>
          <w:rFonts w:ascii="arial" w:eastAsia="arial" w:hAnsi="arial" w:cs="arial"/>
          <w:i/>
          <w:color w:val="000000"/>
          <w:sz w:val="20"/>
          <w:lang w:val="en-US" w:eastAsia="en-US" w:bidi="ar-SA"/>
        </w:rPr>
        <w:t>Canadian Aero</w:t>
      </w:r>
      <w:r>
        <w:rPr>
          <w:rFonts w:ascii="arial" w:eastAsia="arial" w:hAnsi="arial" w:cs="arial"/>
          <w:color w:val="000000"/>
          <w:sz w:val="20"/>
          <w:lang w:val="en-US" w:eastAsia="en-US" w:bidi="ar-SA"/>
        </w:rPr>
        <w:t xml:space="preserve"> has provided useful guidance in distinguishing "mere employees" or servants from those employees who, whatever their title, owe a higher duty. Laskin J., as he then was, made the distinction at p. 381-82 when he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Like Grant J., the trial judge, I do not think it matters whether O'Malley and Zarzycki were properly appointed as directors of Canaero or whether they did or did not act as directors. What is not in doubt is that they acted respectively as president and executive vice-president of Canaero for about two years prior to their resignations. To paraphrase the findings of the trial judge in this respect, they acted in those positions and their remuneration and responsibilities verified their status as senior officers of Canaero. They were "top management" and not mere employees whose duty to their employer, unless enlarged by contract, consisted only of respect for trade secrets and for confidentiality of customer lists. Theirs was a larger, more exacting duty which, unless modified by statute or by contract (and there is nothing of this sort here), was similar to that owed to a corporate employer by its directors. I adopt what is said on this point by Gower, </w:t>
      </w:r>
      <w:r>
        <w:rPr>
          <w:rFonts w:ascii="arial" w:eastAsia="arial" w:hAnsi="arial" w:cs="arial"/>
          <w:i/>
          <w:color w:val="000000"/>
          <w:sz w:val="20"/>
          <w:lang w:val="en-US" w:eastAsia="en-US" w:bidi="ar-SA"/>
        </w:rPr>
        <w:t>Principles of Modern Company Law</w:t>
      </w:r>
      <w:r>
        <w:rPr>
          <w:rFonts w:ascii="arial" w:eastAsia="arial" w:hAnsi="arial" w:cs="arial"/>
          <w:color w:val="000000"/>
          <w:sz w:val="20"/>
          <w:lang w:val="en-US" w:eastAsia="en-US" w:bidi="ar-SA"/>
        </w:rPr>
        <w:t>, 3rd ed., 1969, at p. 518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these duties, except in so far as they depend on statutory provisions expressly limited to directors, are not so restricted but apply equally to any officials of the company who are authorized to act on its behalf, and in particular to those acting in a managerial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distinction taken between agents and servants of an employer is apt here, and I am unable to appreciate the basis upon which the Ontario Court of Appeal concluded that O'Malley and Zarzycki were mere employees, that is servants of Canaero rather than agents. Although they were subject to supervision of the officers of the controlling company, </w:t>
      </w:r>
      <w:r>
        <w:rPr>
          <w:rFonts w:ascii="arial" w:eastAsia="arial" w:hAnsi="arial" w:cs="arial"/>
          <w:color w:val="000000"/>
          <w:sz w:val="20"/>
          <w:u w:val="single"/>
          <w:lang w:val="en-US" w:eastAsia="en-US" w:bidi="ar-SA"/>
        </w:rPr>
        <w:t>their positions as senior officers of a subsidiary, which was a working organization, charged them with initiatives and with responsibilities far removed from the obedient role of servants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In applying the top management test set out in </w:t>
      </w:r>
      <w:r>
        <w:rPr>
          <w:rFonts w:ascii="arial" w:eastAsia="arial" w:hAnsi="arial" w:cs="arial"/>
          <w:i/>
          <w:color w:val="000000"/>
          <w:sz w:val="20"/>
          <w:lang w:val="en-US" w:eastAsia="en-US" w:bidi="ar-SA"/>
        </w:rPr>
        <w:t>Canadian Aero</w:t>
      </w:r>
      <w:r>
        <w:rPr>
          <w:rFonts w:ascii="arial" w:eastAsia="arial" w:hAnsi="arial" w:cs="arial"/>
          <w:color w:val="000000"/>
          <w:sz w:val="20"/>
          <w:lang w:val="en-US" w:eastAsia="en-US" w:bidi="ar-SA"/>
        </w:rPr>
        <w:t xml:space="preserve">, courts have focused on the powers and functions of the employee. As might be expected from the emphasis on "initiative and responsibility" in </w:t>
      </w:r>
      <w:r>
        <w:rPr>
          <w:rFonts w:ascii="arial" w:eastAsia="arial" w:hAnsi="arial" w:cs="arial"/>
          <w:i/>
          <w:color w:val="000000"/>
          <w:sz w:val="20"/>
          <w:lang w:val="en-US" w:eastAsia="en-US" w:bidi="ar-SA"/>
        </w:rPr>
        <w:t>Canadian Aero</w:t>
      </w:r>
      <w:r>
        <w:rPr>
          <w:rFonts w:ascii="arial" w:eastAsia="arial" w:hAnsi="arial" w:cs="arial"/>
          <w:color w:val="000000"/>
          <w:sz w:val="20"/>
          <w:lang w:val="en-US" w:eastAsia="en-US" w:bidi="ar-SA"/>
        </w:rPr>
        <w:t xml:space="preserve"> and on the ability of the agent to "alter the principal's legal position", there is, as Ellis notes at 16-8, "some judicial sentiment toward restricting the interpretation of "top management" to very senior persons exercising a substantial amount of autonomous power". Titles, on the other hand, are almost irrelevant, since the title of "manager" or "vice-president" can have as many meanings as does "agent".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For example, in </w:t>
      </w:r>
      <w:r>
        <w:rPr>
          <w:rFonts w:ascii="arial" w:eastAsia="arial" w:hAnsi="arial" w:cs="arial"/>
          <w:i/>
          <w:color w:val="000000"/>
          <w:sz w:val="20"/>
          <w:lang w:val="en-US" w:eastAsia="en-US" w:bidi="ar-SA"/>
        </w:rPr>
        <w:t>Empire Stevedores (1973) Ltd. v. Sparringa</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(1978), 19 O.R. (2d) 610</w:t>
        </w:r>
      </w:hyperlink>
      <w:r>
        <w:rPr>
          <w:rFonts w:ascii="arial" w:eastAsia="arial" w:hAnsi="arial" w:cs="arial"/>
          <w:color w:val="000000"/>
          <w:sz w:val="20"/>
          <w:lang w:val="en-US" w:eastAsia="en-US" w:bidi="ar-SA"/>
        </w:rPr>
        <w:t xml:space="preserve"> (H.C.), the plaintiff sought an injunction after the defendant, who was nominally a vice-president during his final years with the plaintiff, left the company, purchased another stevedoring company and successfully bid against Empire for a number of contracts. The court declined to issue the injunction sought by Empire and noted that, despite his title, the defendant remained a "walking boss", whose duties were limited to supervision of the performance of the plaintiff's contracts. Among the factors identified by the court in doubting that he qualified as "top management" were that he was not able to bid on jobs by himself, did not play a significant role in the planning or financial side of the plaintiff's business, and indeed, could not even make minor variations in equipment contracts and that, as the defendant stated in his affidavit, he did not have "any known prospects of advancement within Empire to an off-the-dock post".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Our Court of Appeal came to a similar conclusion regarding Paul Darc, the erstwhile chief operating officer and chief financial officer of the plaintiff company in </w:t>
      </w:r>
      <w:r>
        <w:rPr>
          <w:rFonts w:ascii="arial" w:eastAsia="arial" w:hAnsi="arial" w:cs="arial"/>
          <w:i/>
          <w:color w:val="000000"/>
          <w:sz w:val="20"/>
          <w:lang w:val="en-US" w:eastAsia="en-US" w:bidi="ar-SA"/>
        </w:rPr>
        <w:t>3464920 Canada Inc. v. Strother</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(2005),38 B.C.L.R. (4th) 159</w:t>
        </w:r>
      </w:hyperlink>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2005 BCCA 35</w:t>
        </w:r>
      </w:hyperlink>
      <w:r>
        <w:rPr>
          <w:rFonts w:ascii="arial" w:eastAsia="arial" w:hAnsi="arial" w:cs="arial"/>
          <w:color w:val="000000"/>
          <w:sz w:val="20"/>
          <w:lang w:val="en-US" w:eastAsia="en-US" w:bidi="ar-SA"/>
        </w:rPr>
        <w:t>. It declined to interfere with the trial judge's finding that Mr. Darc was not a fiduciary, citing the following comments from the trial decision at para. 65: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Darc's] duties related to internal accounting and administrative matters. He held the title of Chief Financial Officer and managed a small staff, but he was not a director, he held no equity, and Monarch was a small company where impressive titles were readily available. He had no cheque signing authority. He was not the company's contact with either the studios from which production was obtained or its agents who sold its tax shelters to investors.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In </w:t>
      </w:r>
      <w:r>
        <w:rPr>
          <w:rFonts w:ascii="arial" w:eastAsia="arial" w:hAnsi="arial" w:cs="arial"/>
          <w:i/>
          <w:color w:val="000000"/>
          <w:sz w:val="20"/>
          <w:lang w:val="en-US" w:eastAsia="en-US" w:bidi="ar-SA"/>
        </w:rPr>
        <w:t>Valco Cincinnati v. Dibe</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[1987] 35 B.L.R. 281</w:t>
        </w:r>
      </w:hyperlink>
      <w:r>
        <w:rPr>
          <w:rFonts w:ascii="arial" w:eastAsia="arial" w:hAnsi="arial" w:cs="arial"/>
          <w:color w:val="000000"/>
          <w:sz w:val="20"/>
          <w:lang w:val="en-US" w:eastAsia="en-US" w:bidi="ar-SA"/>
        </w:rPr>
        <w:t>, the defendant had been the branch manager and sole Canadian employee of the plaintiff American company; the court looked at the ability of the alleged fiduciary to exercise control and to alter the legal position of the company. Callon J. of the Ontario High Court of Justice noted that while the defendant solicited business while employed by the plaintiff, head office retained control over pricing and credit approval, the selection of products to be made available and most of the decisions about day to day operation, including the make, model and features of the company car driven by the defendant. As such, Dibe was found to be a "mere employee" who did not owe a higher duty, either by virtue of being top management or as an agent.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Another way of looking at this test is that "top management" is limited to those employees who have "the power and the ability to direct and guide the affairs of the company": </w:t>
      </w:r>
      <w:r>
        <w:rPr>
          <w:rFonts w:ascii="arial" w:eastAsia="arial" w:hAnsi="arial" w:cs="arial"/>
          <w:i/>
          <w:color w:val="000000"/>
          <w:sz w:val="20"/>
          <w:lang w:val="en-US" w:eastAsia="en-US" w:bidi="ar-SA"/>
        </w:rPr>
        <w:t>R.W. Hamilton Ltd. v. Aeroquip Corp.</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(1988), 65 O.R. (2d) 345</w:t>
        </w:r>
      </w:hyperlink>
      <w:r>
        <w:rPr>
          <w:rFonts w:ascii="arial" w:eastAsia="arial" w:hAnsi="arial" w:cs="arial"/>
          <w:color w:val="000000"/>
          <w:sz w:val="20"/>
          <w:lang w:val="en-US" w:eastAsia="en-US" w:bidi="ar-SA"/>
        </w:rPr>
        <w:t xml:space="preserve"> (H.C.J.) In </w:t>
      </w:r>
      <w:r>
        <w:rPr>
          <w:rFonts w:ascii="arial" w:eastAsia="arial" w:hAnsi="arial" w:cs="arial"/>
          <w:i/>
          <w:color w:val="000000"/>
          <w:sz w:val="20"/>
          <w:lang w:val="en-US" w:eastAsia="en-US" w:bidi="ar-SA"/>
        </w:rPr>
        <w:t>Alberts v. Mountjoy</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(1977), 16 OR. (2d) 682</w:t>
        </w:r>
      </w:hyperlink>
      <w:r>
        <w:rPr>
          <w:rFonts w:ascii="arial" w:eastAsia="arial" w:hAnsi="arial" w:cs="arial"/>
          <w:color w:val="000000"/>
          <w:sz w:val="20"/>
          <w:lang w:val="en-US" w:eastAsia="en-US" w:bidi="ar-SA"/>
        </w:rPr>
        <w:t>, the Ontario High Court found that the defendant Mountjoy had such powers and ability and was thus top management of the plaintiff insurance business and did owe it a fiduciary duty. At pp. 685-86, Estey C.J.H.C. (as he then was) contrasted the duties of Mountjoy with those of his co-defendant Butts: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 Mountjoy was the undoubted general manager or chief executive of the plaintiff. In fact the plaintiff at all relevant times until its acquisition by SincLir and Cockburn appears to have been operated by absentee owners through the defendant Mountjoy who, in so far as day-to-day operational matters are concerned, in effect managed the business as a sole proprietor. That is not to say he had authority to hire and fire or interfere with the capital assets of the business, but it is clear that operationally he reported to nobody.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Butt, on the other hand, was a salesman or an account supervisor whose duties were much less responsible than Mountjoy to whom he reported. His salary was about one-half that of Mountjoy and there is no evidence he received anything like the very substantial year-end bonus paid to Mountjoy.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Another part of the "top management" test has, as Ellis notes, been widened to include the adoption of the "key personnel" test. "Key personnel" looks at the relative role the employee plays in the enterprise as opposed to the control and authority that come with the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In </w:t>
      </w:r>
      <w:r>
        <w:rPr>
          <w:rFonts w:ascii="arial" w:eastAsia="arial" w:hAnsi="arial" w:cs="arial"/>
          <w:i/>
          <w:color w:val="000000"/>
          <w:sz w:val="20"/>
          <w:lang w:val="en-US" w:eastAsia="en-US" w:bidi="ar-SA"/>
        </w:rPr>
        <w:t>Barton Insurance Brokers v. Irwin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our Court of Appeal rejected the argument that the defendant, whose job title was "general office supervisor", was a "key employee" and thus barred from soliciting the clients of her former employer. The court noted that she was on salary, earning about $36,000 per annum, did not have the power to hire and fire, had never been a corporate officer, director or shareholder, and required approval from her superior for any significant expenditure. Hall J.A. considered the decision in </w:t>
      </w:r>
      <w:r>
        <w:rPr>
          <w:rFonts w:ascii="arial" w:eastAsia="arial" w:hAnsi="arial" w:cs="arial"/>
          <w:i/>
          <w:color w:val="000000"/>
          <w:sz w:val="20"/>
          <w:lang w:val="en-US" w:eastAsia="en-US" w:bidi="ar-SA"/>
        </w:rPr>
        <w:t>Tree Savers International Ltd. v. Savoy</w:t>
      </w:r>
      <w:r>
        <w:rPr>
          <w:rFonts w:ascii="arial" w:eastAsia="arial" w:hAnsi="arial" w:cs="arial"/>
          <w:color w:val="000000"/>
          <w:sz w:val="20"/>
          <w:lang w:val="en-US" w:eastAsia="en-US" w:bidi="ar-SA"/>
        </w:rPr>
        <w:t xml:space="preserve"> (1991), </w:t>
      </w:r>
      <w:hyperlink r:id="rId1011" w:history="1">
        <w:r>
          <w:rPr>
            <w:rFonts w:ascii="arial" w:eastAsia="arial" w:hAnsi="arial" w:cs="arial"/>
            <w:i/>
            <w:color w:val="0077CC"/>
            <w:sz w:val="20"/>
            <w:u w:val="single"/>
            <w:shd w:val="clear" w:color="auto" w:fill="FFFFFF"/>
            <w:lang w:val="en-US" w:eastAsia="en-US" w:bidi="ar-SA"/>
          </w:rPr>
          <w:t>81 Alta. L.R. (2d) 325</w:t>
        </w:r>
      </w:hyperlink>
      <w:r>
        <w:rPr>
          <w:rFonts w:ascii="arial" w:eastAsia="arial" w:hAnsi="arial" w:cs="arial"/>
          <w:color w:val="000000"/>
          <w:sz w:val="20"/>
          <w:lang w:val="en-US" w:eastAsia="en-US" w:bidi="ar-SA"/>
        </w:rPr>
        <w:t xml:space="preserve"> (Q.B.), aff'd on the "key employee" point at (1992), </w:t>
      </w:r>
      <w:hyperlink r:id="rId1012" w:history="1">
        <w:r>
          <w:rPr>
            <w:rFonts w:ascii="arial" w:eastAsia="arial" w:hAnsi="arial" w:cs="arial"/>
            <w:i/>
            <w:color w:val="0077CC"/>
            <w:sz w:val="20"/>
            <w:u w:val="single"/>
            <w:shd w:val="clear" w:color="auto" w:fill="FFFFFF"/>
            <w:lang w:val="en-US" w:eastAsia="en-US" w:bidi="ar-SA"/>
          </w:rPr>
          <w:t>84 Alta. L.R. (2d) 384</w:t>
        </w:r>
      </w:hyperlink>
      <w:r>
        <w:rPr>
          <w:rFonts w:ascii="arial" w:eastAsia="arial" w:hAnsi="arial" w:cs="arial"/>
          <w:color w:val="000000"/>
          <w:sz w:val="20"/>
          <w:lang w:val="en-US" w:eastAsia="en-US" w:bidi="ar-SA"/>
        </w:rPr>
        <w:t xml:space="preserve"> (C.A.), as well the case of </w:t>
      </w:r>
      <w:r>
        <w:rPr>
          <w:rFonts w:ascii="arial" w:eastAsia="arial" w:hAnsi="arial" w:cs="arial"/>
          <w:i/>
          <w:color w:val="000000"/>
          <w:sz w:val="20"/>
          <w:lang w:val="en-US" w:eastAsia="en-US" w:bidi="ar-SA"/>
        </w:rPr>
        <w:t>Anderson, Smyth &amp; Kelly Customs Brokers Ltd. v. World Wide Customs Brokers Ltd.</w:t>
      </w:r>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[1996] 7 W.W.R. 736</w:t>
        </w:r>
      </w:hyperlink>
      <w:r>
        <w:rPr>
          <w:rFonts w:ascii="arial" w:eastAsia="arial" w:hAnsi="arial" w:cs="arial"/>
          <w:color w:val="000000"/>
          <w:sz w:val="20"/>
          <w:lang w:val="en-US" w:eastAsia="en-US" w:bidi="ar-SA"/>
        </w:rPr>
        <w:t>, another decision of the Alberta Court of Appeal. In that case, the defendant Kelly was an officer, director and shareholder in Anderson, the plaintiff customs broker, as well as the manager of its Edmonton office, before jumping ship and joining World Wide in 1989. The trial judge found that Kelly was "an integral part of the Plaintiff's Edmonton operation", and characterized him as a "key employee" but declined to find that he owed a fiduciary duty to the company. The Alberta Court of Appeal held this to be an error and held that as an employee - quite apart from his position as director and officer - he was a fiduciary. Among the factors it cited was that he was the manager and only non-clerical employee of Anderson's Edmonton operations and was thus in a position to unilaterally exercise his delegated authority to affect the appellant's legal and economic interests. The court summarized the underlying principles at para. 20: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To put it another way, in his capacity as a director and officer and manager of the Appellant's Edmonton office, Kelly possessed the kind of authority typically found in a relationship of dependency or vulnerability. It was the kind of relationship in which equity will intervene to protect the dependant or vulnerable party by acting on the conscience of the fiduciary.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In other words, while the Court relied on the designation of Kelly as a "key employee" who could "unilaterally exercise his delegated authority to affect the Appellant's legal and economic interests", its decision was based not solely on the finding that he fell into that category, but on the same underlying principles articulated by Wilson J.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xml:space="preserve">  Continuing at para. 82, Sigurdson J. reasoned that there was little substantive difference between the categorical model applied by both the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and the key employee line of authorities, and the principled approach outlined in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as endorsed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and their judicial lineage.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Zoic Studios BC Inc. v. Gannon</w:t>
      </w:r>
      <w:r>
        <w:rPr>
          <w:rFonts w:ascii="arial" w:eastAsia="arial" w:hAnsi="arial" w:cs="arial"/>
          <w:color w:val="000000"/>
          <w:sz w:val="20"/>
          <w:lang w:val="en-US" w:eastAsia="en-US" w:bidi="ar-SA"/>
        </w:rPr>
        <w:t xml:space="preserve">, </w:t>
      </w:r>
      <w:hyperlink r:id="rId1014" w:history="1">
        <w:r>
          <w:rPr>
            <w:rFonts w:ascii="arial" w:eastAsia="arial" w:hAnsi="arial" w:cs="arial"/>
            <w:i/>
            <w:color w:val="0077CC"/>
            <w:sz w:val="20"/>
            <w:u w:val="single"/>
            <w:shd w:val="clear" w:color="auto" w:fill="FFFFFF"/>
            <w:lang w:val="en-US" w:eastAsia="en-US" w:bidi="ar-SA"/>
          </w:rPr>
          <w:t>2012 BCSC 1322</w:t>
        </w:r>
      </w:hyperlink>
      <w:r>
        <w:rPr>
          <w:rFonts w:ascii="arial" w:eastAsia="arial" w:hAnsi="arial" w:cs="arial"/>
          <w:color w:val="000000"/>
          <w:sz w:val="20"/>
          <w:lang w:val="en-US" w:eastAsia="en-US" w:bidi="ar-SA"/>
        </w:rPr>
        <w:t xml:space="preserve"> at para. 186 [</w:t>
      </w:r>
      <w:r>
        <w:rPr>
          <w:rFonts w:ascii="arial" w:eastAsia="arial" w:hAnsi="arial" w:cs="arial"/>
          <w:i/>
          <w:color w:val="000000"/>
          <w:sz w:val="20"/>
          <w:lang w:val="en-US" w:eastAsia="en-US" w:bidi="ar-SA"/>
        </w:rPr>
        <w:t>Zoic</w:t>
      </w:r>
      <w:r>
        <w:rPr>
          <w:rFonts w:ascii="arial" w:eastAsia="arial" w:hAnsi="arial" w:cs="arial"/>
          <w:color w:val="000000"/>
          <w:sz w:val="20"/>
          <w:lang w:val="en-US" w:eastAsia="en-US" w:bidi="ar-SA"/>
        </w:rPr>
        <w:t xml:space="preserve">], rev'd on other grounds, </w:t>
      </w:r>
      <w:hyperlink r:id="rId1015" w:history="1">
        <w:r>
          <w:rPr>
            <w:rFonts w:ascii="arial" w:eastAsia="arial" w:hAnsi="arial" w:cs="arial"/>
            <w:i/>
            <w:color w:val="0077CC"/>
            <w:sz w:val="20"/>
            <w:u w:val="single"/>
            <w:shd w:val="clear" w:color="auto" w:fill="FFFFFF"/>
            <w:lang w:val="en-US" w:eastAsia="en-US" w:bidi="ar-SA"/>
          </w:rPr>
          <w:t>2015 BCCA 334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Zoic CA</w:t>
      </w:r>
      <w:r>
        <w:rPr>
          <w:rFonts w:ascii="arial" w:eastAsia="arial" w:hAnsi="arial" w:cs="arial"/>
          <w:color w:val="000000"/>
          <w:sz w:val="20"/>
          <w:lang w:val="en-US" w:eastAsia="en-US" w:bidi="ar-SA"/>
        </w:rPr>
        <w:t>], Russell J. agreed with Sigurdson J.'s conclusion and, at para. 112, identified the ability of the employee to control the legal and/or economic interests of the employer (effectively, the measure of the employer's vulnerability) as an important functional characteristic of the fiduciary under both analyses. The Court of Appeal agreed with Russell J.'s analysis on the law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There is a danger of engaging in a reverse-engineering type of logic when assessing whether an employee has fiduciary status in situations where the employee has acted in a disloyal or self-interested way or has otherwise violated the implied duties of good faith, loyalty and fidelity expected of all employees. The point was instructively made by Paul Perrell in his article,"Fiduciary Obligations or is it a Breach of Fiduciary Duty to Accept an Appointment to the Bench?" (2004) 28 Advoc. Q. 471 at 479: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fallacy may occur in the determination of whether a person should be classified as a fiduciary. The fallacy is that of determining fiduciary status and fiduciary duty by reasoning from misbehaviour or from remedy to duty. This result-driven reasoning process begs to question of whether a person has fiduciary status by moving from the breach of a duty or the desired remedy to a finding that the person had a duty. For example, a finding that a person was disloyal and that harm was caused may have the tendency to lead to the fallacious conclusion that the person had a fiduciary's duty to be loyal. Although they disagreed about the nature of fiduciary status, both La Forest J. and Sopinka J. warned against this kind of reasoning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where La Forest J. said that using the term "fiduciary" as a conclusion to justify a result "reads equity backwards" and Sopinka J. said: "[T]he presence of conduct that incurs the censure of a court of equity in the context of a fiduciary duty cannot itself create the duty."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The Parties' Positions concerning Vinall's Liability </w:t>
      </w:r>
      <w:r>
        <w:rPr>
          <w:rFonts w:ascii="arial" w:eastAsia="arial" w:hAnsi="arial" w:cs="arial"/>
          <w:b/>
          <w:i/>
          <w:color w:val="000000"/>
          <w:sz w:val="20"/>
          <w:lang w:val="en-US" w:eastAsia="en-US" w:bidi="ar-SA"/>
        </w:rPr>
        <w:t>qua</w:t>
      </w:r>
      <w:r>
        <w:rPr>
          <w:rFonts w:ascii="arial" w:eastAsia="arial" w:hAnsi="arial" w:cs="arial"/>
          <w:b/>
          <w:color w:val="000000"/>
          <w:sz w:val="20"/>
          <w:lang w:val="en-US" w:eastAsia="en-US" w:bidi="ar-SA"/>
        </w:rPr>
        <w:t xml:space="preserve">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With reference to the plaintiffs' pleadings and closing submissions, two bases are put forth which they submit clothe Mr. Vinall as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xml:space="preserve">  First, the plaintiffs contend that -- and this is their primary contention -- there is a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relationship between Mr. Vinall and Sateri Singapore and Sateri International Co. flowing from his appointment as a director of each. They say it is irrelevant whether or not Mr. Vinall ever executed his powers as a director because the law does not differentiate between a "legitimate" director and a "dummy" or a "nominal"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xml:space="preserve">  The second ground asserted is that, quite apart from his status as a director, Mr. Vinall derived his fiduciary obligations from his role as a senior officer and a member of high-level management in the Sateri enterprise. They submit that Mr. Vinall qualifies as a fiduciary under the top management and key employee tests and, by implication, via application of the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factors. Mr. Vinall's duty is said to be owed to more than merely his direct employer, Sateri Shanghai.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xml:space="preserve">  In their notice of civil claim the plaintiffs state that they operate under the designated trade name of the "Sateri International Group", which they go on to define as </w:t>
      </w:r>
      <w:r>
        <w:rPr>
          <w:rFonts w:ascii="arial" w:eastAsia="arial" w:hAnsi="arial" w:cs="arial"/>
          <w:i/>
          <w:color w:val="000000"/>
          <w:sz w:val="20"/>
          <w:lang w:val="en-US" w:eastAsia="en-US" w:bidi="ar-SA"/>
        </w:rPr>
        <w:t>Sateri International</w:t>
      </w:r>
      <w:r>
        <w:rPr>
          <w:rFonts w:ascii="arial" w:eastAsia="arial" w:hAnsi="arial" w:cs="arial"/>
          <w:color w:val="000000"/>
          <w:sz w:val="20"/>
          <w:lang w:val="en-US" w:eastAsia="en-US" w:bidi="ar-SA"/>
        </w:rPr>
        <w:t xml:space="preserve"> (italicized in this section for clarity). They allege that the five other non-plaintiff companies within the Sateri organization are "part of or in affiliation with" </w:t>
      </w:r>
      <w:r>
        <w:rPr>
          <w:rFonts w:ascii="arial" w:eastAsia="arial" w:hAnsi="arial" w:cs="arial"/>
          <w:i/>
          <w:color w:val="000000"/>
          <w:sz w:val="20"/>
          <w:lang w:val="en-US" w:eastAsia="en-US" w:bidi="ar-SA"/>
        </w:rPr>
        <w:t>Sateri International</w:t>
      </w:r>
      <w:r>
        <w:rPr>
          <w:rFonts w:ascii="arial" w:eastAsia="arial" w:hAnsi="arial" w:cs="arial"/>
          <w:color w:val="000000"/>
          <w:sz w:val="20"/>
          <w:lang w:val="en-US" w:eastAsia="en-US" w:bidi="ar-SA"/>
        </w:rPr>
        <w:t xml:space="preserve">. In other words, for purposes of the plaintiffs' pleadings, they and the other Sateri companies are sometimes lumped together as one by use of the defined designation, </w:t>
      </w:r>
      <w:r>
        <w:rPr>
          <w:rFonts w:ascii="arial" w:eastAsia="arial" w:hAnsi="arial" w:cs="arial"/>
          <w:i/>
          <w:color w:val="000000"/>
          <w:sz w:val="20"/>
          <w:lang w:val="en-US" w:eastAsia="en-US" w:bidi="ar-SA"/>
        </w:rPr>
        <w:t>Sateri International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xml:space="preserve">  The plaintiffs allege that, at all material times until his resignation, Mr. Vinall was employed by Sateri Shanghai. It is difficult to square this averment with their subsequent allegation that Mr. Vinall was a trusted officer and employee of </w:t>
      </w:r>
      <w:r>
        <w:rPr>
          <w:rFonts w:ascii="arial" w:eastAsia="arial" w:hAnsi="arial" w:cs="arial"/>
          <w:i/>
          <w:color w:val="000000"/>
          <w:sz w:val="20"/>
          <w:lang w:val="en-US" w:eastAsia="en-US" w:bidi="ar-SA"/>
        </w:rPr>
        <w:t>Sateri International</w:t>
      </w:r>
      <w:r>
        <w:rPr>
          <w:rFonts w:ascii="arial" w:eastAsia="arial" w:hAnsi="arial" w:cs="arial"/>
          <w:color w:val="000000"/>
          <w:sz w:val="20"/>
          <w:lang w:val="en-US" w:eastAsia="en-US" w:bidi="ar-SA"/>
        </w:rPr>
        <w:t>, which, as I have highlighted, by definition encompasses the plaintiffs and one, more or all of the other non-plaintiff Sateri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The plaintiffs further allege that Mr. Vinall:</w:t>
      </w:r>
      <w:r>
        <w:rPr>
          <w:rFonts w:ascii="arial" w:eastAsia="arial" w:hAnsi="arial" w:cs="arial"/>
          <w:sz w:val="20"/>
          <w:lang w:val="en-US" w:eastAsia="en-US" w:bidi="ar-SA"/>
        </w:rPr>
        <w:cr/>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responsible for identifying business opportunities for </w:t>
      </w:r>
      <w:r>
        <w:rPr>
          <w:rFonts w:ascii="arial" w:eastAsia="arial" w:hAnsi="arial" w:cs="arial"/>
          <w:i/>
          <w:color w:val="000000"/>
          <w:sz w:val="20"/>
          <w:lang w:val="en-US" w:eastAsia="en-US" w:bidi="ar-SA"/>
        </w:rPr>
        <w:t>Sateri International</w:t>
      </w:r>
      <w:r>
        <w:rPr>
          <w:rFonts w:ascii="arial" w:eastAsia="arial" w:hAnsi="arial" w:cs="arial"/>
          <w:color w:val="000000"/>
          <w:sz w:val="20"/>
          <w:lang w:val="en-US" w:eastAsia="en-US" w:bidi="ar-SA"/>
        </w:rPr>
        <w:t xml:space="preserve">, as well as for establishing and maintaining relationships with customers and vendors for the benefit of </w:t>
      </w:r>
      <w:r>
        <w:rPr>
          <w:rFonts w:ascii="arial" w:eastAsia="arial" w:hAnsi="arial" w:cs="arial"/>
          <w:i/>
          <w:color w:val="000000"/>
          <w:sz w:val="20"/>
          <w:lang w:val="en-US" w:eastAsia="en-US" w:bidi="ar-SA"/>
        </w:rPr>
        <w:t>Sateri International</w:t>
      </w:r>
      <w:r>
        <w:rPr>
          <w:rFonts w:ascii="arial" w:eastAsia="arial" w:hAnsi="arial" w:cs="arial"/>
          <w:color w:val="000000"/>
          <w:sz w:val="20"/>
          <w:lang w:val="en-US" w:eastAsia="en-US" w:bidi="ar-SA"/>
        </w:rPr>
        <w:t>;</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empowered to exercise his discretion unilaterally with respect to which business opportunities to pursue so as to affect </w:t>
      </w:r>
      <w:r>
        <w:rPr>
          <w:rFonts w:ascii="arial" w:eastAsia="arial" w:hAnsi="arial" w:cs="arial"/>
          <w:i/>
          <w:color w:val="000000"/>
          <w:sz w:val="20"/>
          <w:lang w:val="en-US" w:eastAsia="en-US" w:bidi="ar-SA"/>
        </w:rPr>
        <w:t>Sateri International</w:t>
      </w:r>
      <w:r>
        <w:rPr>
          <w:rFonts w:ascii="arial" w:eastAsia="arial" w:hAnsi="arial" w:cs="arial"/>
          <w:color w:val="000000"/>
          <w:sz w:val="20"/>
          <w:lang w:val="en-US" w:eastAsia="en-US" w:bidi="ar-SA"/>
        </w:rPr>
        <w:t xml:space="preserve">'s legal or practical interests, or both, and that </w:t>
      </w:r>
      <w:r>
        <w:rPr>
          <w:rFonts w:ascii="arial" w:eastAsia="arial" w:hAnsi="arial" w:cs="arial"/>
          <w:i/>
          <w:color w:val="000000"/>
          <w:sz w:val="20"/>
          <w:lang w:val="en-US" w:eastAsia="en-US" w:bidi="ar-SA"/>
        </w:rPr>
        <w:t>Sateri International</w:t>
      </w:r>
      <w:r>
        <w:rPr>
          <w:rFonts w:ascii="arial" w:eastAsia="arial" w:hAnsi="arial" w:cs="arial"/>
          <w:color w:val="000000"/>
          <w:sz w:val="20"/>
          <w:lang w:val="en-US" w:eastAsia="en-US" w:bidi="ar-SA"/>
        </w:rPr>
        <w:t xml:space="preserve"> was, at all material times, subject to a vulnerability to the exercise of his discretion that he possessed as an incident of his position as a director, trusted officer and employee; and</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virtue of his position and authority within </w:t>
      </w:r>
      <w:r>
        <w:rPr>
          <w:rFonts w:ascii="arial" w:eastAsia="arial" w:hAnsi="arial" w:cs="arial"/>
          <w:i/>
          <w:color w:val="000000"/>
          <w:sz w:val="20"/>
          <w:lang w:val="en-US" w:eastAsia="en-US" w:bidi="ar-SA"/>
        </w:rPr>
        <w:t>Sateri International,</w:t>
      </w:r>
      <w:r>
        <w:rPr>
          <w:rFonts w:ascii="arial" w:eastAsia="arial" w:hAnsi="arial" w:cs="arial"/>
          <w:color w:val="000000"/>
          <w:sz w:val="20"/>
          <w:lang w:val="en-US" w:eastAsia="en-US" w:bidi="ar-SA"/>
        </w:rPr>
        <w:t xml:space="preserve"> owed a fiduciary duty to </w:t>
      </w:r>
      <w:r>
        <w:rPr>
          <w:rFonts w:ascii="arial" w:eastAsia="arial" w:hAnsi="arial" w:cs="arial"/>
          <w:i/>
          <w:color w:val="000000"/>
          <w:sz w:val="20"/>
          <w:lang w:val="en-US" w:eastAsia="en-US" w:bidi="ar-SA"/>
        </w:rPr>
        <w:t>Sateri International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xml:space="preserve">  To sum up, the plaintiffs plead that Mr. Vinall's fiduciary obligations are owed to </w:t>
      </w:r>
      <w:r>
        <w:rPr>
          <w:rFonts w:ascii="arial" w:eastAsia="arial" w:hAnsi="arial" w:cs="arial"/>
          <w:i/>
          <w:color w:val="000000"/>
          <w:sz w:val="20"/>
          <w:lang w:val="en-US" w:eastAsia="en-US" w:bidi="ar-SA"/>
        </w:rPr>
        <w:t>Sateri International</w:t>
      </w:r>
      <w:r>
        <w:rPr>
          <w:rFonts w:ascii="arial" w:eastAsia="arial" w:hAnsi="arial" w:cs="arial"/>
          <w:color w:val="000000"/>
          <w:sz w:val="20"/>
          <w:lang w:val="en-US" w:eastAsia="en-US" w:bidi="ar-SA"/>
        </w:rPr>
        <w:t xml:space="preserve">, a term that embodies the plaintiffs as well as the non-plaintiff companies that are "part of or in affiliation with" </w:t>
      </w:r>
      <w:r>
        <w:rPr>
          <w:rFonts w:ascii="arial" w:eastAsia="arial" w:hAnsi="arial" w:cs="arial"/>
          <w:i/>
          <w:color w:val="000000"/>
          <w:sz w:val="20"/>
          <w:lang w:val="en-US" w:eastAsia="en-US" w:bidi="ar-SA"/>
        </w:rPr>
        <w:t>Sateri International</w:t>
      </w:r>
      <w:r>
        <w:rPr>
          <w:rFonts w:ascii="arial" w:eastAsia="arial" w:hAnsi="arial" w:cs="arial"/>
          <w:color w:val="000000"/>
          <w:sz w:val="20"/>
          <w:lang w:val="en-US" w:eastAsia="en-US" w:bidi="ar-SA"/>
        </w:rPr>
        <w:t>. In supplementary closing submissions, the plaintiffs contended, for the first time, that for purposes of determining Mr. Vinall's contractual and fiduciary obligations, the common employer doctrine applied and demonstrated that he had more than one employer. I will return to that proposition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xml:space="preserve">  On the premise that Mr. Vinall had fiduciary standing, whether as a director, a top management/key employee and/or under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the plaintiffs submit that he owed duties of loyalty, fidelity, honesty and good faith, elements of which include:</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selflessness</w:t>
      </w:r>
      <w:r>
        <w:rPr>
          <w:rFonts w:ascii="arial" w:eastAsia="arial" w:hAnsi="arial" w:cs="arial"/>
          <w:color w:val="000000"/>
          <w:sz w:val="20"/>
          <w:lang w:val="en-US" w:eastAsia="en-US" w:bidi="ar-SA"/>
        </w:rPr>
        <w:t>: to act exclusively in their best interests and relinquish his own self-interest in matters concerning the plaintiffs;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avoidance of conflicts of interest</w:t>
      </w:r>
      <w:r>
        <w:rPr>
          <w:rFonts w:ascii="arial" w:eastAsia="arial" w:hAnsi="arial" w:cs="arial"/>
          <w:color w:val="000000"/>
          <w:sz w:val="20"/>
          <w:lang w:val="en-US" w:eastAsia="en-US" w:bidi="ar-SA"/>
        </w:rPr>
        <w:t>: not to enter into transactions or undertakings in which his personal interests or obligations to third parties might conflict with the best interests of the plaintiffs;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not to profit</w:t>
      </w:r>
      <w:r>
        <w:rPr>
          <w:rFonts w:ascii="arial" w:eastAsia="arial" w:hAnsi="arial" w:cs="arial"/>
          <w:color w:val="000000"/>
          <w:sz w:val="20"/>
          <w:lang w:val="en-US" w:eastAsia="en-US" w:bidi="ar-SA"/>
        </w:rPr>
        <w:t>: not to profit from his fiduciary position or from an opportunity or knowledge resulting from it beyond his agreed remuneration;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candour</w:t>
      </w:r>
      <w:r>
        <w:rPr>
          <w:rFonts w:ascii="arial" w:eastAsia="arial" w:hAnsi="arial" w:cs="arial"/>
          <w:color w:val="000000"/>
          <w:sz w:val="20"/>
          <w:lang w:val="en-US" w:eastAsia="en-US" w:bidi="ar-SA"/>
        </w:rPr>
        <w:t>: to make full disclosure of any interests or duties that might conflict with his duty to act in the plaintiffs' best interests and to disclose material matters of relevance to his relationship to them;</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exclusivity</w:t>
      </w:r>
      <w:r>
        <w:rPr>
          <w:rFonts w:ascii="arial" w:eastAsia="arial" w:hAnsi="arial" w:cs="arial"/>
          <w:color w:val="000000"/>
          <w:sz w:val="20"/>
          <w:lang w:val="en-US" w:eastAsia="en-US" w:bidi="ar-SA"/>
        </w:rPr>
        <w:t>: not to compete with the plaintiffs, and to develop business opportunities solely for them; and</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confidentiality</w:t>
      </w:r>
      <w:r>
        <w:rPr>
          <w:rFonts w:ascii="arial" w:eastAsia="arial" w:hAnsi="arial" w:cs="arial"/>
          <w:color w:val="000000"/>
          <w:sz w:val="20"/>
          <w:lang w:val="en-US" w:eastAsia="en-US" w:bidi="ar-SA"/>
        </w:rPr>
        <w:t>: to refrain from using information obtained through his office for his own benefit or the benefit of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The plaintiffs argue that Mr. Vinall breached all such fiduciary duties through his secret relationship with Fortress by:</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entering that relationship with the aim of setting up a business that would compete with them;</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assisting Fortress in establishing a competing business while he was still employed by them;</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profiting from the Thurso Mill opportunity that came to his attention by virtue of his position with them;</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their resources, confidential information and work product in pursuing the Thurso Mill opportunity and providing the same to Fortress; and</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withholding material facts from them regarding both his involvement with Fortress and the nature of the opportunity that he and Fortress were pursuing.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Mr. Vinall counters that he was a director of Sateri International Co. and Sateri Singapore in name only and solely for corporate convenience. His position is that, as a director of those two plaintiffs, he was a mere signatory to a small number of resolutions about which he knew virtually nothing, that he attended no director meetings and possessed none of the characteristics integral to the office of a fiduciary. More specifically, Mr. Vinall submits that he did not have the ability to exercise independent discretion, power or authority to direct or guide the plaintiffs' respective affairs or to affect their legal, economic or vital practical interests in any manner that rendered them vulnerable to 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xml:space="preserve">  Mr. Vinall's overarching submission in disputing liability as a director-fiduciary is that the factual circumstances in this case are of the exceptional kind contemplated by Sopinka J.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that serve to rebut the presumption that he is a fiduciary of the two plaintiffs of which he was appointed a director. His companion assertion is that it would be wholly inequitable to hold a director who, like himself, is in all practical reality unable to exercise the basic directorial powers as the guiding mind of the company, to the fiduciary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xml:space="preserve">  In answer to the plaintiffs' claim that he owes fiduciary obligations by application of the top management/key employee tests and/or the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guideposts, Mr. Vinall builds upon his argument by which he urged rebuttal of the presumption that his directorships invested him with the attributes innate to the fiduciary relationship. While he acknowledged that he held an important position in managing the operations at the Bahia Mill, he aligned his role to that of a typical mill manager by North American standards in the sense that his functions were predominately technical and operational in nature. Expanding on that point, Mr. Vinall argued that when he was recruited by Sateri it was anticipated that he would assume the broad scope of high-level management responsibilities commensurate with a full profit and loss role in the enterprise. As things turned out, that never came to pass and, according to him, his authority was largely consigned to the operations of the Bahia Mill. Even then, decisions and actions of consequence were invariably subject to the control of a higher layer of executive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Mr. Vinall says that if he is found to have owed fiduciary duties to one or more of the plaintiffs, he performed them honestly, with fidelity and in good faith. He conceded an exception in two inconsequential instances.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Application of the Top Management/Key Employee Tests and the </w:t>
      </w:r>
      <w:r>
        <w:rPr>
          <w:rFonts w:ascii="arial" w:eastAsia="arial" w:hAnsi="arial" w:cs="arial"/>
          <w:b/>
          <w:i/>
          <w:color w:val="000000"/>
          <w:sz w:val="20"/>
          <w:lang w:val="en-US" w:eastAsia="en-US" w:bidi="ar-SA"/>
        </w:rPr>
        <w:t>Frame</w:t>
      </w:r>
      <w:r>
        <w:rPr>
          <w:rFonts w:ascii="arial" w:eastAsia="arial" w:hAnsi="arial" w:cs="arial"/>
          <w:b/>
          <w:color w:val="000000"/>
          <w:sz w:val="20"/>
          <w:lang w:val="en-US" w:eastAsia="en-US" w:bidi="ar-SA"/>
        </w:rPr>
        <w:t xml:space="preserve">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Mr. Vinall was not appointed a director of Sateri Singapore and Sateri International Co. until he signed consents to act as such effective December 26, 2009. At that time, he had been working at Sateri for close to one year. He was never appointed a director of his employer, Sateri Shanghai.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xml:space="preserve">  By virtue of signing the consent respecting Sateri Singapore, Mr. Vinall purported to agree that he would abide by the duties, responsibilities and liabilities specified in the </w:t>
      </w:r>
      <w:r>
        <w:rPr>
          <w:rFonts w:ascii="arial" w:eastAsia="arial" w:hAnsi="arial" w:cs="arial"/>
          <w:i/>
          <w:color w:val="000000"/>
          <w:sz w:val="20"/>
          <w:lang w:val="en-US" w:eastAsia="en-US" w:bidi="ar-SA"/>
        </w:rPr>
        <w:t>Companies Act</w:t>
      </w:r>
      <w:r>
        <w:rPr>
          <w:rFonts w:ascii="arial" w:eastAsia="arial" w:hAnsi="arial" w:cs="arial"/>
          <w:color w:val="000000"/>
          <w:sz w:val="20"/>
          <w:lang w:val="en-US" w:eastAsia="en-US" w:bidi="ar-SA"/>
        </w:rPr>
        <w:t xml:space="preserve"> of Singapore, and under the any applicable common law. None of the parties made any submissions or elicited any evidence about this provision. I take that to mean they do not consider it to be relevant, and I will say no more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xml:space="preserve">  Several of the specific allegations of breach of fiduciary duty against Mr. Vinall pertain to his alleged misconduct that occurred before his first directorship, for example, planting the seeds to appropriate the Thurso Mill opportunity and to secretly compete with his employer. The plaintiffs concede that Mr. Vinall's appointments as director did not have any retrospective effect and did not impose fiduciary obligations in the pre-directorship period. With respect to that period (and afterward), the plaintiffs rely on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the key employee test and the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analysis to establish Mr. Vinall's elevated stature of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xml:space="preserve">  It strikes me as logical to begin the discussion by determining whether Mr. Vinall owed fiduciary duties to any of the plaintiffs before he entered into a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relationship with Sateri International Co. and Sateri Singapore as a result of being appointed a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As a matter of helpful backdrop, I am reminded that long before Mr. Vinall was hired by Sateri Shanghai, he had acquired extensive experience in and knowledge of the operation of conventional and dissolving pulp mills and of the conversion of the former to the latter. Indeed, I find that he was recruited by Sateri because of the breadth of his credentials in those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I accept Mr. Vinall's evidence that it was his understanding from the interview process with Sateri that, because the Bahia Mill had gotten off to a faltering start, he would be required to exert a strong technical and operational focus and be present at the Brazil site for the first six months. That six month stipulation was contained in his Sateri Employment Contract. It was anticipated that the operational objectives at the Bahia Mill would be met within that six-month window. Thereafter, and assuming that Mr. Vinall passed his probation period, he understood that he would move to the head office and assume an executive management function by taking charge of the profit and loss responsibilities for the entire upstream side of the business. I am satisfied that the expansive profit and loss management responsibilities that Mr. Vinall discussed with Mr. Tanoto, Mr. Hoon and others in executive management and that he was expected to assume once the Bahia Mill was sorted out operationally, were to extend beyond the Bahia Mill and the plantation. I find that those functions would entail enhanced executive management responsibility and authority for the mill operations, forestry operations, upstream sales, marketing, research and development, and strategic initiatives, together with the peripheral functions related to those duties, in Brazil, Indonesia and possibly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Mr. Vinall was aware that he was courting some personal risk in accepting Sateri's offer because his Sateri Employment Contract was so vague about the specific responsibilities attached to his position, and stipulated that his work projects and assignments were essentially at the discretion of management. Although the lack of specificity worried him, in weighing it out he felt reasonably confident that soon enough he would be exercising the high-level profit and loss authority of the primary facets of the upstream arm of Sateri's businesses in Brazil and farther afield, which he understood to be commensurate with his title of "President of Upstream".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As it happened, Mr. Vinall's position in the organization did not unfold in the manner that he and Sateri executive management had envisaged. He never did ascend to the upper management role equivalent to full profit and loss responsibility. This was mainly due to the fact that the effort required to stabilize and improve the running of the Bahia Mill was considerably more challenging and time-consuming than had been forecast. For Mr. Vinall, this meant he little choice but to continue to concentrate on the day-to-day mill operations long after the initial six month period had elapsed, and even after his family had moved to Singapore and indeed, throughout the tenure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Once the Vinall family relocated to Singapore, Mr. Vinall maintained his routine of working roughly three weeks of the month at the Bahia Mill and returning to his family base approximately every fourth week. When he and Mr. Tanoto crossed paths at head office, Mr. Tanoto would promptly order Mr. Vinall to return to the Bahia Mill. I find that substantially all of the business he engaged in while at the Singapore head office pertained to operational issues of the Bahia Mill. There were less than a small handful of exceptions to this. One of them was the short-lived assignment he received in early October 2009 to provide input and collaborate with Ms. Li to identify potential mill candidates for conversion. Another involved his relatively casual involvement with the Toba Mill, described earlier and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Mr. Goh was a credible witness in many areas, but less so in others. He left the impression that his testimony was tainted with a sense of personal anger and/or betrayal that he felt over what he believed was Mr. Vinall's lack of candour about the reasons for his departure from Sateri, and his clandestine activity with Fortress. With his negative mindset simmering below the surface, Mr. Goh appeared prone to skew his evidence and offer sweeping generalizations aimed at portraying Mr. Vinall in a disadvantageous light. A crucial subject area in which this was displayed was Mr. Goh's embellishment of Mr. Vinall's functions and authority at the Bahia Mill and within the Sateri enterprise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I have previously observed that Mr. Goh's testimony was not entirely reliable on certain pivotal issues. That observation holds true with respect to his evidence about the nature and scope of Mr. Vinall's power and authority in the Sateri organization. In this regard, I emphasize that Mr. Goh had no involvement in the hiring of Mr. Vinall, did not join Sateri until September or October 2009 and had no firsthand knowledge of Mr. Vinall's responsibilities prior to his arrival. It must also be kept in mind that the paramount reason for Mr. Goh's secondment from the RGE Group was to ensure that Sateri International Co. became listed on the stock exchange by a fixed deadline. It was a demanding and time-sensitive assignment, with much riding on his successful attainment. Understandably, his attention and efforts were primarily directed toward that objective which burdened him with many responsibilities unconnected to matters that Mr. Vinall reported to him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I turn next to a more detailed treatment of the evidence concerning the nature and parameters of Mr. Vinall's power, discretion and authority and the plaintiffs' corresponding vulnerability.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Both Mr. Vinall and Mr. Goh gave evidence about the number of employees who worked under Mr. Vinall at the Bahia Mill and the plantation. I prefer Mr. Vinall's testimony that there were in the range of 450 to 500 employees to Mr. Goh's higher estimation. In addition to the reliability and credibility shortcomings of Mr. Goh, another basis for my preference on this point is that Mr. Vinall's testimony on the topic was more precise and detailed, differentiating between staff at the plantation and those at the Bahia Mill. Additionally, I am satisfied that on account of his nearly daily presence there, Mr. Vinall was in a better position to calculate the number accurately and did so. Either way, the bottom line is that a significant number of employees worked below Mr. Vinall. However, the sheer number of employees at the Brazilian facilities, as important as it makes Mr. Vinall appear to be, is by no means conclusive of his fiduciary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Mr. Vinall came within the human resource category of senior employee at the director level. Seven members of the management team at the Bahia Mill reported to him directly. They consisted of a production manager, maintenance manager, mill manager, technical manager, human resources manager, and the respective heads of forestry as well as research and development. Although the head of finance was shown on paper as reporting to Mr. Vinall, that individual actually reported to executive management in Singapore. So too did the on-site lawyer, Savio Andrade.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Mr. Goh explained that at Sateri a "direct report" management employee, like Mr. Vinall, was typically the head of a business or the head of certain functions within a business. He conceded that "direct reports" were not necessarily part of Sateri's upper executive management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There was little cogent evidence about the nature of Mr. Vinall's authority over his managers. Despite the fact that they reported directly to him, he was not allowed to make any staff changes in respect of them unless he first obtained approval from head office. He was likewise not entitled to independently hire or terminate other senior employees at the Bahia Mill, or an employee who worked across jurisdictions. The ambit of his authority with respect to the hiring and firing of lower-level staff was also constrained. He was only permitted to fill vacancies at the Bahia Mill in respect of jobs that ranged from entry-level to mid-management, although not for all departments. Even then, he was without authority to increase the overall employee headcount; that decision was reserved for head office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All decisions pertaining to the salaries and wages of the employees at the Bahia Mill and the plantation were set and controlled by human resources in Shanghai or Singapore, and not by Mr. Vinall. He had no involvement in hiring senior staff or management level employees to fill positions at head office or outside the Bahia Mill and plantation.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Mr. Goh thought it likely that Mr. Vinall had been involved in some of the hiring decisions for positions in sales and/or marketing relative to the Bahia Mill. However, he was not able to provide any details in that regard and his meager evidence on the issue seemed more the product of guesswork than of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Mr. Vinall's authority relative to financial matters pertaining to the Bahia Mill and the plantation was also circumscribed. There was a puzzling lack of evidence explaining his entitlement to access bank accounts for the Bahia Mill or the plantation, or the nature of his signing authority on any such accounts. Mr. Goh's evidence was to the effect that Mr. Vinall was not involved in any banking matters or raising financing with respect to the Bahia Mill or any Sateri company. The financial side of the Brazilian operations were managed centrally in Singapore and, as noted, the designated financial employee on the ground at the Bahia Mill did not answer or report to Mr. Vinall.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Mr. Goh testified that Mr. Vinall had limited authority to commit to capital expenditures in respect of the Bahia Mill. However, he was unclear about the restrictions placed on that aspect of Mr. Vinall's authority. I accept Mr. Vinall's evidence that his authority to independently commit to outlays could not exceed the sum of $30,000 or possibly up to $50,000, without pre-approval from head office. In the scheme of things, and in light of the substantial value of the Bahia Mill, the monetary ceiling imposed upon Mr. Vinall's entitlement to incur capital expenditures was relatively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Although Mr. Goh could not say precisely what approvals or counter-signatures Mr. Vinall would have been required to obtain to commit Sateri financially to capital outlays above his limit, he acknowledged that Mr. Vinall would have to secure a "matrix of authorizations"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The preponderance of the evidence is that Mr. Vinall's participation in sales and marketing of the dissolving pulp produced at the Bahia Mill was indirect and very limited with respect to Sateri's internal customer base (a captive market). His involvement had an operational focus that took the form of merely ensuring that the product yielded by the Bahia Mill met the needs of the customers. He attended informal sales forecast meetings once in a 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Mr. Vinall's involvement was virtually non-existent with respect to the external upstream customers. The small role he played in developing a relationship with an American company as a potential purchaser of a specialty pulp grade was a one-off. Even then, it amounted to little more than engaging in two or three conference calls with the technical personnel of that company. Mr. Goh's testimony by which he purported to implicate Mr. Vinall in the sales part of the upstream business was lacking any reasonable semblance of specificity. I find that the sales end of dissolving pulp, by which I mean contacting, meeting and routinely communicating with customers and potential customers about their product needs, developing a new client base and expanding the existing one, was managed predominately from Shanghai and/or Singapore with little meaningful input from Mr. Vinall. I accept Mr. Vinall's evidence that Mr. Tanoto himself was known to take an active interest in that endeavor.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Mr. Vinall was expected to and did make recommendations to the executive management echelon concerning operational matters and some business-related improvements respecting the Bahia Mill and the plantation. For example, he proposed changing some suppliers of materials and modifying aspects of the processing line. But he had no unilateral authority to execute his recommendations; he submitted them to his superiors and they had the final say. His recommendations were ordinarily accepted provided they did not add any extra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Mr. Vinall did not collaborate in the making of any higher level financial and economic decisions, for example, how to hedge against marketplace risk relative to any of the plaintiffs or Sateri's businesses. He did not play a role of any importance in the budgetary process in respect of any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Mr. Vinall testified that the strategic processes of the Sateri enterprise at large were managed by others, like Mr. Hoon, stationed above him in the upper executive group. He claimed to have no real access to Sateri's internal files, such as its research data, strategic plans, business plans and the like because he was not involved in those processes. He clarified that on a rare occasion he would receive a copy of a business plan of some kind by way of email, typically from Ms. Li. There was no evidence adduced as to the purpose in providing him with those business plans, what their contents might have been, what he was expected to do with them or, in fact, did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Mr. Vinall was questioned about his access to a computer portal of a shared database for sales and marketing that was launched at Sateri in the spring of 2009. He initially denied that he had access. In cross-examination, he was shown emails that suggested he was given or could be given access to that database. At that point, Mr. Vinall agreed that he may have had access to that portal but reiterated that he had never accessed it because he was not involved in sales and marketing and, therefore, the data it contained held little interest. There was a lack of evidence about the nature of the information in the shared files of the portal or who else in the Sateri organization had access. I found Mr. Vinall's testimony plausible on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I have concluded that Mr. Vinall played a very small role with respect to the sales and marketing of the upstream business and am persuaded that, although he may have had access to the sales and marketing portal, there was little need or advantage to be gained in his accessing its contents and he did not bother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Mr. Vinall did not participate in any internal discussions of the plaintiffs or of the other Sateri companies concerning the development of external marketing plans or business strategies. He did not participate in devising capabilities to expand, manage or diversify Sateri's global businesses. It has not been shown that Mr. Vinall had broad access to financial and strategic confidential information of the nature and import that, if disclosed, left any of the plaintiffs susceptible to material harm or had the potential of significantly impairing their competitive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Mr. Vinall's participation in the identification of mill candidates for conversion to dissolving pulp does not stand as an exception. He was not part of management's pre-discussions as to whether and why a mill conversion might be a prudent growth mode for the organization. The strategic decision to explore that option as a possibility had already been made by those ranking above Mr. Vinall at the executive management level of Mr. Hoon and others, and by Mr. Tanoto himself, before he became aware of the matter and received instructions to carry out his small part. Mr. Vinall's assignment was simply to compile a list of recommended mill targets in collaboration with others and, on short notice, make a presentation at an early stage of the budgeting process. The assignment was not unique to Mr. Vinall; Ms. Li, Mr. Shaohua and probably Mr. Van Lee, each had received similar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In evidence was a Letter of Appointment dated December 3, 2009 to Mr. Vinall from the "Management Committee" of an unspecified entity, whose chairman was noted to be Jet Lee. The Letter of Appointment informed Mr. Vinall that effective January 1, 2010, he would be appointed as a technical advisor to support "Toba" (the owner of the Toba Mill). At that time, Toba was being evaluated as a potential acquisition by Sateri International Co. before it became a public company. I accept that Mr. Vinall received next to no background information about that potential purchase, which did not come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The plaintiffs referred to Mr. Vinall's appointment to provide technical advice at the Toba Mill to bolster their assertion that he functioned as a high-level Sateri executive beyond the bounds of the Bahia Mill. Yet, Mr. Goh admitted to being unaware of what tasks Mr. Vinall was or might have been called upon to perform in connection with that work assignment. Moreover, the evidence demonstrated that Mr. Vinall's few dealings with Toba, and specifically the Toba Mill, were basically limited to assisting in two areas. He provided his thoughts on the debottlenecking issue and input on technical matters as well as the preparation of two brief draft press releases all in connection with the idea that the Toba Mill might shift to a permanent production of dissolving pulp. There was no persuasive evidence that Mr. Vinall even carried out the priorities articulated in the Letter of Appointment, apart from those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As is apparent from the discussion at hand, but for a few inconsequential exceptions, all of the evidence elicited concerning Mr. Vinall's employment responsibilities in both the pre- and post-director scenarios, examined his functions and scope of authority, power and discretion in relation to the Bahia Mill and, minimally, with respect to the plantation.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The Bahia Mill is not itself a stand-alone corporation and nor is it a plaintiff. It is a business owned by Bahia Specialty, which is also not a plaintiff. Bahia Speciality is owned by Sateri Bacell, which is owned by Sateri Cellulose, which is, in turn, owned by the plaintiff, Sateri International Co. Accordingly, the only plaintiff with any interest in the entity that owns the Bahia Mill (Bahia Specialty) does not stand as a parent to its subsidiary; rather, it is three degrees removed and equivalent to a "great-grandparent" company. With respect to Norcell, which owns the plantation, Sateri International Co. is both a further step removed as a great-great-grandparent through Bahia Specialty, and a further step closer as a grandparent company through Sateri Copener.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To say that Mr. Vinall was charged with duties and responsibilities greater than the role of a mere servant is not, of itself, a helpful observation. Clearly, he was not a lowly servant at the Bahia Mill. But the focus of the analysis is to evaluate the nature and extent of Mr. Vinall's unilateral authority, power and discretion over the plaintiffs' vital affairs, and assess the vulnerability of their legal, economic and practical interests to his exercise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Mr. Goh's testimony stood out as remarkably skimpy as it concerned the nature of the businesses and internal management of each of the plaintiffs and Mr. Vinall's corresponding involvement, authority and impact. Significantly, Mr. Goh acknowledged that Mr. Vinall did not participate in overseeing the operations or the affairs of Sateri Shanghai or Sateri Singapore. Overall, the evidence revealed very little about how any of the plaintiffs might be vulnerable, even in theory, to the exercise of power or discretion granted to Mr. Vinall.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The Sateri organization followed a classically top-down management model, with a multi-layer hierarchy of management and authority over its various business interests. Although Mr. Vinall ran the Bahia Mill, he was not a member of the plaintiffs' upper management empowered to make decisions of consequence with regard to that business operation or any other. Although he was given the impressive title of "President of Upstream" and later "President Specialty Cellulose", Mr. Vinall was not an actual corporate officer of any plaintiff. The restrictions imposed upon his discretion, power, and authority were very much by design and his actions were significantly overseen by the superior ranks of executive management for the purpose and in a manner that effectively safeguarded the plaintiffs' interests and the valuable Bahia Mill. Though Mr. Vinall was expected to assume a significantly more enhanced management role once the Bahia Mill was running satisfactorily, for reasons already canvassed, that eventuality did not come about. Instead, and despite his impressive title, Mr. Vinall's power and authority remained narrow and highly controlled and his discretion significantly fettered and constrained. Had he been conferred with the extensive and high-level profit and loss power and authority for the upstream operation he had been recruited to do, he may well have owed fiduciary obligations to the plaintiffs. But he had not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xml:space="preserve">  In all, an examination of the nature and scope of the power, authority and discretion delegated to Mr. Vinall and his responsibilities with respect to the Bahia Mill, the planation and, more crucially, relative to the plaintiffs (and the other companies within the Sateri collection) shows that Mr. Vinall was not imbued with the distinguishing hallmarks of the fiduciary dynamic before he was appointed as a director. That is to say, he was not vested with the autonomy to exercise his limited delegated power, authority or discretion in a manner that could genuinely direct, affect or alter the legal, economic or vital practical interests of any of the plaintiffs or steer the management of their affairs. He did not undertake to act in an utterly selfless manner so as to elevate him to the stature of a fiduciary where no other basis to do so existed. Mr. Vinall's controlled and constrained authority did not leave the plaintiffs in a position of vulnerability. To borrow the parlance of Wilson J. in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the plaintiffs were not at his mercy. While I recognize it is possible for a fiduciary relationship to exist even where the elements under the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"rough and ready guide" are not present, that has not been established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As will be seen in the following sections, Mr. Vinall's conduct was not above reproach. He violated provisions of the Sateri Employment Contract and Declaration and breached his implied contractual duties of fidelity, good faith and loyalty. It is incumbent on the Court to avoid the trap of reading equity backwards by reasoning that, on account of that misconduct, Mr. Vinall owed fiduciary duties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Mr. Goh testified that Mr. Vinall's responsibilities and those of other senior management cut "across multiple companies" in the Sateri "Group". I do not accept his evidence as remotely accurate. Nevertheless, the plaintiffs asserted that based on his assertion, the language of the Sateri Employment Contract that links most of Mr. Vinall's contractual obligations to the wider "Group", and pursuant to the common employer doctrine, Mr. Vinall's fiduciary obligations (as well as his contractual ones) are owed to all members of the "Sateri International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xml:space="preserve">  In support of their assertion, the plaintiffs offered the following passage authored by Stacey Ball in the 1999 edition of his text, </w:t>
      </w:r>
      <w:r>
        <w:rPr>
          <w:rFonts w:ascii="arial" w:eastAsia="arial" w:hAnsi="arial" w:cs="arial"/>
          <w:i/>
          <w:color w:val="000000"/>
          <w:sz w:val="20"/>
          <w:lang w:val="en-US" w:eastAsia="en-US" w:bidi="ar-SA"/>
        </w:rPr>
        <w:t>Canadian Employment Law,</w:t>
      </w:r>
      <w:r>
        <w:rPr>
          <w:rFonts w:ascii="arial" w:eastAsia="arial" w:hAnsi="arial" w:cs="arial"/>
          <w:color w:val="000000"/>
          <w:sz w:val="20"/>
          <w:lang w:val="en-US" w:eastAsia="en-US" w:bidi="ar-SA"/>
        </w:rPr>
        <w:t xml:space="preserve"> adopted by the Ontario Court of Appeal in </w:t>
      </w:r>
      <w:r>
        <w:rPr>
          <w:rFonts w:ascii="arial" w:eastAsia="arial" w:hAnsi="arial" w:cs="arial"/>
          <w:i/>
          <w:color w:val="000000"/>
          <w:sz w:val="20"/>
          <w:lang w:val="en-US" w:eastAsia="en-US" w:bidi="ar-SA"/>
        </w:rPr>
        <w:t>Downtown Eatery (1993) Ltd. v. Ontario</w:t>
      </w:r>
      <w:r>
        <w:rPr>
          <w:rFonts w:ascii="arial" w:eastAsia="arial" w:hAnsi="arial" w:cs="arial"/>
          <w:color w:val="000000"/>
          <w:sz w:val="20"/>
          <w:lang w:val="en-US" w:eastAsia="en-US" w:bidi="ar-SA"/>
        </w:rPr>
        <w:t xml:space="preserve"> </w:t>
      </w:r>
      <w:hyperlink r:id="rId1016" w:history="1">
        <w:r>
          <w:rPr>
            <w:rFonts w:ascii="arial" w:eastAsia="arial" w:hAnsi="arial" w:cs="arial"/>
            <w:i/>
            <w:color w:val="0077CC"/>
            <w:sz w:val="20"/>
            <w:u w:val="single"/>
            <w:shd w:val="clear" w:color="auto" w:fill="FFFFFF"/>
            <w:lang w:val="en-US" w:eastAsia="en-US" w:bidi="ar-SA"/>
          </w:rPr>
          <w:t>(2001), 54 O.R. (3d) 161</w:t>
        </w:r>
      </w:hyperlink>
      <w:r>
        <w:rPr>
          <w:rFonts w:ascii="arial" w:eastAsia="arial" w:hAnsi="arial" w:cs="arial"/>
          <w:color w:val="000000"/>
          <w:sz w:val="20"/>
          <w:lang w:val="en-US" w:eastAsia="en-US" w:bidi="ar-SA"/>
        </w:rPr>
        <w:t xml:space="preserve"> at para. 1, leave to appeal refused, </w:t>
      </w:r>
      <w:hyperlink r:id="rId1017" w:history="1">
        <w:r>
          <w:rPr>
            <w:rFonts w:ascii="arial" w:eastAsia="arial" w:hAnsi="arial" w:cs="arial"/>
            <w:i/>
            <w:color w:val="0077CC"/>
            <w:sz w:val="20"/>
            <w:u w:val="single"/>
            <w:shd w:val="clear" w:color="auto" w:fill="FFFFFF"/>
            <w:lang w:val="en-US" w:eastAsia="en-US" w:bidi="ar-SA"/>
          </w:rPr>
          <w:t>[2001] S.C.C.A. No. 397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Downtown Eatery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courts now recognize that, for purposes of determining the contractual and fiduciary obligations which are owed by employers and employees, an individual can have more than one employer. The courts now regard the employment relationship as more than a matter of form and technical corporate structure. Consequently, the present law states that an individual may be employed by a number of different companies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xml:space="preserve">  In the 2013 update of Mr. Ball's text, </w:t>
      </w:r>
      <w:r>
        <w:rPr>
          <w:rFonts w:ascii="arial" w:eastAsia="arial" w:hAnsi="arial" w:cs="arial"/>
          <w:i/>
          <w:color w:val="000000"/>
          <w:sz w:val="20"/>
          <w:lang w:val="en-US" w:eastAsia="en-US" w:bidi="ar-SA"/>
        </w:rPr>
        <w:t>Canadian Employment Law</w:t>
      </w:r>
      <w:r>
        <w:rPr>
          <w:rFonts w:ascii="arial" w:eastAsia="arial" w:hAnsi="arial" w:cs="arial"/>
          <w:color w:val="000000"/>
          <w:sz w:val="20"/>
          <w:lang w:val="en-US" w:eastAsia="en-US" w:bidi="ar-SA"/>
        </w:rPr>
        <w:t>, loose-leaf (Toronto: Canada Law Book, 2013-) at s.13.30.3(5),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Fiduciary obligations referred to in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have been found to be owed not merely to the employee's immediate employer, but also to related companies of a corporate employer. Consequently, just as the courts will go behind the corporate veil and find an employee to be employed by a "group enterprise", fiduciary obligations can be owed to a "corporate group". This approach is sound in that, since corporate groups can owe employees common law obligations, there is nothing in policy or principle against a fiduciary employee owing obligations which extend beyond the technical employer in appropriate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xml:space="preserve">  Mr. Ball did not expand on what might count as an appropriate case. However, he cited two authorities for the propositions he endorsed: </w:t>
      </w:r>
      <w:r>
        <w:rPr>
          <w:rFonts w:ascii="arial" w:eastAsia="arial" w:hAnsi="arial" w:cs="arial"/>
          <w:i/>
          <w:color w:val="000000"/>
          <w:sz w:val="20"/>
          <w:lang w:val="en-US" w:eastAsia="en-US" w:bidi="ar-SA"/>
        </w:rPr>
        <w:t>Manley Inc. v. Fallis</w:t>
      </w:r>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(1977), 2 B.L.R. 277</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Manley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Imperial Sheet Metal Ltd. et. al. v. Landry and Gray Metal Products Inc.</w:t>
      </w:r>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2007 NBCA 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 Sheet Metal</w:t>
      </w:r>
      <w:r>
        <w:rPr>
          <w:rFonts w:ascii="arial" w:eastAsia="arial" w:hAnsi="arial" w:cs="arial"/>
          <w:color w:val="000000"/>
          <w:sz w:val="20"/>
          <w:lang w:val="en-US" w:eastAsia="en-US" w:bidi="ar-SA"/>
        </w:rPr>
        <w:t>]. No submissions were made in relation to either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Imperial Sheet Metal</w:t>
      </w:r>
      <w:r>
        <w:rPr>
          <w:rFonts w:ascii="arial" w:eastAsia="arial" w:hAnsi="arial" w:cs="arial"/>
          <w:color w:val="000000"/>
          <w:sz w:val="20"/>
          <w:lang w:val="en-US" w:eastAsia="en-US" w:bidi="ar-SA"/>
        </w:rPr>
        <w:t xml:space="preserve"> at para. 65, the court simply approved of the passage from Mr. Ball's text without addressing whether it applied in the case before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Manley</w:t>
      </w:r>
      <w:r>
        <w:rPr>
          <w:rFonts w:ascii="arial" w:eastAsia="arial" w:hAnsi="arial" w:cs="arial"/>
          <w:color w:val="000000"/>
          <w:sz w:val="20"/>
          <w:lang w:val="en-US" w:eastAsia="en-US" w:bidi="ar-SA"/>
        </w:rPr>
        <w:t>, the defendant employee was employed by Manley Popcorn of Canada Limited, which was a wholly-owned subsidiary of Manley Incorporated. The subsidiary dismissed the employee when it discovered that during the course of his employment he had established a business that competed with the parent company, although technically not with the subsidiary. The trial judge determined that in so doing the employee had breached his fiduciary duty to the employer-subsidiary.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On appeal, the employee conceded that although the business he set up may have been competing with the parent, it was not competing with his actual employer, the subsidiary. He argued that the trial judge had failed to distinguish between the parent and the subsidiary in this important context. At paras. 5-6, the Court of Appeal rejected his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Several issues were raised in Mr. Roebuck's able argument, but we need only refer to those upon which we called for argument by the respondents. The first point is the failure of the learned trial judge to make a distinction between the two respondent companies. It was submitted that the appellant's personal enterprise did not compete with or injure the business carried on by Manley Popcorn Canada Limited, the appellant's employer, as this company did not deal in the type of snack product machines sold by the appellant's enterprise. We are satisfied that in a case of this kind, it is open to the court to regard the Manley companies as constituting one business enterprise. In our view, it would undermine the requirement of fidelity to allow an employee to successfully argue that, while his activities may have injured the parent company of his employer, it did not in fact injure his employer.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This is a case where the court is not precluded from lifting the corporate veil, and, in effect, regarding the closely related respondent companies as essentially one trading enterprise, in the interests of the affiliated companies, in a circumstance where the refusal to do so would allow the appellant to escape the consequences of his breach of a fiduciary trust. Cases where this derogation of Salomon's case (</w:t>
      </w:r>
      <w:r>
        <w:rPr>
          <w:rFonts w:ascii="arial" w:eastAsia="arial" w:hAnsi="arial" w:cs="arial"/>
          <w:i/>
          <w:color w:val="000000"/>
          <w:sz w:val="20"/>
          <w:lang w:val="en-US" w:eastAsia="en-US" w:bidi="ar-SA"/>
        </w:rPr>
        <w:t>Salomon v. Salomon &amp; Co.</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[1897] A.C. 22</w:t>
        </w:r>
      </w:hyperlink>
      <w:r>
        <w:rPr>
          <w:rFonts w:ascii="arial" w:eastAsia="arial" w:hAnsi="arial" w:cs="arial"/>
          <w:color w:val="000000"/>
          <w:sz w:val="20"/>
          <w:lang w:val="en-US" w:eastAsia="en-US" w:bidi="ar-SA"/>
        </w:rPr>
        <w:t xml:space="preserve">) is permitted are collected in Professor Gower's textbook, Modern Company Law, 2nd ed., particularly in c. 10 entitled "Lifting the veil". There is a reference there to </w:t>
      </w:r>
      <w:r>
        <w:rPr>
          <w:rFonts w:ascii="arial" w:eastAsia="arial" w:hAnsi="arial" w:cs="arial"/>
          <w:i/>
          <w:color w:val="000000"/>
          <w:sz w:val="20"/>
          <w:lang w:val="en-US" w:eastAsia="en-US" w:bidi="ar-SA"/>
        </w:rPr>
        <w:t>Holdsworth &amp; Co. v. Caddies</w:t>
      </w:r>
      <w:r>
        <w:rPr>
          <w:rFonts w:ascii="arial" w:eastAsia="arial" w:hAnsi="arial" w:cs="arial"/>
          <w:color w:val="000000"/>
          <w:sz w:val="20"/>
          <w:lang w:val="en-US" w:eastAsia="en-US" w:bidi="ar-SA"/>
        </w:rPr>
        <w:t>, [1955] 1 W.L.R. 352, also reported at [1955] 1 All. E.R. 725. This is a decision of the House of Lords which in our opinion supports the author's analysis, which we adopt because of its brevity, as set out at p. 206. In referring to the essential unity of a group enterprise, he says: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Perhaps the most remarkable illustration is afforded by </w:t>
      </w:r>
      <w:r>
        <w:rPr>
          <w:rFonts w:ascii="arial" w:eastAsia="arial" w:hAnsi="arial" w:cs="arial"/>
          <w:i/>
          <w:color w:val="000000"/>
          <w:sz w:val="20"/>
          <w:lang w:val="en-US" w:eastAsia="en-US" w:bidi="ar-SA"/>
        </w:rPr>
        <w:t>Holdsworth &amp; Co. v. Caddies</w:t>
      </w:r>
      <w:r>
        <w:rPr>
          <w:rFonts w:ascii="arial" w:eastAsia="arial" w:hAnsi="arial" w:cs="arial"/>
          <w:color w:val="000000"/>
          <w:sz w:val="20"/>
          <w:lang w:val="en-US" w:eastAsia="en-US" w:bidi="ar-SA"/>
        </w:rPr>
        <w:t>. There, Mr. Caddies had been appointed managing director of the parent company upon the terms that he should 'perform the duties and exercise the powers in relation to the business of the company and the businesses ... of its existing subsidiary companies ... which may from time to time be assigned to or vested in him by the board of directors of the company.' After disagreements between him and the board he was directed to confine his attentions to one of the subsidiaries only. This was held not to be a breach of contract by the company, notwithstanding that it prevented him from working for the company employing him. The argument that the subsidiary companies were separate legal entities each under the control of its own board of directors' was described as 'too technical,' since 'an agreement in re mercatoria ... must be construed in the light of the facts and realities of the situation,' which were that the parent company had full control of the internal management of its subsidiaries.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"group enterprise" concept must obviously be carefully limited so that companies who seek the advantages of separate corporate personality must generally accept the corresponding burdens and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xml:space="preserve">  The common employer doctrine originated to enable the court to treat legally separate but interrelated entities as a single employer to protect the interests of employees against unjust treatment: </w:t>
      </w:r>
      <w:r>
        <w:rPr>
          <w:rFonts w:ascii="arial" w:eastAsia="arial" w:hAnsi="arial" w:cs="arial"/>
          <w:i/>
          <w:color w:val="000000"/>
          <w:sz w:val="20"/>
          <w:lang w:val="en-US" w:eastAsia="en-US" w:bidi="ar-SA"/>
        </w:rPr>
        <w:t>Downtown Eatery</w:t>
      </w:r>
      <w:r>
        <w:rPr>
          <w:rFonts w:ascii="arial" w:eastAsia="arial" w:hAnsi="arial" w:cs="arial"/>
          <w:color w:val="000000"/>
          <w:sz w:val="20"/>
          <w:lang w:val="en-US" w:eastAsia="en-US" w:bidi="ar-SA"/>
        </w:rPr>
        <w:t>. It frequently arises in wrongful dismissal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xml:space="preserve">  The plaintiffs did not make submissions about the judicial reception in this province of the group enterprise approach taken in </w:t>
      </w:r>
      <w:r>
        <w:rPr>
          <w:rFonts w:ascii="arial" w:eastAsia="arial" w:hAnsi="arial" w:cs="arial"/>
          <w:i/>
          <w:color w:val="000000"/>
          <w:sz w:val="20"/>
          <w:lang w:val="en-US" w:eastAsia="en-US" w:bidi="ar-SA"/>
        </w:rPr>
        <w:t>Manley</w:t>
      </w:r>
      <w:r>
        <w:rPr>
          <w:rFonts w:ascii="arial" w:eastAsia="arial" w:hAnsi="arial" w:cs="arial"/>
          <w:color w:val="000000"/>
          <w:sz w:val="20"/>
          <w:lang w:val="en-US" w:eastAsia="en-US" w:bidi="ar-SA"/>
        </w:rPr>
        <w:t xml:space="preserve"> or, more broadly, the circumstances in which the court may be prepared to apply it or the common employer doctrine to extend an </w:t>
      </w:r>
      <w:r>
        <w:rPr>
          <w:rFonts w:ascii="arial" w:eastAsia="arial" w:hAnsi="arial" w:cs="arial"/>
          <w:i/>
          <w:color w:val="000000"/>
          <w:sz w:val="20"/>
          <w:lang w:val="en-US" w:eastAsia="en-US" w:bidi="ar-SA"/>
        </w:rPr>
        <w:t>employee's</w:t>
      </w:r>
      <w:r>
        <w:rPr>
          <w:rFonts w:ascii="arial" w:eastAsia="arial" w:hAnsi="arial" w:cs="arial"/>
          <w:color w:val="000000"/>
          <w:sz w:val="20"/>
          <w:lang w:val="en-US" w:eastAsia="en-US" w:bidi="ar-SA"/>
        </w:rPr>
        <w:t xml:space="preserve"> liability for employment-related obligations among related companies in ways that ignore the separate legal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xml:space="preserve">  Additionally, there was a dearth of evidence of the factors that typically inform the analysis of whether corporations should be regarded a one, such as the integration of their businesses, directorships, management and financial matters, apart from their shareholdings and Mr. Tanoto's supreme control: see generally, </w:t>
      </w:r>
      <w:r>
        <w:rPr>
          <w:rFonts w:ascii="arial" w:eastAsia="arial" w:hAnsi="arial" w:cs="arial"/>
          <w:i/>
          <w:color w:val="000000"/>
          <w:sz w:val="20"/>
          <w:lang w:val="en-US" w:eastAsia="en-US" w:bidi="ar-SA"/>
        </w:rPr>
        <w:t>Bartholomay v. Sportica Internet Technologies Inc</w:t>
      </w:r>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2004 BCSC 508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xml:space="preserve">  Despite the holding in </w:t>
      </w:r>
      <w:r>
        <w:rPr>
          <w:rFonts w:ascii="arial" w:eastAsia="arial" w:hAnsi="arial" w:cs="arial"/>
          <w:i/>
          <w:color w:val="000000"/>
          <w:sz w:val="20"/>
          <w:lang w:val="en-US" w:eastAsia="en-US" w:bidi="ar-SA"/>
        </w:rPr>
        <w:t>Manley</w:t>
      </w:r>
      <w:r>
        <w:rPr>
          <w:rFonts w:ascii="arial" w:eastAsia="arial" w:hAnsi="arial" w:cs="arial"/>
          <w:color w:val="000000"/>
          <w:sz w:val="20"/>
          <w:lang w:val="en-US" w:eastAsia="en-US" w:bidi="ar-SA"/>
        </w:rPr>
        <w:t xml:space="preserve">, I am skeptical of the </w:t>
      </w:r>
      <w:r>
        <w:rPr>
          <w:rFonts w:ascii="arial" w:eastAsia="arial" w:hAnsi="arial" w:cs="arial"/>
          <w:i/>
          <w:color w:val="000000"/>
          <w:sz w:val="20"/>
          <w:lang w:val="en-US" w:eastAsia="en-US" w:bidi="ar-SA"/>
        </w:rPr>
        <w:t>quid pro quo</w:t>
      </w:r>
      <w:r>
        <w:rPr>
          <w:rFonts w:ascii="arial" w:eastAsia="arial" w:hAnsi="arial" w:cs="arial"/>
          <w:color w:val="000000"/>
          <w:sz w:val="20"/>
          <w:lang w:val="en-US" w:eastAsia="en-US" w:bidi="ar-SA"/>
        </w:rPr>
        <w:t xml:space="preserve"> reasoning that says simply because related corporate entities can owe duties to an employee of one of their affiliated companies, the employee may, in return, owe fiduciary duties to the corporate group as a whole. My thinking is that it would be a most exceptional, even rare, case that would justify finding that an employee owed a fiduciary duty to an affiliated company of the actual employer, solely on the basis of the interrelation between those companies, and where there is an absence of factors that support a fiduciary relationship with the affiliate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If the employee does not exercise a robust level of unilateral power, authority and discretion over the affiliate's vital interests and affairs and the affiliate is not vulnerable to the employee, it does not seem equitable to impose a fiduciary duty on that employee as regards the affiliate. In doing so, the so-called fiduciary employee, who is unable to meaningfully participate in the management of the affiliate or influence its affairs, is held to a stringent standard of conduct without being granted any of the powers normally associated with such a burden. The affiliated company thus reaps the benefit of being owed a fiduciary duty without ever assuming the risk of making itself vulnerable to the exercise of the discretion, power and authority of the employee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In my opinion, adherence to the foregoing approach would allow for a back door to create a fiduciary relationship where one would not otherwise exist and run afoul of the carefully developed jurisprudence on the principled approach to the fiduciary doctrine articulated by our highest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Moreover and in any event, Mr. Ball's remarks indicate that in order for the doctrine to apply, the employee must first owe fiduciary duties to his or her immediate employer. Only where that threshold exists, would the principle apply in appropriate cases to lift the corporate veil of the other corporations of the corporate group so as to extend the fiduciary employee's fiduciary obligations beyond the "technical employer" to the wider corporate group. That threshold connection has not been proven in this case.</w:t>
      </w:r>
      <w:r>
        <w:rPr>
          <w:rFonts w:ascii="arial" w:eastAsia="arial" w:hAnsi="arial" w:cs="arial"/>
          <w:sz w:val="20"/>
          <w:lang w:val="en-US" w:eastAsia="en-US" w:bidi="ar-SA"/>
        </w:rPr>
        <w:cr/>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Vinall's Directorships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Sateri's policy required satisfaction of only two preconditions before an employee could qualify for appointment as a director. First, he or she had to successfully pass the applicable probation period. In Mr. Vinall's case, that occurred in about July 2009. Second, the employee had to hold a reasonably senior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Mr. Vinall testified that Mr. Andrade, the lawyer at the Bahia Mill who did not report to him, routinely presented him with a stack of documents received from head office for signature with little and often no explanation of their contents. It was typical for Mr. Vinall to sign whatever documents Mr. Andrade placed before him without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The evidence indicated that some of the consents to act as director were emailed to Mr. Vinall for signature on about January 14, 2010 by an executive assistant in Singapore. I find that, except for those emailed documents, the consents to act as director and the few resolutions he signed were presented to Mr. Vinall among the batches of paper unceremoniously put under his nose by Mr. Andrade, although not necessarily on the dates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Mr. Vinall was aware that the Sateri Employment Contract stated he could be appointed a director of any company that fell within the broadly defined Sateri "Group" of companies, and that he was required to accept the appointment. He therefore gave it little thought and assumed that he was being appointed as a mere matter of corporate convenience and expediency.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Mr. Goh did not play any part in Mr. Vinall's directorship appointments. He had no insight into the reason behind those appointments and was unable to explain why they came about, other than to surmise that the board of Sateri International Co. had simply decided they were to be made. There was no evidence to indicate that Mr. Vinall was advised about the appointments in advance or after they were made, or was told what they entailed. He was not provided with any of the documents referred to in the consents, such as the memoranda and articles of incorporation. Mr. Vinall convincingly disavowed any knowledge of the subject matter of the resolutions, including the internal reorganization of Sateri International Co. that was recited in many of them. He was not given copies of the documents mentioned in those resolutions, such as the share exchange agreement and corporate bonds.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Mr. Vinall did not attend an official board meeting of any of the plaintiffs or any Sateri company of which he was made a director. He was not kept informed as to whether any such meetings had been convened, and was not supplied with an agenda or meeting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xml:space="preserve">  As mentioned, the plaintiffs assert that the law of fiduciary duty does not recognize a nominal, passive or dummy director. Their contention is that, as a matter of law, all directors owe fiduciary duties to their respective corporations. To that point and for the proposition that the existence of a director's fiduciary obligations does not depend upon his or her level of engagement in the management of the company, the plaintiffs place heavy reliance on </w:t>
      </w:r>
      <w:r>
        <w:rPr>
          <w:rFonts w:ascii="arial" w:eastAsia="arial" w:hAnsi="arial" w:cs="arial"/>
          <w:i/>
          <w:color w:val="000000"/>
          <w:sz w:val="20"/>
          <w:lang w:val="en-US" w:eastAsia="en-US" w:bidi="ar-SA"/>
        </w:rPr>
        <w:t>101109718 Saskatchewan Ltd. v. Agrikalium Potash Corp</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[2011] 9 W.W.R. 757</w:t>
        </w:r>
      </w:hyperlink>
      <w:r>
        <w:rPr>
          <w:rFonts w:ascii="arial" w:eastAsia="arial" w:hAnsi="arial" w:cs="arial"/>
          <w:color w:val="000000"/>
          <w:sz w:val="20"/>
          <w:lang w:val="en-US" w:eastAsia="en-US" w:bidi="ar-SA"/>
        </w:rPr>
        <w:t xml:space="preserve"> (Sask. C.A.) [</w:t>
      </w:r>
      <w:r>
        <w:rPr>
          <w:rFonts w:ascii="arial" w:eastAsia="arial" w:hAnsi="arial" w:cs="arial"/>
          <w:i/>
          <w:color w:val="000000"/>
          <w:sz w:val="20"/>
          <w:lang w:val="en-US" w:eastAsia="en-US" w:bidi="ar-SA"/>
        </w:rPr>
        <w:t>718 Saskatchewan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718 Saskatchewan</w:t>
      </w:r>
      <w:r>
        <w:rPr>
          <w:rFonts w:ascii="arial" w:eastAsia="arial" w:hAnsi="arial" w:cs="arial"/>
          <w:color w:val="000000"/>
          <w:sz w:val="20"/>
          <w:lang w:val="en-US" w:eastAsia="en-US" w:bidi="ar-SA"/>
        </w:rPr>
        <w:t xml:space="preserve"> involved an interlocutory application for an injunction that arose in relation to the applicants' claim that two former directors and officers, Medge and Mann, had breached their fiduciary duty by failing to disclose corporate opportunities and acting in a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xml:space="preserve">  The chambers judge considered the three-prong test for injunctive relief set out in </w:t>
      </w:r>
      <w:r>
        <w:rPr>
          <w:rFonts w:ascii="arial" w:eastAsia="arial" w:hAnsi="arial" w:cs="arial"/>
          <w:i/>
          <w:color w:val="000000"/>
          <w:sz w:val="20"/>
          <w:lang w:val="en-US" w:eastAsia="en-US" w:bidi="ar-SA"/>
        </w:rPr>
        <w:t>RJR-McDonald Inc. v. Canada (Attorney General)</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[1994] 1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RJR-MacDonald</w:t>
      </w:r>
      <w:r>
        <w:rPr>
          <w:rFonts w:ascii="arial" w:eastAsia="arial" w:hAnsi="arial" w:cs="arial"/>
          <w:color w:val="000000"/>
          <w:sz w:val="20"/>
          <w:lang w:val="en-US" w:eastAsia="en-US" w:bidi="ar-SA"/>
        </w:rPr>
        <w:t>]. He denied the injunction on the ground that there was no serious question to be tried as to whether Medge and Mann were fiduciaries and because the applicants failed to demonstrate that irreparable harm would occur if the injunction was not granted. In concluding there was no serious question to be tried, the chambers judge reasoned that Medge and Mann had fulfilled the primary tasks they had been instructed to carry out as directors and that, thereafter, they owed the applicants "minuscule" fiduciary duties only. Also relevant to the chambers judge was that, for some of the time, one of the directors had been totally excluded from participating in activities, negotiations or responsibilities for the corporate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The Saskatchewan Court of Appeal readily found that the chambers judge had erred in law by concluding there was no serious question to be tried in relation to the fiduciary duties owed by the directors. At paras. 14 and 15 the panel reasoned: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chambers judge] reached his conclusion in part because he failed to appreciate the argument that the fiduciary duty owed by a director arises simply by virtue of the individual being elected or appointed to office, remains throughout the duration of the director's tenure and may only be restricted by unanimous shareholders agreement (see ss. 117(1), 117(3) and 140(4) of </w:t>
      </w:r>
      <w:r>
        <w:rPr>
          <w:rFonts w:ascii="arial" w:eastAsia="arial" w:hAnsi="arial" w:cs="arial"/>
          <w:i/>
          <w:color w:val="000000"/>
          <w:sz w:val="20"/>
          <w:lang w:val="en-US" w:eastAsia="en-US" w:bidi="ar-SA"/>
        </w:rPr>
        <w:t>The Business Corporations Act</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R.S.S. 1978, c. B-10</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SBCAMr. Vinall"</w:t>
      </w:r>
      <w:r>
        <w:rPr>
          <w:rFonts w:ascii="arial" w:eastAsia="arial" w:hAnsi="arial" w:cs="arial"/>
          <w:color w:val="000000"/>
          <w:sz w:val="20"/>
          <w:lang w:val="en-US" w:eastAsia="en-US" w:bidi="ar-SA"/>
        </w:rPr>
        <w:t xml:space="preserve">)). As to what that fiduciary duty requires of a director, the Supreme Court of Canada, in </w:t>
      </w:r>
      <w:r>
        <w:rPr>
          <w:rFonts w:ascii="arial" w:eastAsia="arial" w:hAnsi="arial" w:cs="arial"/>
          <w:i/>
          <w:color w:val="000000"/>
          <w:sz w:val="20"/>
          <w:lang w:val="en-US" w:eastAsia="en-US" w:bidi="ar-SA"/>
        </w:rPr>
        <w:t>Re People's Department Stores</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2004 SCC 68</w:t>
        </w:r>
      </w:hyperlink>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[2004] 3 S.C.R. 461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 People's"</w:t>
      </w:r>
      <w:r>
        <w:rPr>
          <w:rFonts w:ascii="arial" w:eastAsia="arial" w:hAnsi="arial" w:cs="arial"/>
          <w:color w:val="000000"/>
          <w:sz w:val="20"/>
          <w:lang w:val="en-US" w:eastAsia="en-US" w:bidi="ar-SA"/>
        </w:rPr>
        <w:t xml:space="preserve">), described the fiduciary duty set forth in the concordant section of the </w:t>
      </w:r>
      <w:r>
        <w:rPr>
          <w:rFonts w:ascii="arial" w:eastAsia="arial" w:hAnsi="arial" w:cs="arial"/>
          <w:i/>
          <w:color w:val="000000"/>
          <w:sz w:val="20"/>
          <w:lang w:val="en-US" w:eastAsia="en-US" w:bidi="ar-SA"/>
        </w:rPr>
        <w:t>Canada Business Corporations Act</w:t>
      </w:r>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R.S.C. 1985, c. C-44</w:t>
        </w:r>
      </w:hyperlink>
      <w:r>
        <w:rPr>
          <w:rFonts w:ascii="arial" w:eastAsia="arial" w:hAnsi="arial" w:cs="arial"/>
          <w:color w:val="000000"/>
          <w:sz w:val="20"/>
          <w:lang w:val="en-US" w:eastAsia="en-US" w:bidi="ar-SA"/>
        </w:rPr>
        <w:t xml:space="preserve"> (s. 122(1)(a)), in the following general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statutory fiduciary duty requires directors and officers to act honestly and in good faith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corporation. They must respect the trust and confidence that have been reposed in them to manage the assets of the corporation in pursuit of the realization of the objects of the corporation. They must avoid conflicts of interest with the corporation. They must avoid abusing their position to gain personal benefit. They must maintain the confidentiality of information they acquire by virtue of their position. Directors and officers must serve the corporation selflessly, honestly and loyally: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On the basis of this preliminary investigation based on just those facts which were not in dispute (see above), the statutory fiduciary duty of a director as defined under the </w:t>
      </w:r>
      <w:r>
        <w:rPr>
          <w:rFonts w:ascii="arial" w:eastAsia="arial" w:hAnsi="arial" w:cs="arial"/>
          <w:i/>
          <w:color w:val="000000"/>
          <w:sz w:val="20"/>
          <w:lang w:val="en-US" w:eastAsia="en-US" w:bidi="ar-SA"/>
        </w:rPr>
        <w:t>SBCA</w:t>
      </w:r>
      <w:r>
        <w:rPr>
          <w:rFonts w:ascii="arial" w:eastAsia="arial" w:hAnsi="arial" w:cs="arial"/>
          <w:color w:val="000000"/>
          <w:sz w:val="20"/>
          <w:lang w:val="en-US" w:eastAsia="en-US" w:bidi="ar-SA"/>
        </w:rPr>
        <w:t xml:space="preserve"> and the Supreme Court's decision in </w:t>
      </w:r>
      <w:r>
        <w:rPr>
          <w:rFonts w:ascii="arial" w:eastAsia="arial" w:hAnsi="arial" w:cs="arial"/>
          <w:i/>
          <w:color w:val="000000"/>
          <w:sz w:val="20"/>
          <w:lang w:val="en-US" w:eastAsia="en-US" w:bidi="ar-SA"/>
        </w:rPr>
        <w:t>Re People's</w:t>
      </w:r>
      <w:r>
        <w:rPr>
          <w:rFonts w:ascii="arial" w:eastAsia="arial" w:hAnsi="arial" w:cs="arial"/>
          <w:color w:val="000000"/>
          <w:sz w:val="20"/>
          <w:lang w:val="en-US" w:eastAsia="en-US" w:bidi="ar-SA"/>
        </w:rPr>
        <w:t>, in my judgment, this matter gives rise to a serious question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The Court of Appeal added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 there is also a serious question to be tried as to whether the </w:t>
      </w:r>
      <w:r>
        <w:rPr>
          <w:rFonts w:ascii="arial" w:eastAsia="arial" w:hAnsi="arial" w:cs="arial"/>
          <w:i/>
          <w:color w:val="000000"/>
          <w:sz w:val="20"/>
          <w:lang w:val="en-US" w:eastAsia="en-US" w:bidi="ar-SA"/>
        </w:rPr>
        <w:t>SBCA</w:t>
      </w:r>
      <w:r>
        <w:rPr>
          <w:rFonts w:ascii="arial" w:eastAsia="arial" w:hAnsi="arial" w:cs="arial"/>
          <w:color w:val="000000"/>
          <w:sz w:val="20"/>
          <w:lang w:val="en-US" w:eastAsia="en-US" w:bidi="ar-SA"/>
        </w:rPr>
        <w:t xml:space="preserve"> recognises categories of directors who owe greater or lesser duties to their corporations depending on the nature or status of the tasks undertaken by or assigned to the director. To this point, the law has not typically recognised an animal such as a "nominal", "passive", "dummy", "puppet" or "eunuch"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Continuing at para. 18, the Court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Mr. Medge and Mr. Mann were directors of the Appellants. As directors, they owed a fiduciary duty to the Appellants. As part of a director's fiduciary duty, the director must avoid conflicts of interest with the corporation and otherwise serve the corporation selflessly, honestly and loyally. Mr. Medge and Mr. Mann are directors of the corporate Respondents. The corporate Respondents appear to have been competing with the Appellants. The Chambers judge need not have gone further than that limited review of the facts and the law to conclude this matter demonstrates a serious question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xml:space="preserve">  The chambers judge also held that the applicants had not proved the ingredient of irreparable harm, being the mandatory second branch of the </w:t>
      </w:r>
      <w:r>
        <w:rPr>
          <w:rFonts w:ascii="arial" w:eastAsia="arial" w:hAnsi="arial" w:cs="arial"/>
          <w:i/>
          <w:color w:val="000000"/>
          <w:sz w:val="20"/>
          <w:lang w:val="en-US" w:eastAsia="en-US" w:bidi="ar-SA"/>
        </w:rPr>
        <w:t>RJR-MacDonald</w:t>
      </w:r>
      <w:r>
        <w:rPr>
          <w:rFonts w:ascii="arial" w:eastAsia="arial" w:hAnsi="arial" w:cs="arial"/>
          <w:color w:val="000000"/>
          <w:sz w:val="20"/>
          <w:lang w:val="en-US" w:eastAsia="en-US" w:bidi="ar-SA"/>
        </w:rPr>
        <w:t xml:space="preserve"> test. The Court of Appeal did not interfere with that finding and on that basis, upheld the ruling of the chambers judge and dismissed the applicants'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xml:space="preserve">  In assessing the precedential value of </w:t>
      </w:r>
      <w:r>
        <w:rPr>
          <w:rFonts w:ascii="arial" w:eastAsia="arial" w:hAnsi="arial" w:cs="arial"/>
          <w:i/>
          <w:color w:val="000000"/>
          <w:sz w:val="20"/>
          <w:lang w:val="en-US" w:eastAsia="en-US" w:bidi="ar-SA"/>
        </w:rPr>
        <w:t>718 Saskatchewan</w:t>
      </w:r>
      <w:r>
        <w:rPr>
          <w:rFonts w:ascii="arial" w:eastAsia="arial" w:hAnsi="arial" w:cs="arial"/>
          <w:color w:val="000000"/>
          <w:sz w:val="20"/>
          <w:lang w:val="en-US" w:eastAsia="en-US" w:bidi="ar-SA"/>
        </w:rPr>
        <w:t xml:space="preserve">, it is significant that the Court of Appeal was called upon to determine whether the chambers judge erred when he concluded that there was no serious question about whether the directors owed fiduciary duties to the corporate applicants; it was not asked to and did not purport to decide the serious question itself. Under that first stage of the </w:t>
      </w:r>
      <w:r>
        <w:rPr>
          <w:rFonts w:ascii="arial" w:eastAsia="arial" w:hAnsi="arial" w:cs="arial"/>
          <w:i/>
          <w:color w:val="000000"/>
          <w:sz w:val="20"/>
          <w:lang w:val="en-US" w:eastAsia="en-US" w:bidi="ar-SA"/>
        </w:rPr>
        <w:t>RJR-McDonald</w:t>
      </w:r>
      <w:r>
        <w:rPr>
          <w:rFonts w:ascii="arial" w:eastAsia="arial" w:hAnsi="arial" w:cs="arial"/>
          <w:color w:val="000000"/>
          <w:sz w:val="20"/>
          <w:lang w:val="en-US" w:eastAsia="en-US" w:bidi="ar-SA"/>
        </w:rPr>
        <w:t xml:space="preserve"> analysis, the test merely requires the court to determine whether there was a serious question to be tried on the basis of common sense and an extremely limited review of the case on the merits. It is a low threshold. Basically, unless the case on the merits is frivolous or vexatious, the court is generally required to find the existence of a serious question to be tried and to move onto the next stages of the test: </w:t>
      </w:r>
      <w:r>
        <w:rPr>
          <w:rFonts w:ascii="arial" w:eastAsia="arial" w:hAnsi="arial" w:cs="arial"/>
          <w:i/>
          <w:color w:val="000000"/>
          <w:sz w:val="20"/>
          <w:lang w:val="en-US" w:eastAsia="en-US" w:bidi="ar-SA"/>
        </w:rPr>
        <w:t>RJR-McDonald</w:t>
      </w:r>
      <w:r>
        <w:rPr>
          <w:rFonts w:ascii="arial" w:eastAsia="arial" w:hAnsi="arial" w:cs="arial"/>
          <w:color w:val="000000"/>
          <w:sz w:val="20"/>
          <w:lang w:val="en-US" w:eastAsia="en-US" w:bidi="ar-SA"/>
        </w:rPr>
        <w:t xml:space="preserve"> at 348.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xml:space="preserve">  Accordingly, neither the chambers judge in </w:t>
      </w:r>
      <w:r>
        <w:rPr>
          <w:rFonts w:ascii="arial" w:eastAsia="arial" w:hAnsi="arial" w:cs="arial"/>
          <w:i/>
          <w:color w:val="000000"/>
          <w:sz w:val="20"/>
          <w:lang w:val="en-US" w:eastAsia="en-US" w:bidi="ar-SA"/>
        </w:rPr>
        <w:t>718 Saskatchewan</w:t>
      </w:r>
      <w:r>
        <w:rPr>
          <w:rFonts w:ascii="arial" w:eastAsia="arial" w:hAnsi="arial" w:cs="arial"/>
          <w:color w:val="000000"/>
          <w:sz w:val="20"/>
          <w:lang w:val="en-US" w:eastAsia="en-US" w:bidi="ar-SA"/>
        </w:rPr>
        <w:t xml:space="preserve"> nor the Court of Appeal was required to consider the jurisprudence on the law of fiduciaries in any depth. In particular, neither Court addressed the principle articulated by Sopinka J.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that, in special circumstances, the presumption that a director is imbued with the attributes recognized as inherent in the fiduciary relationship is rebuttable. While the Court of Appeal remarked that the law has not typically recognized "nominal" or "dummy" directors, it did not adjudicate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xml:space="preserve">  Another point of distinction that weakens the precedential weight to be accorded </w:t>
      </w:r>
      <w:r>
        <w:rPr>
          <w:rFonts w:ascii="arial" w:eastAsia="arial" w:hAnsi="arial" w:cs="arial"/>
          <w:i/>
          <w:color w:val="000000"/>
          <w:sz w:val="20"/>
          <w:lang w:val="en-US" w:eastAsia="en-US" w:bidi="ar-SA"/>
        </w:rPr>
        <w:t>718 Saskatchewan</w:t>
      </w:r>
      <w:r>
        <w:rPr>
          <w:rFonts w:ascii="arial" w:eastAsia="arial" w:hAnsi="arial" w:cs="arial"/>
          <w:color w:val="000000"/>
          <w:sz w:val="20"/>
          <w:lang w:val="en-US" w:eastAsia="en-US" w:bidi="ar-SA"/>
        </w:rPr>
        <w:t xml:space="preserve"> in deciding the case at hand, is that the Court of Appeal relied on the statutory provisions of the applicable provincial legislation that informed the fiduciary duty of the corporate directors. Whether Mr. Vinall was subject to similar statutory duties, and if yes, pursuant to what jurisdiction, was never raised or argued by any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xml:space="preserve">  In the end, I consider </w:t>
      </w:r>
      <w:r>
        <w:rPr>
          <w:rFonts w:ascii="arial" w:eastAsia="arial" w:hAnsi="arial" w:cs="arial"/>
          <w:i/>
          <w:color w:val="000000"/>
          <w:sz w:val="20"/>
          <w:lang w:val="en-US" w:eastAsia="en-US" w:bidi="ar-SA"/>
        </w:rPr>
        <w:t>718 Saskatchewan</w:t>
      </w:r>
      <w:r>
        <w:rPr>
          <w:rFonts w:ascii="arial" w:eastAsia="arial" w:hAnsi="arial" w:cs="arial"/>
          <w:color w:val="000000"/>
          <w:sz w:val="20"/>
          <w:lang w:val="en-US" w:eastAsia="en-US" w:bidi="ar-SA"/>
        </w:rPr>
        <w:t xml:space="preserve"> to be of negligible assistance in determining the central issue of whether Mr. Vinall owed a fiduciary duty to the plaintiffs of whom he was a director owing to his appointment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xml:space="preserve">  Similarly, in my assessment, the decision in </w:t>
      </w:r>
      <w:r>
        <w:rPr>
          <w:rFonts w:ascii="arial" w:eastAsia="arial" w:hAnsi="arial" w:cs="arial"/>
          <w:i/>
          <w:color w:val="000000"/>
          <w:sz w:val="20"/>
          <w:lang w:val="en-US" w:eastAsia="en-US" w:bidi="ar-SA"/>
        </w:rPr>
        <w:t>Three Ports Fisheries Limited v. Jeffrie</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2014 NSSC 228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Three Ports</w:t>
      </w:r>
      <w:r>
        <w:rPr>
          <w:rFonts w:ascii="arial" w:eastAsia="arial" w:hAnsi="arial" w:cs="arial"/>
          <w:color w:val="000000"/>
          <w:sz w:val="20"/>
          <w:lang w:val="en-US" w:eastAsia="en-US" w:bidi="ar-SA"/>
        </w:rPr>
        <w:t>], which the plaintiffs and Mr. Vinall rely upon, does not advance the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xml:space="preserve">  The plaintiffs appear to interpret </w:t>
      </w:r>
      <w:r>
        <w:rPr>
          <w:rFonts w:ascii="arial" w:eastAsia="arial" w:hAnsi="arial" w:cs="arial"/>
          <w:i/>
          <w:color w:val="000000"/>
          <w:sz w:val="20"/>
          <w:lang w:val="en-US" w:eastAsia="en-US" w:bidi="ar-SA"/>
        </w:rPr>
        <w:t>Three Ports</w:t>
      </w:r>
      <w:r>
        <w:rPr>
          <w:rFonts w:ascii="arial" w:eastAsia="arial" w:hAnsi="arial" w:cs="arial"/>
          <w:color w:val="000000"/>
          <w:sz w:val="20"/>
          <w:lang w:val="en-US" w:eastAsia="en-US" w:bidi="ar-SA"/>
        </w:rPr>
        <w:t xml:space="preserve"> as authority for the proposition that, as a matter of law, a director is invariably a fiduciary of and owes fiduciary obligations to the corporation that he or she serves. In my view, that interpretation is overbroad and cannot be sustained on a considered reading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Three Ports</w:t>
      </w:r>
      <w:r>
        <w:rPr>
          <w:rFonts w:ascii="arial" w:eastAsia="arial" w:hAnsi="arial" w:cs="arial"/>
          <w:color w:val="000000"/>
          <w:sz w:val="20"/>
          <w:lang w:val="en-US" w:eastAsia="en-US" w:bidi="ar-SA"/>
        </w:rPr>
        <w:t xml:space="preserve"> cited secondary authority that suggested courts do not need to undertake an analysis to determine whether a fiduciary duty exists between a director and corporation in each suggested instance of a breach of such duty. In doing so, however, the court did not pronounce that such duty cannot be rebutted through evidence that shows the characteristics typically underlying such a relationship are missing. Indeed, the court specifically referred to the rebuttable presumption in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relationship. Furthermore, at para. 25 </w:t>
      </w:r>
      <w:r>
        <w:rPr>
          <w:rFonts w:ascii="arial" w:eastAsia="arial" w:hAnsi="arial" w:cs="arial"/>
          <w:i/>
          <w:color w:val="000000"/>
          <w:sz w:val="20"/>
          <w:lang w:val="en-US" w:eastAsia="en-US" w:bidi="ar-SA"/>
        </w:rPr>
        <w:t>Three Ports</w:t>
      </w:r>
      <w:r>
        <w:rPr>
          <w:rFonts w:ascii="arial" w:eastAsia="arial" w:hAnsi="arial" w:cs="arial"/>
          <w:color w:val="000000"/>
          <w:sz w:val="20"/>
          <w:lang w:val="en-US" w:eastAsia="en-US" w:bidi="ar-SA"/>
        </w:rPr>
        <w:t xml:space="preserve"> explicitly referred to Sopinka J.'s discussion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to the effect that the presumption of the presence of fiduciary characteristics in traditional categories of fiduciary relationships is rebuttable in exceptional or special circumstances. Later in the judgment, the court acknowledged that the presumption that a director owes a fiduciary duty to the corporation may be rebutted with convincing and cogent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xml:space="preserve">  Moreover, the core issue engaged in </w:t>
      </w:r>
      <w:r>
        <w:rPr>
          <w:rFonts w:ascii="arial" w:eastAsia="arial" w:hAnsi="arial" w:cs="arial"/>
          <w:i/>
          <w:color w:val="000000"/>
          <w:sz w:val="20"/>
          <w:lang w:val="en-US" w:eastAsia="en-US" w:bidi="ar-SA"/>
        </w:rPr>
        <w:t>Three Ports</w:t>
      </w:r>
      <w:r>
        <w:rPr>
          <w:rFonts w:ascii="arial" w:eastAsia="arial" w:hAnsi="arial" w:cs="arial"/>
          <w:color w:val="000000"/>
          <w:sz w:val="20"/>
          <w:lang w:val="en-US" w:eastAsia="en-US" w:bidi="ar-SA"/>
        </w:rPr>
        <w:t xml:space="preserve"> was not whether the director stood in a fiduciary relationship to his corporation but, rather, the point at which he had effectively ceased being a director and, thus, no longer owed the corporation any fiduciary duties, even though a formal resignation had not been implemented and he remained a director in name only. The court did not analyze, nor purport to decide, the issue of whether the presumed fiduciary obligations between a director and corporation could be rebutted where the attributes innate to such a relationship were not present from its inception.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xml:space="preserve">  I have concluded that Mr. Vinall was not a fiduciary in relation to the plaintiffs and did not owe them fiduciary duties, under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the key employee test or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It is to be emphasized that his responsibilities and the nature and ambit of his power, autonomy and discretion did not change after he was appointed a director of Sateri International Co. and Sateri Singapore or the non-plaintiff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xml:space="preserve">  Mr. Vinall's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relationship with Sateri International Co. and Sateri Singapore borne out of his directorships of those corporations did not carry the essential characteristics inherent in a fiduciary relationship. I would add that the fact that Mr. Vinall had little choice under the provisions of the Sateri Employment Contract but to accept those appointments lends support to the finding that he did not enjoy the rank of a true fiduciary. So too does the fact that his job description and work assignments could be determined by his superiors at any time, and that he could be seconded to any of the companies within the "Group" at the pleasure of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xml:space="preserve">  I conclude that this is an exceptional case of the kind envisaged by Sopinka J.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where the presumption that Mr. Vinall's status as a director imposed fiduciary obligations upon him, has been rebutted by cogent evidence. Mr. Vinall's stature as a director of Sateri International Co. and Sateri Singapore simply does not suffice. This conclusion does not stem from a refashioning of any legal principle relative to the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relationship of director and corporation; it is the result of the application of an established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To conclude, in the material timeline Mr. Vinall was not in a fiduciary relationship with, and owed no fiduciary obligations to, any of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Allegations of Breach of Fiduciary Duties against Vinall and Knowing Assistance Claim against Fortress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In light of my findings, it is axiomatic that I need not consider whether Mr. Vinall acted in breach of his fiduciary duties. My conclusion that Mr. Vinall is not a fiduciary and owes no fiduciary duties to the plaintiffs, is likewise fatal to the plaintiffs' claim that Fortress is jointly and severally liable for Mr. Vinall's alleged breaches of fiduciary duty based on the doctrine of knowing assistance in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The plaintiffs did not proceed with their conspiracy claim and Mr. Vinall abandoned his counterclaim by which he sought payment of his 2009 bonus.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Left for consideration on the issue of liability are the plaintiffs' claims for breach of confidence, breach of contract (of both Mr. Vinall's implied and explicit contractual obligations) and the tort of inducement to breach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Also controversial are the availability and application of certain remedies.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Claims of Misuse of Plaintiffs' Confidential Information</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Overview of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xml:space="preserve">  The wrongful use or disclosure of confidential information may give rise to a number of causes of action. In the employment context, the claims may be grounded in the discrete but overlapping wrongs of breach of confidence, breach of an express term of an employment contract, and breach of the employee's implied contractual duty of good faith, fidelity and loyalty: </w:t>
      </w:r>
      <w:r>
        <w:rPr>
          <w:rFonts w:ascii="arial" w:eastAsia="arial" w:hAnsi="arial" w:cs="arial"/>
          <w:i/>
          <w:color w:val="000000"/>
          <w:sz w:val="20"/>
          <w:lang w:val="en-US" w:eastAsia="en-US" w:bidi="ar-SA"/>
        </w:rPr>
        <w:t>RBC Dominion Securities; McMahon</w:t>
      </w:r>
      <w:r>
        <w:rPr>
          <w:rFonts w:ascii="arial" w:eastAsia="arial" w:hAnsi="arial" w:cs="arial"/>
          <w:color w:val="000000"/>
          <w:sz w:val="20"/>
          <w:lang w:val="en-US" w:eastAsia="en-US" w:bidi="ar-SA"/>
        </w:rPr>
        <w:t>. Such claims are frequently accompanied by a claim against a third party for misuse of the plaintiff's confidential information. All of these causes of action are alleged by the plaintiffs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The plaintiffs also alleged that Mr. Vinall's misuse of their confidential and proprietary information constituted a breach of his fiduciary duty. Because I have concluded that Mr. Vinall does not owe fiduciary obligations to the plaintiffs, I have not considered the breach of confidentiality claims within that frame of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xml:space="preserve">  Breach of confidence is a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hybrid claim with roots in the common law and in equity: </w:t>
      </w:r>
      <w:r>
        <w:rPr>
          <w:rFonts w:ascii="arial" w:eastAsia="arial" w:hAnsi="arial" w:cs="arial"/>
          <w:i/>
          <w:color w:val="000000"/>
          <w:sz w:val="20"/>
          <w:lang w:val="en-US" w:eastAsia="en-US" w:bidi="ar-SA"/>
        </w:rPr>
        <w:t>Cadbury Schweppes Inc. v. FBI Foods Ltd.,</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[1999] 1 S.C.R. 142</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The three-part test for the claim of breach of confidence was affirmed by La Forest J., for the majority on this point,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at 635-635: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whether there has been a breach of confidence is not seriously disputed by the parties. It consists in establishing three elements: that the information conveyed was confidential, that it was communicated in confidence, and that it was misused by the party to whom it was communicated. In </w:t>
      </w:r>
      <w:r>
        <w:rPr>
          <w:rFonts w:ascii="arial" w:eastAsia="arial" w:hAnsi="arial" w:cs="arial"/>
          <w:i/>
          <w:color w:val="000000"/>
          <w:sz w:val="20"/>
          <w:lang w:val="en-US" w:eastAsia="en-US" w:bidi="ar-SA"/>
        </w:rPr>
        <w:t>Coco v. A.N. Clark (Engineers) Ltd.</w:t>
      </w:r>
      <w:r>
        <w:rPr>
          <w:rFonts w:ascii="arial" w:eastAsia="arial" w:hAnsi="arial" w:cs="arial"/>
          <w:color w:val="000000"/>
          <w:sz w:val="20"/>
          <w:lang w:val="en-US" w:eastAsia="en-US" w:bidi="ar-SA"/>
        </w:rPr>
        <w:t>, [1969] R.P.C. 41 (Ch.), Megarry J. (as he then was) put it as follows at p. 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judgment, three elements are normally required if, apart from contract, a case of breach of confidence is to succeed. First, the information itself, in the words of Lord Greene, M.R. in the </w:t>
      </w:r>
      <w:r>
        <w:rPr>
          <w:rFonts w:ascii="arial" w:eastAsia="arial" w:hAnsi="arial" w:cs="arial"/>
          <w:i/>
          <w:color w:val="000000"/>
          <w:sz w:val="20"/>
          <w:lang w:val="en-US" w:eastAsia="en-US" w:bidi="ar-SA"/>
        </w:rPr>
        <w:t>Saltman</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Saltman Engineering Co v. Campbell Engineering Co.</w:t>
      </w:r>
      <w:r>
        <w:rPr>
          <w:rFonts w:ascii="arial" w:eastAsia="arial" w:hAnsi="arial" w:cs="arial"/>
          <w:color w:val="000000"/>
          <w:sz w:val="20"/>
          <w:lang w:val="en-US" w:eastAsia="en-US" w:bidi="ar-SA"/>
        </w:rPr>
        <w:t xml:space="preserve"> (1948), 65 R.P.C. 203 (C.A.)] on page 215, must "have the necessary quality of confidence about it." Secondly, that information must have been imparted in circumstances importing an obligation of confidence. Thirdly, there must be an unauthorized use of that information to the detriment of the party communicating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Sopinka J. provided this succinct iteration of the test at 608:</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must have a necessary quality of confidence about it;</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under which the information was imparted must give rise to an obligation of confidence; and,</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made unauthorized use of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xml:space="preserve">  At 610, Sopinka J. adopted the oft-cited definition of the meaning of necessary quality of confidence from the following passage in </w:t>
      </w:r>
      <w:r>
        <w:rPr>
          <w:rFonts w:ascii="arial" w:eastAsia="arial" w:hAnsi="arial" w:cs="arial"/>
          <w:i/>
          <w:color w:val="000000"/>
          <w:sz w:val="20"/>
          <w:lang w:val="en-US" w:eastAsia="en-US" w:bidi="ar-SA"/>
        </w:rPr>
        <w:t>Saltman Engineering Co.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Campbell Engineering Co</w:t>
      </w:r>
      <w:r>
        <w:rPr>
          <w:rFonts w:ascii="arial" w:eastAsia="arial" w:hAnsi="arial" w:cs="arial"/>
          <w:color w:val="000000"/>
          <w:sz w:val="20"/>
          <w:lang w:val="en-US" w:eastAsia="en-US" w:bidi="ar-SA"/>
        </w:rPr>
        <w:t>. (1948), 65 R.P.C. 203 (C.A.) (leave to appeal to House of Lords refused) at 610: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I shall not be stating the principle wrongly if I say this with regard to the use of confidential information. The information, to be confidential, must, I apprehend, apart from contract, have the necessary quality of confidence about it, namely, it must not be something which is public property and public knowledge. On the other hand, it is perfectly possible to have a confidential document, be it a formula, a plan, a sketch, or something of that kind, which is the result of work done by the maker upon materials which may be available for the use of anybody; but what makes it confidential is the fact that the maker of the document has used his brain and thus produced a result which can only be produced by somebody who goes through the same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xml:space="preserve">  Sopinka J. endorsed two general categories of confidential information: information that is confidential because it has not been made public; and information that may have been assembled from publicly available materials, but amounts to a confidential work product because its assembly required the application of some independent thought process: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at 610.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xml:space="preserve">  There is also authority for the proposition that information generally known within a particular industry may not qualify as confidential: </w:t>
      </w:r>
      <w:r>
        <w:rPr>
          <w:rFonts w:ascii="arial" w:eastAsia="arial" w:hAnsi="arial" w:cs="arial"/>
          <w:i/>
          <w:color w:val="000000"/>
          <w:sz w:val="20"/>
          <w:lang w:val="en-US" w:eastAsia="en-US" w:bidi="ar-SA"/>
        </w:rPr>
        <w:t>Monarch Messenger Services Ltd. v. Houlding</w:t>
      </w:r>
      <w:r>
        <w:rPr>
          <w:rFonts w:ascii="arial" w:eastAsia="arial" w:hAnsi="arial" w:cs="arial"/>
          <w:color w:val="000000"/>
          <w:sz w:val="20"/>
          <w:lang w:val="en-US" w:eastAsia="en-US" w:bidi="ar-SA"/>
        </w:rPr>
        <w:t xml:space="preserve"> (1984), </w:t>
      </w:r>
      <w:hyperlink r:id="rId1029" w:history="1">
        <w:r>
          <w:rPr>
            <w:rFonts w:ascii="arial" w:eastAsia="arial" w:hAnsi="arial" w:cs="arial"/>
            <w:i/>
            <w:color w:val="0077CC"/>
            <w:sz w:val="20"/>
            <w:u w:val="single"/>
            <w:shd w:val="clear" w:color="auto" w:fill="FFFFFF"/>
            <w:lang w:val="en-US" w:eastAsia="en-US" w:bidi="ar-SA"/>
          </w:rPr>
          <w:t>[1984] A.J. No. 1018</w:t>
        </w:r>
      </w:hyperlink>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56 A.R. 147</w:t>
        </w:r>
      </w:hyperlink>
      <w:r>
        <w:rPr>
          <w:rFonts w:ascii="arial" w:eastAsia="arial" w:hAnsi="arial" w:cs="arial"/>
          <w:color w:val="000000"/>
          <w:sz w:val="20"/>
          <w:lang w:val="en-US" w:eastAsia="en-US" w:bidi="ar-SA"/>
        </w:rPr>
        <w:t xml:space="preserve">, (Alta. Q.B.) at para. 18; </w:t>
      </w:r>
      <w:r>
        <w:rPr>
          <w:rFonts w:ascii="arial" w:eastAsia="arial" w:hAnsi="arial" w:cs="arial"/>
          <w:i/>
          <w:color w:val="000000"/>
          <w:sz w:val="20"/>
          <w:lang w:val="en-US" w:eastAsia="en-US" w:bidi="ar-SA"/>
        </w:rPr>
        <w:t>Lake Mechanical Systems Corp. v. Crandell Mechanical Systems Inc.</w:t>
      </w:r>
      <w:r>
        <w:rPr>
          <w:rFonts w:ascii="arial" w:eastAsia="arial" w:hAnsi="arial" w:cs="arial"/>
          <w:color w:val="000000"/>
          <w:sz w:val="20"/>
          <w:lang w:val="en-US" w:eastAsia="en-US" w:bidi="ar-SA"/>
        </w:rPr>
        <w:t>, [1985] B.C.W.L.D. 2373, [1985] B.C.W.L.D. 2422.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xml:space="preserve">  The threshold for establishing confidentiality is a low one. However, the law recognizes a continuum of specialness with respect to confidentiality, and that the placement of such information on that continuum may affect the remedy awarded for a breach: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xml:space="preserve"> at paras. 75-76.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 Limits Sportswear Inc. v. 0192139 BC Ltd.</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2015 BCSC 1698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 Limits</w:t>
      </w:r>
      <w:r>
        <w:rPr>
          <w:rFonts w:ascii="arial" w:eastAsia="arial" w:hAnsi="arial" w:cs="arial"/>
          <w:color w:val="000000"/>
          <w:sz w:val="20"/>
          <w:lang w:val="en-US" w:eastAsia="en-US" w:bidi="ar-SA"/>
        </w:rPr>
        <w:t>], Griffin J. provided a helpful overview of the principles that inform the second constituent ingredient of a breach of confidence claim, namely that the circumstances in which the information was conveyed give rise to an obligation of confidence: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An obligation to keep information confidential may arise by express contract, or by implication based on the circumstances and relationship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Even if no mention of confidentiality is made, a communication may be considered to have been made in confidence if there was a mutual understanding that the parties were working towards a joint venture or some other business arrangement: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at 612-613.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at 612-613, and at 642, the Court adopted the following passage of the judgment of Megarry J. in </w:t>
      </w:r>
      <w:r>
        <w:rPr>
          <w:rFonts w:ascii="arial" w:eastAsia="arial" w:hAnsi="arial" w:cs="arial"/>
          <w:i/>
          <w:color w:val="000000"/>
          <w:sz w:val="20"/>
          <w:lang w:val="en-US" w:eastAsia="en-US" w:bidi="ar-SA"/>
        </w:rPr>
        <w:t>Coco v. A.N. Clark (Engineers) Ltd.</w:t>
      </w:r>
      <w:r>
        <w:rPr>
          <w:rFonts w:ascii="arial" w:eastAsia="arial" w:hAnsi="arial" w:cs="arial"/>
          <w:color w:val="000000"/>
          <w:sz w:val="20"/>
          <w:lang w:val="en-US" w:eastAsia="en-US" w:bidi="ar-SA"/>
        </w:rPr>
        <w:t>, [1969] R.P.C. 41. at 48: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particular, where information of commercial or industrial value is given on a business-like basis and with some avowed common object in mind, such as a joint venture or the manufacture of articles by one party for the other, I would regard the recipient as carrying a heavy burden if he seeks to repel a contention that he was bound by an obligation of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La Forest J. confirmed that a party's receipt of confidential information in circumstances of confidence established a duty that the recipient party will not use that information. The use of confidential information other than in the permitted way therefore constitutes misuse. At 642, La Forest J. explained that where it is shown that the confidential information was used by the defendant, the burden then falls to the defendant to demonstrate that it was a permitted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Sabre Inc. v. International Air Transport Assn.</w:t>
      </w:r>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2011 ONCA 747</w:t>
        </w:r>
      </w:hyperlink>
      <w:r>
        <w:rPr>
          <w:rFonts w:ascii="arial" w:eastAsia="arial" w:hAnsi="arial" w:cs="arial"/>
          <w:color w:val="000000"/>
          <w:sz w:val="20"/>
          <w:lang w:val="en-US" w:eastAsia="en-US" w:bidi="ar-SA"/>
        </w:rPr>
        <w:t xml:space="preserve">, it was argued that, as a matter of law, the passage from </w:t>
      </w:r>
      <w:r>
        <w:rPr>
          <w:rFonts w:ascii="arial" w:eastAsia="arial" w:hAnsi="arial" w:cs="arial"/>
          <w:i/>
          <w:color w:val="000000"/>
          <w:sz w:val="20"/>
          <w:lang w:val="en-US" w:eastAsia="en-US" w:bidi="ar-SA"/>
        </w:rPr>
        <w:t>Coco v. A.N. Clark (Engineers) Ltd.</w:t>
      </w:r>
      <w:r>
        <w:rPr>
          <w:rFonts w:ascii="arial" w:eastAsia="arial" w:hAnsi="arial" w:cs="arial"/>
          <w:color w:val="000000"/>
          <w:sz w:val="20"/>
          <w:lang w:val="en-US" w:eastAsia="en-US" w:bidi="ar-SA"/>
        </w:rPr>
        <w:t xml:space="preserve">, [1969] R.P.C. 41 cited approvingly by La Forest J.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established the "doctrine" that the legal or ultimate burden moves from the plaintiff to the defendant where certain factual prerequisites are made out. In rejecting that interpretation, Doherty J.A. explained the proper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 do not read the passage as intending to move the legal burden of proof. In my view, an approach that would shift the burden upon certain facts being established would undermine the fact-sensitive inquiry demanded by the determination of whether a reasonable person in the circumstances would understand that the information was given in confidence. The evidentiary weight to be given to any particular fact or constellation of facts must depend on the trier of fact's assessment of the entirety of the factual picture. To regard certain facts as always shifting the legal burden of proof is to distort the reasonable person inquiry.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 think Megarry J. in </w:t>
      </w:r>
      <w:r>
        <w:rPr>
          <w:rFonts w:ascii="arial" w:eastAsia="arial" w:hAnsi="arial" w:cs="arial"/>
          <w:i/>
          <w:color w:val="000000"/>
          <w:sz w:val="20"/>
          <w:lang w:val="en-US" w:eastAsia="en-US" w:bidi="ar-SA"/>
        </w:rPr>
        <w:t>Coco</w:t>
      </w:r>
      <w:r>
        <w:rPr>
          <w:rFonts w:ascii="arial" w:eastAsia="arial" w:hAnsi="arial" w:cs="arial"/>
          <w:color w:val="000000"/>
          <w:sz w:val="20"/>
          <w:lang w:val="en-US" w:eastAsia="en-US" w:bidi="ar-SA"/>
        </w:rPr>
        <w:t xml:space="preserve"> was describing his assessment of the impact of certain important facts on the confidentiality claim made in the case before him. His Lordship was satisfied that the value of the information, the business-like basis upon which the information was provided, and the joint venture nature of the discussions in which the information was provided, combined to place a heavy evidentiary burden on the defendant. Megarry J. was responding to the evidence he heard and the nature of the confidentiality claim made in that case. He was not pronouncing any legal doctrine. Nor do the references to the passages from </w:t>
      </w:r>
      <w:r>
        <w:rPr>
          <w:rFonts w:ascii="arial" w:eastAsia="arial" w:hAnsi="arial" w:cs="arial"/>
          <w:i/>
          <w:color w:val="000000"/>
          <w:sz w:val="20"/>
          <w:lang w:val="en-US" w:eastAsia="en-US" w:bidi="ar-SA"/>
        </w:rPr>
        <w:t>Coco</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LAC Minerals Ltd</w:t>
      </w:r>
      <w:r>
        <w:rPr>
          <w:rFonts w:ascii="arial" w:eastAsia="arial" w:hAnsi="arial" w:cs="arial"/>
          <w:color w:val="000000"/>
          <w:sz w:val="20"/>
          <w:lang w:val="en-US" w:eastAsia="en-US" w:bidi="ar-SA"/>
        </w:rPr>
        <w:t>. elevate Megarry J.'s comments to the status of legal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xml:space="preserve">  This third mandatory element appears to contemplate that the misuse of the information must be to the detriment of the confider of the information. In the words of La Forest J., if confidential information is used by the recipient for a purpose other than that for which it was conveyed, "and detriment to the confider results, the confider will be entitled to a remedy":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at 638-639.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 Limits</w:t>
      </w:r>
      <w:r>
        <w:rPr>
          <w:rFonts w:ascii="arial" w:eastAsia="arial" w:hAnsi="arial" w:cs="arial"/>
          <w:color w:val="000000"/>
          <w:sz w:val="20"/>
          <w:lang w:val="en-US" w:eastAsia="en-US" w:bidi="ar-SA"/>
        </w:rPr>
        <w:t xml:space="preserve">, Griffin J. observed, at paras. 25-30, that the law is unsettled on whether the feature of detriment is essential to complete the cause of action of breach of confidence. In the course of her thoughtful analysis, her Ladyship commented that while the Court in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xml:space="preserve"> did not rule on whether detriment was a requisite ingredient to establish the claim, the reasoning of Binnie J., for the Court, at paras. 52-54, was supportive of the principle that general damages for breach of confidence cannot be awarded where the plaintiff has asserted, but failed to prove, that the breach caused financial loss:</w:t>
      </w:r>
      <w:r>
        <w:rPr>
          <w:rFonts w:ascii="arial" w:eastAsia="arial" w:hAnsi="arial" w:cs="arial"/>
          <w:sz w:val="20"/>
          <w:lang w:val="en-US" w:eastAsia="en-US" w:bidi="ar-SA"/>
        </w:rPr>
        <w:cr/>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Relevance of Detriment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La Forest J. said in Lac Minerals that if the plaintiff is able to establish that the defendant made an unauthorized use of the information </w:t>
      </w:r>
      <w:r>
        <w:rPr>
          <w:rFonts w:ascii="arial" w:eastAsia="arial" w:hAnsi="arial" w:cs="arial"/>
          <w:color w:val="000000"/>
          <w:sz w:val="20"/>
          <w:u w:val="single"/>
          <w:lang w:val="en-US" w:eastAsia="en-US" w:bidi="ar-SA"/>
        </w:rPr>
        <w:t>to the detriment</w:t>
      </w:r>
      <w:r>
        <w:rPr>
          <w:rFonts w:ascii="arial" w:eastAsia="arial" w:hAnsi="arial" w:cs="arial"/>
          <w:color w:val="000000"/>
          <w:sz w:val="20"/>
          <w:lang w:val="en-US" w:eastAsia="en-US" w:bidi="ar-SA"/>
        </w:rPr>
        <w:t xml:space="preserve"> of the party communicating it, the cause of action is complete (at pp. 635-36 and 657; see also ICAM Technologies Corp. v. EBCO Industries Ltd. </w:t>
      </w:r>
      <w:hyperlink r:id="rId1032" w:history="1">
        <w:r>
          <w:rPr>
            <w:rFonts w:ascii="arial" w:eastAsia="arial" w:hAnsi="arial" w:cs="arial"/>
            <w:i/>
            <w:color w:val="0077CC"/>
            <w:sz w:val="20"/>
            <w:u w:val="single"/>
            <w:shd w:val="clear" w:color="auto" w:fill="FFFFFF"/>
            <w:lang w:val="en-US" w:eastAsia="en-US" w:bidi="ar-SA"/>
          </w:rPr>
          <w:t>(1991), 36 C.P.R. (3d) 504</w:t>
        </w:r>
      </w:hyperlink>
      <w:r>
        <w:rPr>
          <w:rFonts w:ascii="arial" w:eastAsia="arial" w:hAnsi="arial" w:cs="arial"/>
          <w:color w:val="000000"/>
          <w:sz w:val="20"/>
          <w:lang w:val="en-US" w:eastAsia="en-US" w:bidi="ar-SA"/>
        </w:rPr>
        <w:t xml:space="preserve"> (B.C.S.C.), affirmed </w:t>
      </w:r>
      <w:hyperlink r:id="rId1033" w:history="1">
        <w:r>
          <w:rPr>
            <w:rFonts w:ascii="arial" w:eastAsia="arial" w:hAnsi="arial" w:cs="arial"/>
            <w:i/>
            <w:color w:val="0077CC"/>
            <w:sz w:val="20"/>
            <w:u w:val="single"/>
            <w:shd w:val="clear" w:color="auto" w:fill="FFFFFF"/>
            <w:lang w:val="en-US" w:eastAsia="en-US" w:bidi="ar-SA"/>
          </w:rPr>
          <w:t>(1993), 52 C.P.R. (3d) 61</w:t>
        </w:r>
      </w:hyperlink>
      <w:r>
        <w:rPr>
          <w:rFonts w:ascii="arial" w:eastAsia="arial" w:hAnsi="arial" w:cs="arial"/>
          <w:color w:val="000000"/>
          <w:sz w:val="20"/>
          <w:lang w:val="en-US" w:eastAsia="en-US" w:bidi="ar-SA"/>
        </w:rPr>
        <w:t xml:space="preserve"> (B.C.C.A.), per Toy J.A., at pp. 63-64; Ontex Resources Ltd. v. Metalore Resources Ltd. </w:t>
      </w:r>
      <w:hyperlink r:id="rId1034" w:history="1">
        <w:r>
          <w:rPr>
            <w:rFonts w:ascii="arial" w:eastAsia="arial" w:hAnsi="arial" w:cs="arial"/>
            <w:i/>
            <w:color w:val="0077CC"/>
            <w:sz w:val="20"/>
            <w:u w:val="single"/>
            <w:shd w:val="clear" w:color="auto" w:fill="FFFFFF"/>
            <w:lang w:val="en-US" w:eastAsia="en-US" w:bidi="ar-SA"/>
          </w:rPr>
          <w:t>(1993), 13 O.R. (3d) 229</w:t>
        </w:r>
      </w:hyperlink>
      <w:r>
        <w:rPr>
          <w:rFonts w:ascii="arial" w:eastAsia="arial" w:hAnsi="arial" w:cs="arial"/>
          <w:color w:val="000000"/>
          <w:sz w:val="20"/>
          <w:lang w:val="en-US" w:eastAsia="en-US" w:bidi="ar-SA"/>
        </w:rPr>
        <w:t xml:space="preserve"> (C.A.); 655 Developments Ltd. v. Chester Dawe Ltd. </w:t>
      </w:r>
      <w:hyperlink r:id="rId1035" w:history="1">
        <w:r>
          <w:rPr>
            <w:rFonts w:ascii="arial" w:eastAsia="arial" w:hAnsi="arial" w:cs="arial"/>
            <w:i/>
            <w:color w:val="0077CC"/>
            <w:sz w:val="20"/>
            <w:u w:val="single"/>
            <w:shd w:val="clear" w:color="auto" w:fill="FFFFFF"/>
            <w:lang w:val="en-US" w:eastAsia="en-US" w:bidi="ar-SA"/>
          </w:rPr>
          <w:t>(1992), 42 C.P.R. (3d) 500</w:t>
        </w:r>
      </w:hyperlink>
      <w:r>
        <w:rPr>
          <w:rFonts w:ascii="arial" w:eastAsia="arial" w:hAnsi="arial" w:cs="arial"/>
          <w:color w:val="000000"/>
          <w:sz w:val="20"/>
          <w:lang w:val="en-US" w:eastAsia="en-US" w:bidi="ar-SA"/>
        </w:rPr>
        <w:t xml:space="preserve"> (Nfld.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w:t>
      </w:r>
      <w:r>
        <w:rPr>
          <w:rFonts w:ascii="arial" w:eastAsia="arial" w:hAnsi="arial" w:cs="arial"/>
          <w:color w:val="000000"/>
          <w:sz w:val="20"/>
          <w:u w:val="single"/>
          <w:lang w:val="en-US" w:eastAsia="en-US" w:bidi="ar-SA"/>
        </w:rPr>
        <w:t>The issue of detriment arises in this case because the trial judge made a specific finding that the respondents had not suffered financial loss, yet she proceeded to find liability and award damages "in the interest of fairness"</w:t>
      </w:r>
      <w:r>
        <w:rPr>
          <w:rFonts w:ascii="arial" w:eastAsia="arial" w:hAnsi="arial" w:cs="arial"/>
          <w:color w:val="000000"/>
          <w:sz w:val="20"/>
          <w:lang w:val="en-US" w:eastAsia="en-US" w:bidi="ar-SA"/>
        </w:rPr>
        <w:t>. While La Forest J. in Lac Minerals considered detriment to be an essential element of the breach of confidence action (Sopinka J. did not express a view on this point in his discussion of the applicable principles), it is clear that La Forest J. regarded detriment as a broad concept, large enough for example to include the emotional or psychological distress that would result from the disclosure of intimate information (see, e.g., Argyll (Duchess) v. Argyll (Duke), [1967] Ch. 302. In the Spycatcher case, supra, Lord Keith of Kinkel observed, at p. 256, that in some circumstances the disclosure itself might be sufficient without more to constitute detriment: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I would think it a sufficient detriment to the confider that information given in confidence is to be disclosed to persons whom he would prefer not to know of it, even though the disclosure would not be harmful to him in any positive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w:t>
      </w:r>
      <w:r>
        <w:rPr>
          <w:rFonts w:ascii="arial" w:eastAsia="arial" w:hAnsi="arial" w:cs="arial"/>
          <w:color w:val="000000"/>
          <w:sz w:val="20"/>
          <w:u w:val="single"/>
          <w:lang w:val="en-US" w:eastAsia="en-US" w:bidi="ar-SA"/>
        </w:rPr>
        <w:t>The concept of detriment need not be explored on this occasion</w:t>
      </w:r>
      <w:r>
        <w:rPr>
          <w:rFonts w:ascii="arial" w:eastAsia="arial" w:hAnsi="arial" w:cs="arial"/>
          <w:color w:val="000000"/>
          <w:sz w:val="20"/>
          <w:lang w:val="en-US" w:eastAsia="en-US" w:bidi="ar-SA"/>
        </w:rPr>
        <w:t xml:space="preserve"> because, as the Court of Appeal correctly emphasized, the parties had agreed prior to trial that any evidence regarding losses allegedly suffered by the plaintiff would be deferred to a post-trial reference. This arrangement obviated the need for the respondents to lead evidence of detriment at the liability trial. </w:t>
      </w:r>
      <w:r>
        <w:rPr>
          <w:rFonts w:ascii="arial" w:eastAsia="arial" w:hAnsi="arial" w:cs="arial"/>
          <w:color w:val="000000"/>
          <w:sz w:val="20"/>
          <w:u w:val="single"/>
          <w:lang w:val="en-US" w:eastAsia="en-US" w:bidi="ar-SA"/>
        </w:rPr>
        <w:t>In the end, however, having elected the remedy of financial compensation, the respondents will obviously have to demonstrate at the reference the nature and extent of any detriment suffered to establish the basis for a monetary award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At para. 31, Griffin J. concluded where the only remedy sought is compensation for losses, the plaintiff's failure to prove such loss meant there was a failure to prove entitlement to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The critical issue of detriment received no meaningful attention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xml:space="preserve">  A collection of principles that have come to be known as the springboard doctrine are relevant in assessing information that is partly public and partly confidential, or was disclosed in confidence but subsequently made its way into the public domain: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xml:space="preserve"> at para. 67. The doctrine recognizes that the receipt of information derived from one or more public sources may save a defendant substantial time, effort and expense in searching for and gathering it himself or herself and, therefore, may be regarded as confidential even though the defendant could have collected it from sources available to the public. The information is viewed as having offered the defendant a "springboard" in the sense that it has eliminated the bother of having to do the groundwork to source it out and compile it, and has some degree of value because it has given the defendant a head start in the endeavor at hand: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at 610;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xml:space="preserve">  The springboard doctrine was instructively summarized by Griffin J. in </w:t>
      </w:r>
      <w:r>
        <w:rPr>
          <w:rFonts w:ascii="arial" w:eastAsia="arial" w:hAnsi="arial" w:cs="arial"/>
          <w:i/>
          <w:color w:val="000000"/>
          <w:sz w:val="20"/>
          <w:lang w:val="en-US" w:eastAsia="en-US" w:bidi="ar-SA"/>
        </w:rPr>
        <w:t>No Limits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Where information is the creation of work product and it can give the reader of the document a "head start" or a "springboard" and advantage to the detriment of the information-provider, the information may have the necessary quality of being confidential and give rise to liability for its use even if the information later becomes public: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at 610;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xml:space="preserve"> at para. 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this regard, Sopinka J.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held at 610-611:</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Seager &amp; Copydex Ltd.,</w:t>
      </w:r>
      <w:r>
        <w:rPr>
          <w:rFonts w:ascii="arial" w:eastAsia="arial" w:hAnsi="arial" w:cs="arial"/>
          <w:color w:val="000000"/>
          <w:sz w:val="20"/>
          <w:lang w:val="en-US" w:eastAsia="en-US" w:bidi="ar-SA"/>
        </w:rPr>
        <w:t xml:space="preserve"> [1967] 1 W.L.R. 923 (C.A.), cited by the appellant, provides a useful illustration of the concept of the use of added information to get a head start or to use it as a springboard. The plaintiff Seager was the inventor of a patented carpet grip. He negotiated with the defendant Copydex with a view to development of his invention. Negotiations were terminated without a contract. Copydex then proceeded to produce a competing grip. The Court found that much of the information which Seager gave to Copydex was public. But there was some private information that resulted from Seager's efforts such as the difficulties which had to be overcome in making a satisfactory grip. At pages 931-32, Lord Denning M.R.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When the information is mixed, being partly public and partly private, then the recipient must take special care to use only the material which is in the public domain. He should go to the public source and get it: or, at any rate, not be in a better position than if he had gone to the public source. He should not get a start over others by using the information which he received in confidence. At any rate, he should not get a start without paying for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xml:space="preserve">  As mentioned, a breach of confidence claim in equity may be available against a third party. In this case it is brought against Fortress, who, the plaintiffs say, knowingly came into possession of confidential information via Mr. Vinall's breach of confidence. As explained in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Equity, as a court of conscience, directs itself to the behaviour of the person who has come into possession of information that is in fact confidential, and was accepted on that basis, either expressly or by implication. Equity will pursue the information into the hands of a third party who receives it with the knowledge that it was communicated in breach of confidence (or afterwards acquires notice of that fact even if innocent at the time of acquisition) and impose its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xml:space="preserve">  Mr. Vinall was subject to express contractual obligations to maintain the confidence of the plaintiffs' information. Contractual terms that negate or limit an employee's obligation in respect of confidential information take precedence and will restrict or may even exclude a breach of confidence claim. This important point was articulated in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xml:space="preserve"> at para. 36, in Binnie J.'s analysis of the appellants' argument that the contractual terms in that case limited or circumscribed the equitable duty of confidentiality: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Just as a contractual term can limit or negative a more general duty implied by the law of tort, so too can a contractual term that deals expressly or by necessary implication with confidentiality negate the general obligation otherwise imposed by equity: </w:t>
      </w:r>
      <w:r>
        <w:rPr>
          <w:rFonts w:ascii="arial" w:eastAsia="arial" w:hAnsi="arial" w:cs="arial"/>
          <w:i/>
          <w:color w:val="000000"/>
          <w:sz w:val="20"/>
          <w:lang w:val="en-US" w:eastAsia="en-US" w:bidi="ar-SA"/>
        </w:rPr>
        <w:t>337965 B.C. Ltd. v. Tackama Forest Products Ltd.</w:t>
      </w:r>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(1992), 91 D.L.R. (4th) 129</w:t>
        </w:r>
      </w:hyperlink>
      <w:r>
        <w:rPr>
          <w:rFonts w:ascii="arial" w:eastAsia="arial" w:hAnsi="arial" w:cs="arial"/>
          <w:color w:val="000000"/>
          <w:sz w:val="20"/>
          <w:lang w:val="en-US" w:eastAsia="en-US" w:bidi="ar-SA"/>
        </w:rPr>
        <w:t xml:space="preserve"> (B.C.C.A.), per Southin J.A., at p. 176, leave to appeal to this Court refused, </w:t>
      </w:r>
      <w:hyperlink r:id="rId1037" w:history="1">
        <w:r>
          <w:rPr>
            <w:rFonts w:ascii="arial" w:eastAsia="arial" w:hAnsi="arial" w:cs="arial"/>
            <w:i/>
            <w:color w:val="0077CC"/>
            <w:sz w:val="20"/>
            <w:u w:val="single"/>
            <w:shd w:val="clear" w:color="auto" w:fill="FFFFFF"/>
            <w:lang w:val="en-US" w:eastAsia="en-US" w:bidi="ar-SA"/>
          </w:rPr>
          <w:t>[1993] 1 S.C.R. v</w:t>
        </w:r>
      </w:hyperlink>
      <w:r>
        <w:rPr>
          <w:rFonts w:ascii="arial" w:eastAsia="arial" w:hAnsi="arial" w:cs="arial"/>
          <w:color w:val="000000"/>
          <w:sz w:val="20"/>
          <w:lang w:val="en-US" w:eastAsia="en-US" w:bidi="ar-SA"/>
        </w:rPr>
        <w:t xml:space="preserve">. The ability of parties to contract out of, or limit, general duties otherwise imposed by law has been labelled "private ordering", and the general principles applicable here would be analogous to the principles considered by this Court in the context of concurrent remedies in tort and contract in </w:t>
      </w:r>
      <w:r>
        <w:rPr>
          <w:rFonts w:ascii="arial" w:eastAsia="arial" w:hAnsi="arial" w:cs="arial"/>
          <w:i/>
          <w:color w:val="000000"/>
          <w:sz w:val="20"/>
          <w:lang w:val="en-US" w:eastAsia="en-US" w:bidi="ar-SA"/>
        </w:rPr>
        <w:t>BG Checo International Ltd. v. British Columbia Hydro &amp; Power Authority</w:t>
      </w:r>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(S.C.C.) at p. 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tort duty, a general duty imputed by the law in all the relevant circumstances, must yield to the parties' superior right to arrange their rights and duties in a different way. In so far as the tort duty is not contradicted by the contract, it remains intact and may be sued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Scott &amp; Associates Engineering Ltd. v. Finavera Renewables Inc.</w:t>
      </w:r>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2013 ABQB 273</w:t>
        </w:r>
      </w:hyperlink>
      <w:r>
        <w:rPr>
          <w:rFonts w:ascii="arial" w:eastAsia="arial" w:hAnsi="arial" w:cs="arial"/>
          <w:color w:val="000000"/>
          <w:sz w:val="20"/>
          <w:lang w:val="en-US" w:eastAsia="en-US" w:bidi="ar-SA"/>
        </w:rPr>
        <w:t xml:space="preserve"> at paras. 89-93, aff'd </w:t>
      </w:r>
      <w:hyperlink r:id="rId1040" w:history="1">
        <w:r>
          <w:rPr>
            <w:rFonts w:ascii="arial" w:eastAsia="arial" w:hAnsi="arial" w:cs="arial"/>
            <w:i/>
            <w:color w:val="0077CC"/>
            <w:sz w:val="20"/>
            <w:u w:val="single"/>
            <w:shd w:val="clear" w:color="auto" w:fill="FFFFFF"/>
            <w:lang w:val="en-US" w:eastAsia="en-US" w:bidi="ar-SA"/>
          </w:rPr>
          <w:t>2015 ABCA 51</w:t>
        </w:r>
      </w:hyperlink>
      <w:r>
        <w:rPr>
          <w:rFonts w:ascii="arial" w:eastAsia="arial" w:hAnsi="arial" w:cs="arial"/>
          <w:color w:val="000000"/>
          <w:sz w:val="20"/>
          <w:lang w:val="en-US" w:eastAsia="en-US" w:bidi="ar-SA"/>
        </w:rPr>
        <w:t>, Martin J. analysed the interplay between the breadth of the meaning of confidential information in a claim for breach of confidence and explicit contractual provisions that have a more expansive definition of the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[89] Scott also argues that it has a claim for breach of confidence apart from the MCA. However, Scott makes the novel argument that instead of this Court asking what information is confidential under that avenue of recovery, this Court should use and incorporate the broader definition in the MCA into the otherwise existing principles to grant a constructive trust. Scott argues that the MCA operates to expand the idea of what qualifies as Scott's confidential information for the purposes of a breach of confidence action. By doing so Scott therefore essentially asserts rights and equities over the Penn West confidential information by virtue of the fact that the MCA included both Scott's confidential information and Penn West's confidential information. In essence, Scott claims the parties expanded by contract the definition of confidential information to give two o greater rights. The effect is that the parties' agreed upon definitions become incorporated by reference into the breach of confidence action. Scott argues that the MCA definitions prevail such that everything Scott gave to Finavera is protected as either Scott's "Confidential Information" or "Proprietary Data" in a breach of confidence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90 At the base of this argument is an assertion that the parties are free to stipulate what will be confidential to them in a breach of confidence action. Scott argues that the passage quoted in Cadbury Schweppes at para 36 stands for the proposition that parties can modify the elements of a breach of confidence by private contract. I agree that parties may create the law between them in a breach of contract action. However, any such breach will sound in contract. In contrast, there is no authority for the proposition that the parties may impose their own criteria when the action is one of breach of confidence, which has its roots in equity. While this specific point is not addressed in the case law cited, all authorities suggest that Scott's argument is not sound. Outside a binding contract, it is not open to the parties to modify what the courts have set as the test for information having the quality of confidence for a breach of confidence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[91] What Scott may claim under a breach of confidence action are only those things that the law, not the parties, recognize as confidential. In a breach of confidence action Scott cannot modify by contract the confidential information he has ownership over or equity in simply by including an expansive definition of such confidential information in the MCA. As in </w:t>
      </w:r>
      <w:r>
        <w:rPr>
          <w:rFonts w:ascii="arial" w:eastAsia="arial" w:hAnsi="arial" w:cs="arial"/>
          <w:i/>
          <w:color w:val="000000"/>
          <w:sz w:val="20"/>
          <w:lang w:val="en-US" w:eastAsia="en-US" w:bidi="ar-SA"/>
        </w:rPr>
        <w:t>Drake International Ltd. v. Miller</w:t>
      </w:r>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(1975), 9 O.R. (2d) 652</w:t>
        </w:r>
      </w:hyperlink>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61 D.L.R. (3d) 420</w:t>
        </w:r>
      </w:hyperlink>
      <w:r>
        <w:rPr>
          <w:rFonts w:ascii="arial" w:eastAsia="arial" w:hAnsi="arial" w:cs="arial"/>
          <w:color w:val="000000"/>
          <w:sz w:val="20"/>
          <w:lang w:val="en-US" w:eastAsia="en-US" w:bidi="ar-SA"/>
        </w:rPr>
        <w:t xml:space="preserve"> (Ont. H.C.): "matters do not become confidential merely because the contract states them to be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Although I accept the legal principle that a contract can limit or negate a general duty implied by tort law or by equity, it does not therefore follow that a private contract can also expand the law of tort or equity to make confidential information that which does not bear the hallmarks of confidentiality when the action is one of breach of confidence and not breach of contract. More specifically, para 36 of Cadbury Schweppes cited above, does not support the proposition that a party can expand the definition of confidential information in a breach of confidence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 Further, given that I found there is no breach of contract, Scott is trying to combine contract, tort and equity principles to secure for itself something it did not bargain for. Scott's claims in relation to the misuse of its confidential information therefore needs to be determined under the principles established under a breach of confidence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xml:space="preserve">  A broad range of remedies is available for a breach of confidence, including damages, expectation damages, injunctive relief, an accounting of profits, and a constructive trust. While the court's jurisdiction to grant a remedy is not limited by whether a breach of confidence has a contractual, tortious, proprietary or trust flavour, that factor may nonetheless inform the appropriateness of the remedy: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at 612 per Sopinka J.; </w:t>
      </w:r>
      <w:r>
        <w:rPr>
          <w:rFonts w:ascii="arial" w:eastAsia="arial" w:hAnsi="arial" w:cs="arial"/>
          <w:i/>
          <w:color w:val="000000"/>
          <w:sz w:val="20"/>
          <w:lang w:val="en-US" w:eastAsia="en-US" w:bidi="ar-SA"/>
        </w:rPr>
        <w:t>Minera Aquiline Argentina SA v. IMA Exploration Inc.</w:t>
      </w:r>
      <w:r>
        <w:rPr>
          <w:rFonts w:ascii="arial" w:eastAsia="arial" w:hAnsi="arial" w:cs="arial"/>
          <w:color w:val="000000"/>
          <w:sz w:val="20"/>
          <w:lang w:val="en-US" w:eastAsia="en-US" w:bidi="ar-SA"/>
        </w:rPr>
        <w:t xml:space="preserve">, </w:t>
      </w:r>
      <w:hyperlink r:id="rId1042" w:history="1">
        <w:r>
          <w:rPr>
            <w:rFonts w:ascii="arial" w:eastAsia="arial" w:hAnsi="arial" w:cs="arial"/>
            <w:i/>
            <w:color w:val="0077CC"/>
            <w:sz w:val="20"/>
            <w:u w:val="single"/>
            <w:shd w:val="clear" w:color="auto" w:fill="FFFFFF"/>
            <w:lang w:val="en-US" w:eastAsia="en-US" w:bidi="ar-SA"/>
          </w:rPr>
          <w:t>2007 BCCA 319</w:t>
        </w:r>
      </w:hyperlink>
      <w:r>
        <w:rPr>
          <w:rFonts w:ascii="arial" w:eastAsia="arial" w:hAnsi="arial" w:cs="arial"/>
          <w:color w:val="000000"/>
          <w:sz w:val="20"/>
          <w:lang w:val="en-US" w:eastAsia="en-US" w:bidi="ar-SA"/>
        </w:rPr>
        <w:t xml:space="preserve"> at paras. 95-99.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xml:space="preserve">  Ultimately, the court will adopt a flexible approach in fashioning a remedy having regard to the facts of the case and mindful that "[t]he objective in a breach of confidence case is to put the confider in as good a position as it would have been in but for the breach": </w:t>
      </w:r>
      <w:r>
        <w:rPr>
          <w:rFonts w:ascii="arial" w:eastAsia="arial" w:hAnsi="arial" w:cs="arial"/>
          <w:i/>
          <w:color w:val="000000"/>
          <w:sz w:val="20"/>
          <w:lang w:val="en-US" w:eastAsia="en-US" w:bidi="ar-SA"/>
        </w:rPr>
        <w:t>Cadbury</w:t>
      </w:r>
      <w:r>
        <w:rPr>
          <w:rFonts w:ascii="arial" w:eastAsia="arial" w:hAnsi="arial" w:cs="arial"/>
          <w:color w:val="000000"/>
          <w:sz w:val="20"/>
          <w:lang w:val="en-US" w:eastAsia="en-US" w:bidi="ar-SA"/>
        </w:rPr>
        <w:t xml:space="preserve"> at para. 61.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Confidentiality Provisions in the Sateri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Paragraphs 1, 2, 6 and 8 of clause XVI of the Sateri Employment Contract, headed Confidentiality,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XVI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CONFIDENTIALITY</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Vinall] shall observe strict confidentiality with regard to all matters directly or indirectly related to his work and all matters concerning [Sateri Shanghai's] or the Groups's shareholders, and shall not disclose or divulge to any one any confidential information related to [Sateri Shanghai's] or the Group's business or its customers which may come within [Mr. Vinall's] knowledge or possession in the course of his employment, and which should not be disclosed or made public save with the consent of [Sateri Shanghai] or in the course of his duties as an Employee of [Sateri Shanghai].</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[Mr. Vinall] can appreciate, much of the value of [Sateri Shanghai] or the Group rests in the intellectual property used to conduct its businesses. To help protect the value of [Sateri Shanghai] and/or the Group, and its products and services, this type of information, in addition to being treated confidentially must be used only for the benefit of [Sateri Shanghai] or the Group, as applicable. When [Mr. Vinall] joins [Sateri Shanghai], the Employee shall have access to information about [Sateri Shanghai's] or the Group's businesses, including but not limited to information about [Sateri Shanghai's] or the Group's business practices and products, intellectual property rights, services, cost information, processes, finances, employees, compensation, client lists and their employees, drawings, marketing plans and strategies, investment strategies, techniques, know-how, pricing, methodologies, internal resources, research and development, software and other technology as well as information and products resulting from his work. By accepting [Sateri Shanghai's] offer of employment, the Employee agrees to use such information for its intended business purpose only for the benefit of [Sateri Shanghai] or the Group, as applicable.</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[Mr. Vinall's] employment with [Sateri Shanghai], [Mr. Vinall] may develop or help to develop services, products, materials, know-how or other intellectual capital related to [Sateri Shanghai's] or the Group's businesses. [Mr. Vinall] hereby assigns to [Sateri Shanghai] his rights and interests in all intellectual property rights ("IP Rights") whether or not patentable or registrable under copyright or similar statutes, conceived or learned by him, either alone or jointly with others, during the course of his employment with [Sateri Shanghai]. Inventions assigned to [Sateri Shanghai] pursuant to this paragraph shall include in particular such IP Rights developed using [Mr. Vinall's] equipment, facilities, resources or trade secret and information. [Mr. Vinall] understands and agrees that [Sateri Shanghai] or the Group, as applicable, owns all intellectual property rights, including all copyright and trade secret rights, to such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Vinall] undertakes not to retain any documents or storage media containing any confidential information in his possession or subject to his control at such time and shall return all company documents, files and properties, whether physical or electronic, in good condition during or after the termination of his employment, and ensure proper hand-over to the appointed employees. [Mr. Vinall] agrees to sign further declarations of confidentiality and non-retention of [Sateri Shanghai's] and/or the Group's documents, files and properties, whether physical or electronic, when so required by [Sateri Shanghai's] and/or the Group's policy or officers.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provisions of this clause on confidentiality shall survive the termination of this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The Declaration defines Confidential Information and Proprietary Assets in widely-encompassing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"Confidential Information" includes, but shall not be limited to the following:</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and all non public information regarding the business of the Group, the Company or any Group Company, including without limitation, marketing plans and strategies, investment strategies, techniques, know-how, processes, confidential operations, cost information, client lists, drawings, information in connection with products and services, whether or not part of my work, whether or not resulting from my work or otherwise obtained in the course of my work;</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and all confidential information acquired by the Group, the Company or any Group Company from third parties; and</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and all Proprietary Assets,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provided that any information that is, or becomes, available to the public other than as a result of breach of my obligations herein and in the Employment Documents, shall not be deemed "Confidential Information".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"Proprietary Assets" means assets belonging to the Company, the Group or a Group Company, including without limitation, any and all non-public, information, intellectual property rights, patents, copyright, trademarks, trade secrets, processes, designs, concepts, know-how, techniques, notes, marketing plans, strategies, forecasts, financial and cost information, customer lists and other similar information not generally known to the public, together with all developments therefrom and improvements thereon".</w:t>
      </w:r>
    </w:p>
    <w:p>
      <w:pPr>
        <w:numPr>
          <w:numId w:val="6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Confidential Information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As noted, the plaintiffs' claims against Mr. Vinall sound in breach of confidence, breach of express contract and breach of his implied contractual duties of good faith, loyalty and fidelity. Their paramount contention is that Mr. Vinall misused their confidential information in the wrongful pursuit of the so-called Thurso Mill opportunity and in aid of his wrongful competition with them while still employed, for the benefit of himself and Fortress.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The specific components of the plaintiffs' averments of breach of confidence is that during Mr. Vinall's employment, he:</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converted and misappropriated the confidential and proprietary information learned and otherwise obtained during his employment with Sateri International (as that designation was broadly defined in the notice of civil claim);</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disclosed, used, removed and published to others confidential and proprietary information, without the consent or license of Sateri International; and</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negotiated new employment terms with Fortress.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Most of the plaintiffs' documents in evidence alleged to contain their confidential information are marked as "confidential and intended solely for the use and information of the addressee". The testimony of Ms. Li and Mr. Goh suggested that they understood that documents displaying that confidential warning were confidential in fact. However, the designation of confidentiality was merely a page template that Ms. Li automatically applied to every document that she created for the plaintiffs, irrespective of content. Consequently, the appearance of that standard warning is not probative of whether the information contained in the imprinted documents was confidential under the applicable jurisprudence or pursuant to the Sateri Employment Contract or the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Mr. Vinall's counsel sought particulars of the alleged confidential information through letters dated January 3, 2012 and May 31, 2013. Plaintiffs' counsel provided a partial reply by letter of January 13, 2012, and then just a week before the commencement of trial, supplied additional and more specific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The particulars divide the alleged breaches into two main classifications. They distinguish confidential and proprietary information said to be misused by Mr. Vinall, from information alleged to have been wrongfully converted by all of the defendants into a Fortress presentation. I will refer to the documents containing the alleged confidential information comprising the former grouping as category one documents, and the latter as category two documents.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Category One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The plaintiffs assert that the category one documents contain confidential and proprietary information about their business plans, including the plan for expansion of their cellulose business and consideration of the opportunity to acquire the Thurso Mill. Mr. Vinall is said to have copied these documents from his work laptop to a USB stick.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The plaintiffs particularized six such documents in all. Two of them were not introduced into evidence. The remaining four are:</w:t>
      </w:r>
      <w:r>
        <w:rPr>
          <w:rFonts w:ascii="arial" w:eastAsia="arial" w:hAnsi="arial" w:cs="arial"/>
          <w:sz w:val="20"/>
          <w:lang w:val="en-US" w:eastAsia="en-US" w:bidi="ar-SA"/>
        </w:rPr>
        <w:cr/>
      </w:r>
    </w:p>
    <w:p>
      <w:pPr>
        <w:numPr>
          <w:numId w:val="6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list prepared by Mr. Shaohua of the closed mill candidates with the accompanying map of North America showing the respective locations and proximity to seaports of the mills, both bearing Mr. Van Lee's highlighting. Mr. Shaohua did not testify. The only evidence as to the sources of the information he used to compose the list were his notations on the document crediting RISI and Hawkins Wright. There was no evidence to suggest that any information in the list was not within the public domain. Ms. Li did not know how long Mr. Shaohua would have taken to prepare these documents. She agreed he may have spent "a long time" or may have pulled them together in "only a few minutes". She conceded that preparation of the map of North America would have taken only a few minutes and that the information could be obtained by using Google;</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email exchange attaching the chart prepared by Ms. Li showing three potential Canadian mill candidates and a map of Canada pinpointing their locations;</w:t>
      </w:r>
    </w:p>
    <w:p>
      <w:pPr>
        <w:numPr>
          <w:numId w:val="7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minutes of the October 8 Meeting; and</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map of North America referred to above in item 1, but with a different heading, which was circulated for purposes of the Second October Meeting, together with the agenda of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Mr. Vinall credibly explained that he organized the data he kept on his laptop by subject matter: Sateri information, industry information and personal files. He stated that he routinely backed up all data to an external hard drive as a precaution against losing the information in the event his laptop was stolen or damaged while he travelled between Brazil, Canada and, latterly, Singapore. He would often leave the external hard drive at the head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Mr. Vinall continued that, in addition to using an external hard drive and as an extra safeguard, it was his practice to use a USB stick/thumb drive to copy weeks or perhaps a month's worth of the most current data on his laptop. He did so to ensure that he would always have handy a copy of the most current files he was working on should his laptop be lost or damaged. He viewed his actions as prudent in light of his pace of travel and his awareness of one or more instances of computer theft in Brazil, and believed it to be as much for the plaintiffs' benefit as for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Mr. Vinall testified that after he resigned from Sateri Shanghai, he deleted all Sateri files from his hard drive. Around the same time, he transitioned to a cloud service in respect of his remaining computer files (personal and industry), and believed he had probably discarded the hard drive in the process. He explained that his collection of USB sticks/thumb drives had all been overwritten many times and, in any event, would not have held anything of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At his discovery, Mr. Vinall was asked whether he copied hundreds of documents relating to Sateri's businesses to an "external storage media". He answered that he periodically backed-up certain directories onto his portable hard drive. The plaintiffs seized on the fact that at his discovery Mr. Vinall neglected to mention his use of a USB stick or thumb drive to back-up his laptop. They urged that the conveniently-timed amplification of his evidence on this matter at trial provided another example of his tenuous relationship with the truth. I do not see it that way. Indeed, the plaintiffs' approach to this issue was somewhat puzzling given that their particulars make plain that, before trial, they were well aware or, at a minimum had an adequate basis to allege, that Mr. Vinall had copied documents from his laptop onto a USB stick. In any case, I am not troubled by the difference in Mr. Vinall's evidence on discovery and at trial on this point as it does not amount to a material omission or inconsistency of any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Mr. Vinall testified that he did not believe that he had retained hard copies of the category one documents or of any of the plaintiffs' documents when he left his employment. In January 2011, he received a letter from plaintiffs' New York counsel demanding that he identify the Sateri documents in his possession. The demand prompted him to go through unpacked moving boxes located in the basement of his new residence in Ottawa. Through that process he claimed to have uncovered a "couple of folders" that held the category one documents. He produced them to the plaintiffs in the course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Mr. Goh's evidence on this topic was not far-reaching. He testified that after Tecbiz identified what had been removed from Mr. Vinall's laptop or had been copied to another device, the data was sent to the strategic planning division in order to determine "what the damage was in terms of information leakage or potential risk to Sateri".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In the summer of 2010, Mr. Goh instructed Ms. Li to review the documents on Mr. Vinall's laptop that had been routed to a shared folder. Her objective was to see whether any of those documents contained "Sateri internal information". At the conclusion of her review, Ms. Li had no knowledge as to whether any of the documents in the shared folder, apart from the documents that have been identified as falling within category two and a trip report form, were used by Mr. Vinall for a purpose other than the plaintiffs' business. Nor was she able to say whether Mr. Vinall had provided any of them to a third party. Mr. Goh provided no insight on this crucial point either. He did not testify as to whether the data from the laptop had been sent to a device other than Mr. Vinall's external storage device, and if it had, the destination of the data. Nor did he say anything about whether any of the information had been leaked, whether the plaintiffs had suffered any corresponding damage or whether they were at any risk as a result of the copying or backup by Mr. Vinall of his laptop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Yet, Mr. Goh made the sweeping claim that he had gleaned an understanding based on the Tecbiz information that Mr. Vinall's laptop appeared to have been modified. He did not clarify the manner in which it may have been modified or how such modification might relate to any of the plaintiffs' claims in this action. Instead, Mr. Goh left dangling the implication that Mr. Vinall had somehow wrongfully altered the content on his laptop.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Assuming that the information contained in the category one documents qualifies as confidential, the argument nonetheless falters on the sheer absence of cogent evidence that Mr. Vinall improperly disclosed or otherwise misused such information. That is a full answer to the claims asserted on all grounds with respect to the information alleged to be confidential in the category one documents.</w:t>
      </w:r>
      <w:r>
        <w:rPr>
          <w:rFonts w:ascii="arial" w:eastAsia="arial" w:hAnsi="arial" w:cs="arial"/>
          <w:sz w:val="20"/>
          <w:lang w:val="en-US" w:eastAsia="en-US" w:bidi="ar-SA"/>
        </w:rPr>
        <w:cr/>
      </w:r>
    </w:p>
    <w:p>
      <w:pPr>
        <w:numPr>
          <w:numId w:val="7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Category Two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The evidence surrounding the plaintiffs' claims concerning the confidentiality of the contents of the category two documents was nearly as underwhelming.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In carrying out her examination of the documents in the shared folder, Ms. Li found two multi-page Fortress presentations that she concluded contained Sateri's internal information. One presentation was called, Dissolving Pulp Price and Drivers, dated February 2010, and the other was the AcCELLerate PowerPoint at different stages of evolvement between approximately December 2009 and March 2010. Ms. Li was the plaintiffs' sole witness regarding the creation and source of the information alleged to be confidential and used in the category two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As a means of identifying the information contained in one or both of the Fortress presentations that Ms. Li believed originated with Sateri, she inserted clouds that encapsulated her commentary on the perceived offending pages. She promptly supplied Mr. Goh with the results of her comparative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The plaintiffs' response to Ms. Li's findings is of interest. Evidently, they were too pre-occupied by Sateri International Co.'s public offering to address the misuse of their confidential information thought to be discovered by Ms. Li in a timely way. It was not until several months afterwards, in January 2011, that a general issue regarding Mr. Vinall's alleged misuse of confidential information was raised by the plaintiffs. A similar complaint was sent to Mr. Wasilenkoff on February 22,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It is difficult to reconcile the plaintiffs' uncontroverted evidence that Mr. Tanoto and the Sateri organization as a whole were highly protective of Sateri's internal and confidential information, with their prolonged inaction to Ms. Li's apparent discovery of misuse. Although by no means conclusive, the plaintiffs' casual reaction, especially in those crucial early months, is not an entirely neutral factor in the analysis. It suggested that they were not overly concerned about the defendants' disclosure or use of the information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Like Mr. Vinall, Ms. Li maintained her own database of information about the dissolving pulp industry that she gathered from various publicly accessible sources on an ongoing basis. Many of her sources were industry consultants that Sateri subscribed to, such as RISI, Hawkins Wright and Poyry. She also amassed publicly available information circulated by competitors, as well as a "great deal" of information from the Internet, including data from governmental agencies like the U.S. Department of Agriculture ("USDAs").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Ms. Li drew on the information she stored in her database to perform her work assignments. Many of her graphs, charts and other work product were used by Sateri for "decision-making purposes". She was methodical in her approach. For each assignment, she would create a separate electronic file to hold her finalized work product, together with the backup data that she had relied upon for its compilation.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Ms. Li agreed that she was able to conveniently access the underlying sources in her electronic files. She further agreed that, in any given instance, by comparing that underlying backup information in her database against her final work product, it would be readily apparent what additional evaluation, assembly or analysis, if any, she may have carried out and incorporated into her work product. Unfortunately, and I would venture to say inexplicably, none of Ms. Li's source data was in evidence. That omission has proved to be a serious impediment to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Summarized below are the contents of the category two documents that the plaintiffs assert embody their confidential and/or proprietary information:</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table listing several mills and their respective capacities for dissolving pulp on a page titled, Current and Planned Dissolving Pulp Capacity (the "Fortress Table");</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vertical bar chart showing the proportionate market share of synthetic fiber, cellulose fiber and natural fiber respectively from 2002 to 2008 (the "Fortress Market Share Chart");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bar graph expressing world cotton production over a period of time (the "Fortress Cotton Production Graph") and a two-line linear graph comparing the cotton yield worldwide with the cotton yield for China (the "Fortress Cotton Yield 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bullet point statement and a formula expressing the yield potential of wood-based fiber as compared to cotton-based fiber (the "Fortress Yield Information"); 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projection and correlation reflecting a prediction of the future demand for rayon in different parts of the world (the "Fortress Correlation".</w:t>
      </w:r>
    </w:p>
    <w:p>
      <w:pPr>
        <w:numPr>
          <w:numId w:val="7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Fortress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It is common ground that Mr. Vinall reproduced the Fortress Table from an appendix to an internal report that Ms. Li had prepared for Sateri. She had provided the report to Mr. Vinall and others in management in about November 2009. I accept Ms. Li's testimony that the appendix was not made available outside of the Sateri organization and its group of corporate affiliates. Mr. Vinall does not deny that he received the internal report, with the appendix, in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Mr. Vinall admitted that he had "grabbed the page" (i.e. the appendix) and claimed to have inadvertently used it to create the Fortress Table. He unconvincingly attested to his belief that the entire page contained information derived from his database, until he came to realize shortly before trial that two of the mills referenced, Sateri Rudong and Tiger Forestry &amp; Paper mills, would not have been available from public sources. Tiger Forestry &amp; Paper is Ms. Li's English translation of a Chinese company that had no official name, and the Sateri Rudong project had never been publicly announced.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RISI (2009) is credited as the public source of the information displayed in the Fortress Table. Mr. Vinall explained, and I find, that he cited RISI (2009) because "a lot" of the data contained in the Fortress Table was accessible to the public from RISI and to enhance the perception of credibility of the Fortress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Ms. Li testified that she based the appendix exclusively on Sateri's internal records. She later back-peddled somewhat by her acknowledgement that RISI produced a similar table, although not all of the numbers appearing in the RISI source matched the numbers she used. The evidence showed that some of the information set out in the appendix was also available from Fisher International, another industry source that Ms. Li used from time to time. I find implausible Ms. Li's assertion that the information contained in the appendix was based entirely on Sateri's internal records. The probabilities of the situation show that the appendix contained a mix of a substantial amount of publicly accessible data that Ms. Li had not altered, as well as a small bit of information that was uniquely hers and was confidential to the plaintiffs. The information within that latter category consisted chiefly of the references to the Tiger Forestry &amp; Paper and Sateri Rudong mills and, to a much lesser extent, to the dissolving pulp capacities of a few of the mills. The totality of such confidential information carries a low grade of specialness.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The Fortress Table was one of 47 pages of the AcCELLerate PowerPoint presented to the Quebec government by Messrs. Wasilenkoff and Monahan. I am satisfied that during the course of that presentation, they did not discuss the content of the slides item-by-item. I consider it unlikely that they would have highlighted or placed any emphasis on the few marginally special features of the Fortress Table that were confidential to the plaintiffs, or that the representatives of the Quebec government in attendance even noticed that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The feature of detriment as a constituent element of a breach of confidence claim was not developed in the evidence or in argument. My rejection of the plaintiffs' allegations that the Thurso Mill was a taken opportunity and that Mr. Vinall was a fiduciary effectively dispels the legitimacy of any assertion that they suffered a form of detriment stemming from the misuse of the bits of confidential information in the Fortress Table. For reasons to be explained, any suggestion that the plaintiffs' detriment took the form of their professed loss of a share of the dissolving pulp market in China occasioned by the Thurso Mill competing in that market, is similarly groundless for an abundance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The plaintiffs have not shown that they sustained any detriment, whether financial or of another kind, as a result of the misuse of the confidential information in the Fortress Table. The absence of a demonstrated detriment is fatal to this aspect of their claim sounding in breach of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For completeness, I would add that the springboard principle has no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Nonetheless, Mr. Vinall's misuse of such confidential information does constitute a breach of his Sateri Employment Contract and his implied contractual duty of good faith, loyalty and fidelity.</w:t>
      </w:r>
      <w:r>
        <w:rPr>
          <w:rFonts w:ascii="arial" w:eastAsia="arial" w:hAnsi="arial" w:cs="arial"/>
          <w:sz w:val="20"/>
          <w:lang w:val="en-US" w:eastAsia="en-US" w:bidi="ar-SA"/>
        </w:rPr>
        <w:cr/>
      </w:r>
    </w:p>
    <w:p>
      <w:pPr>
        <w:numPr>
          <w:numId w:val="7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Fortress Market Share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The Fortress Market Share Chart consists of seven vertical bars that express the market share of three different kinds of fiber: synthetic, cellulosic and natural. A separate colour is ascribed to each fiber so that each individual bar is made up of three colours to denote the proportionate market share of the three fibers.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The Fortress Market Share Chart is the same as a market share chart that appears in a Sateri document prepared by Ms. Li. Ms. Li testified that she had created her chart from information in her database that had been compiled by CIRFS, a fiber society in Europe. That information was publicly available. Yet, Ms. Li had not credited any external source on her chart. That omission was at odds with her evidence that she always identified her external sources on the internal documents she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The Fortress Market Share Chart cited the USDA (2009) as its source. According to Ms. Li, the USDA would only be a partial but not a complete source for the information because that agency does not compile information on the global production of rayon (i.e. cellulosic fiber). That said, she went on to acknowledge that data about the world rayon supply expressed in market shares was publicly available. Ms. Li further agreed that information about the worldwide market share of the three fibers in question is readily available in the public domain from sources other than the fiber society she relied upon or the USDA. One such source was Oerlikon.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As I have alluded to, Ms. Li's computer subfile that stored the information upon which she based her market share chart (which, on her testimony, would include the CIRFS data she used) was not in evidence. That omission has made it most difficult to assess whether Sateri's version of the market share chart is any different from a chart accessible in the public domain, except possibly with respect to the colour scheme of the graph bars.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Ms. Li ordinarily used an Excel computer program to create her graphs and charts. When it came to colouring them, she would either choose the particular colours or leave it to the Excel program to insert colours in default of her making a selection.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Whether, and to what extent, if any, Ms. Li brought to bear her own thought-process or unique treatment or assembly of the public information she used to create the plaintiffs' market share chart was, at best, murky on the evidence. In the end, Ms. Li's primary assertion seemed to be no better than she "thought" she had at least chosen the tri-colour scheme of the bars. In this regard, I would note that while the colours in Ms. Li's graph were not identical to the colours in the sample Oerlikon graph in evidence, they were not entirely dissimilar.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xml:space="preserve">  Even assuming that Ms. Li did take a moment to choose the colour scheme of the bars in the chart she prepared, the straightforward act of using an Excel computer program to select those colours did not require that she exercise an independent thought process of the kind contemplated in </w:t>
      </w:r>
      <w:r>
        <w:rPr>
          <w:rFonts w:ascii="arial" w:eastAsia="arial" w:hAnsi="arial" w:cs="arial"/>
          <w:i/>
          <w:color w:val="000000"/>
          <w:sz w:val="20"/>
          <w:lang w:val="en-US" w:eastAsia="en-US" w:bidi="ar-SA"/>
        </w:rPr>
        <w:t>Lac Minerals</w:t>
      </w:r>
      <w:r>
        <w:rPr>
          <w:rFonts w:ascii="arial" w:eastAsia="arial" w:hAnsi="arial" w:cs="arial"/>
          <w:color w:val="000000"/>
          <w:sz w:val="20"/>
          <w:lang w:val="en-US" w:eastAsia="en-US" w:bidi="ar-SA"/>
        </w:rPr>
        <w:t xml:space="preserve"> so as to imbue her composition with the requisite threshold of confidence. In this instance, re-colouring bars that are accessible in the public domain had no substantive effect, and was in the nature of an inconsequential aesthetic tweaking. In my opinion, it would upend the governing principles and confuse the underlying policy rationale in this area of law were I to accept that the threshold of confidentiality lays that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In conclusion, the plaintiffs' market share chart does not contain confidential information within the meaning of the breach of confidence authorities or pursuant to the provisions of Mr. Vinall's Sateri Employment Contract or the Declaration. It follows that the Fortress Market Share Chart does not contain the plaintiffs' confidential information.</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Fortress Cotton Production Graph and Fortress Cotton Yield 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The Fortress Cotton Production Graph and Fortress Cotton Yield Graph are virtually identical to graphs that appeared in a pre-existing Sateri document titled, Upside Risks, prepared by Ms. Li. The USDA is shown as the source on the face of both the Sateri and Fortress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Mr. Vinall testified that he stored USDA information and charts concerning cotton yield, cotton production and the like in his database. He insisted that he had relied upon his collected data to prepare the Fortress Cotton Production Graph and the Fortress Cotton Yield Graph. He also had a recollection of having collaborated with Ms. Li in creating a very similar chart for use in a Sateri presentation. Although I accept that Mr. Vinall collected such USDA information in his database, the preponderance of the evidence is that he created the two Fortress graphs in issue simply by cutting and pasting the graphs from the Upside Risks document prepared by Ms. Li. But were the graphs used by Sateri the plaintiffs' confidential or proprietary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Introduced into evidence were two USDA graphs. One depicted world cotton production and the other expressed cotton yield globally and for China. Both of them were accessible on the Internet. There were two differences between the USDA cotton production graph and the one prepared by Ms. Li, namely the colour coding and the years used to bookend the vertical bars. There were also differences in the colours, timeline and a few of the plot points used in the USDA graph in evidence reflecting the cotton yields, as compared to Ms. Li's graph capturing those yields. The difference in years was readily explainable by the fact that the USDA version had been obtained from the Internet at a later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Ms. Li explained that the USDA has a comprehensive website that reports on worldwide cotton production reaching back to the 1970's. She had a vast body of publicly available USDA material at her fingertips and agreed that the USDA source materials she used to prepare the plaintiffs' charts were publicly available online at no cost. She denied, however, that she had merely reproduced USDA graphs in order to create hers. Instead, Ms. Li said that she had downloaded data from the USDA website and compiled the plaintiffs' two charts based on that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Ms. Li stopped short of providing any useful details about the nature of the USDA data that she downloaded onto her computer. Nor did she clarify what it was that she had done in relation to such data in order to arrive at the plaintiffs' 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That the plaintiffs' graphs are not identical to the two USDA graphs in evidence, does not necessarily mean that the plaintiffs' graphs were not among the extensive publicly available materials on the USDA website, and relied upon by Ms. Li, at the time she prepared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The confounding exercise of attempting to ascertain whether the graphs prepared by Ms. Li contained the plaintiffs' confidential information provides a striking illustration of how the absence of documentary evidence of Ms. Li's underlying source materials has hampered a coherent evaluation of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On the deficient evidence put before me, I am left to speculate on whether, and to what extent, if any, Ms. Li may have applied her own brain power or signature treatment or assembly of the USDA data that she downloaded and used in preparing the plaintiffs' cotton production and cotton yield graphs. In the end, the evidence does not establish that those graphs contained the plaintiffs' confidential information by any standard. Accordingly, I find that the Fortress Cotton Production Graph and the Fortress Cotton Yield Graph do not contain the plaintiffs' confidential or proprietary information. The springboard doctrine has no application in this instance either.</w:t>
      </w:r>
      <w:r>
        <w:rPr>
          <w:rFonts w:ascii="arial" w:eastAsia="arial" w:hAnsi="arial" w:cs="arial"/>
          <w:sz w:val="20"/>
          <w:lang w:val="en-US" w:eastAsia="en-US" w:bidi="ar-SA"/>
        </w:rPr>
        <w:cr/>
      </w:r>
    </w:p>
    <w:p>
      <w:pPr>
        <w:numPr>
          <w:numId w:val="8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Fortress Yield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The Fortress Yield Information is comprised of a statement and a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The statement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Limited growth of cotton output due to competing land usage and yield restraint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The formula is expressed this way:</w:t>
      </w:r>
      <w:r>
        <w:rPr>
          <w:rFonts w:ascii="arial" w:eastAsia="arial" w:hAnsi="arial" w:cs="arial"/>
          <w:sz w:val="20"/>
          <w:lang w:val="en-US" w:eastAsia="en-US" w:bidi="ar-SA"/>
        </w:rPr>
        <w:cr/>
      </w:r>
    </w:p>
    <w:p>
      <w:pPr>
        <w:numPr>
          <w:numId w:val="8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Wood based fibre yield ( [tilde] 6 MT/Ha, assuming 25 MAI &amp; 5.5m3/- ADMT) vs. cotton yield [less than] 1.5 2 MT/Ha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Sateri's pre-existing Upside Risks document contained an identical statement and a practically identical formula. The Sateri formula reads as follows:</w:t>
      </w:r>
      <w:r>
        <w:rPr>
          <w:rFonts w:ascii="arial" w:eastAsia="arial" w:hAnsi="arial" w:cs="arial"/>
          <w:sz w:val="20"/>
          <w:lang w:val="en-US" w:eastAsia="en-US" w:bidi="ar-SA"/>
        </w:rPr>
        <w:cr/>
      </w:r>
    </w:p>
    <w:p>
      <w:pPr>
        <w:numPr>
          <w:numId w:val="8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Wood based fiber yield ( [tilde] 6 MT/Ha, assuming 35 MAI &amp; 5.5m3/ ADMT) vs. cotton yield [less than] 2 MT/Ha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The formula in the Sateri document reflected the wood-fibre output of the Bahia Mill as compared to a cotton-based yield; the formula in the Fortress Yield Information expressed the output of the Thurso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Neither document credited an external source for the statement or the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Mr. Vinall agreed that he had basically typed out the Fortress Yield Information from a Sateri document he had on hand. He then changed the spelling of "fiber" to "fibre" and lowered the MAI factor from 35 to 25 to account for the difference in the expected yield from maple-based fiber (the Thurso Mill) as opposed to eucalyptus (the Bahia Mill). Those changes then altered the final outcome number. Ms. Li acknowledged that the MAI in the equation would vary depending on the wood variety and the geography of the wood source, and that such a variation would result in a different yield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According to Ms. Li, the statement and formula represented her uniquely conceived work product. She maintained that no aspect of it was publicly available. In cross-examination Ms. Li appeared to be uncertain about whether this information had been included in Sateri International Co.'s public prospectus and allowed that it might have been. Her allowance posed only a faint concern and was not sufficient to sustain a finding that the plaintiffs' statement and formula had been released into the public domain and, therefore were exempted from the definition of confidential information under the Sateri Employment Contract and the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Mr. Vinall, on the other hand, was adamant that the formula used in the Fortress Yield Information, as well as the formula appearing in the plaintiffs' document, reflected an accepted industry-wide calculation regularly used to contrast the wood yield of fiber to the cotton fiber yield. He persuasively maintained that he had used the formula many times in the past, and that there was nothing special about the concept it conveyed. As for the statement appearing above the formula, Mr. Vinall conceded that he had copied it verbatim straight from Sateri's Upside Risks document because he "agreed with it" and considered it to be an "elegant" way of communicating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I find it more probable than not that the formula used by Ms. Li was widely known and applied broadly in the industry to calculate the difference in fiber yields, subject simply to variations in the inputting of the MAI factor and the consequential change to the yield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Ms. Li testified that the formula she used was essentially the source for her statement appearing above it. I understood her to mean that the statement represented the verbalization of the conclusion proved by the formula. Still, her statement was an "elegant" articulation of information demonstrated by application of the formula that she composed using her thought process and was not publicly accessible.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I conclude that the statement (but not the formula) in the Fortress Yield Information was confidential to the plaintiffs. In terms of specialness, the statement falls at the lowest end of the continuum.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The Fortress Yield Information appeared in the AcCELLerate presentation and in the Dissolving Pulp Price and Drivers document. The evidence concerning the use made by Fortress of the latter document was undeveloped apart from indicating that it may have been provided to one or more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For the reasons already given in my discussion of the Fortress Table, there is no evidence to support a finding that the plaintiffs experienced a detriment of any kind on account of the defendants' misuse of the confidential statement contained in the Fortress Yield Information. Accordingly, the plaintiffs' claim for breach of confidence fails. As in the case of the Fortress Table, Mr. Vinall's misuse of the confidential statement was in violation of his contractual obligations.</w:t>
      </w:r>
      <w:r>
        <w:rPr>
          <w:rFonts w:ascii="arial" w:eastAsia="arial" w:hAnsi="arial" w:cs="arial"/>
          <w:sz w:val="20"/>
          <w:lang w:val="en-US" w:eastAsia="en-US" w:bidi="ar-SA"/>
        </w:rPr>
        <w:cr/>
      </w:r>
    </w:p>
    <w:p>
      <w:pPr>
        <w:numPr>
          <w:numId w:val="8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Fortress Correlation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Based on data of the historical GDP of China, India, Thailand, Indonesia, North America and Western Europe, Ms. Li prepared a projection of the rayon markets and analysed the data to find a correlation between GDP and the output of rayon in those regions. She then applied that correlation to project future demand for the downstream rayon market and, based on that, extrapolated the future demand on the upstream side. To explain her projection and correlation, Ms. Li used a combination of text, a bar chart and six box charts each containing formulae presented on a one-page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Ms. Li credibly assured that she had devised this methodology of projection and correlation of output, and that it was not in the public domain.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In the course of conducting her review of Fortress's Dissolving Pulp Price and Drivers presentation, Ms. Li noticed a slide that showed a linear graph reporting rayon production in China, India and five other continents or partial continents. That graph was accompanied by the following two bullet points of text that I have defined as the Fortress Correlation:</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Projections based on expected GDP growth per OECD (2009)</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Correlation between historical GDP growth and Rayon Consumption is over 0.80 which is higher costs and most have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The Fortress Correlation caught Ms. Li's keen eye. To her, it did not relate to the information shown in the line graph appearing underneath. This perceived disconnect caused Ms. Li to become suspicious that the Fortress Correlation may have been based on a "takeoff" of the methodology of projection and correlation she had conceived and used for Sateri.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On their face, there are no obvious similarities between the information in the Fortress Correlation and Ms. Li's methodology of projection and correlation of output.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Ms. Li did not offer any specifics to better explain how the Fortress Correlation was said to relate to or be derived from her methodology of projection and correlation. On balance, her evidence was lacking in basic and material detail to reasonably sustain a finding to align with her suspicion that the Fortress Correlation represented a misuse of the plaintiffs' confidential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The claim that the Fortress Correlation contains the plaintiffs' confidential information has not been made out.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Other Allegations of Misuse of Confidential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Some months after Mr. Vinall joined Fortress, he asked his former Sateri colleague, Michael Laberge, to supply him with an example of a technical trip report used at Sateri. The evidence suggested that Mr. Laberge was still an employee of Sateri at the time and may have been interested in joining Fortress. Obliging Mr. Vinall's request, Mr. Laberge emailed him a seven page trip report that he had prepared for Sateri. The trip report set out Mr. Laberge's observations and recommendations concerning steps to be taken by Sateri's downstream facility in China to improve the quality of its viscose product. Much of the report's content appears to be technical in nature and the relevance of it was not explained at trial. Mr. Goh pointed to a few portions of the trip report that were not public, would not normally be disclosed by Sateri and he claimed were confidential. His evidence was not challenged and I accept that the information he identified was confidential. Mr. Vinall appeared to concede as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Without giving it much thought, Mr. Vinall forwarded the trip report to Mr. Veilleux as a sample. The ultimate use, if any, made of the report was not clarified.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The trip report did not come to Mr. Vinall in the course of his employment with Sateri and Mr. Laberge's disclosure of it to him did not occur in circumstances that imparted an obligation of confidence upon him. Mr. Vinall's receipt and treatment of the Sateri trip report, was not in breach of confidence on Mr. Vinall's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The probabilities of the evidence persuade me that Mr. Vinall became aware of the existence and use of such reports in the course of his employment with Sateri. The Sateri Employment Contract stipulated that his covenants pertaining to confidentiality survived the termination of his employment for 12 months. I find that Mr. Vinall's provision of the trip report to Mr. Veilleux within that time period constituted a breach of contract to the extent that it contained the pieces of confidential information highlighted by Mr. Goh.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The plaintiffs contend that perhaps the most valuable information conveyed by Mr. Vinall to Fortress was his own conclusion that the Thurso Mill was an appropriate candidate for conversion. They say that, because he made that determination in the course of and as a result of his employment, it was confidential to the plaintiffs. The plaintiffs' assertion was made in the context of their larger argument that Mr. Vinall breached several of his fiduciary duties and was hinged to his status as a fiduciary. Even so, I wish to briefly address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I agree that Mr. Vinall's assessment of the suitability of the Thurso Mill for Sateri was confidential to the plaintiffs; so too was his disclosure to Mr. Wasilenkoff that Mr. Tanoto, and thus Sateri, had passed on it as a conversion prospect.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Mr. Wasilenkoff was a seasoned entrepreneur with a proven track record of successful business achievements. Mr. Vinall was not. It is implausible that Mr. Wasilenkoff would have been prepared to move on the Thurso Mill assets merely on Mr. Vinall's say so during the October 2009 Call, as the plaintiffs suggest.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The points canvassed in my earlier discussion regarding the lack of any demonstrated detriment in relation to Mr. Vinall's misuse of the confidential information in certain category two documents has application in this instance. I find an absence of detriment stemming from Mr. Vinall's disclosure to Mr. Wasilenkoff. Although a breach of confidence claim cannot be made out, Mr. Vinall's disclosure of this confidential information was made in violation of his contractual obligations.</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Breach of Confidence Claim against Fortress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With a domino-like effect, the dismissal of the claim of breach of confidence against Mr. Vinall defeats the claim in equity against Fortress for allegedly knowingly coming into possession of information obtained in breach of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With respect to the category two documents, it remains to add that, in any event, proof that Fortress had knowledge at the time that the Fortress presentations were composed and used that such information was confidential to the plaintiffs was not established on the evidence. To the contrary, what the evidence demonstrated was that Fortress first learned of the possibility that Mr. Vinall had used the plaintiffs' internal and/or confidential information in its presentations from Mr. Vinall's "dead meat" email sent to Mr. Wasilenkoff on March 6, 2010. Allowing the status quo to persist was unacceptable to Mr. Wasilenkoff. He immediately instructed Mr. Vinall to purge the offending material and have Fortress's lawyer review the amended version.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that Vinall Competed with Sateri and/or Assisted Fortress While Employed by Sateri</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In the preceding section of my Reasons, I concluded that Mr. Vinall's misuse of the plaintiffs' confidential information violated his contractual obligations. Other contractual breaches have also been alleged. The most serious of them is that Mr. Vinall breached his implied contractual duty of fidelity by undertaking steps in active competition with the plaintiffs' upstream dissolving pulp business while still an employee of Sateri Shanghai.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It was further contended that Mr. Vinall's conduct in that regard separately constituted a breach of several of his express contractual obligations. In differing ways and in varying degrees, those obligations forbade Mr. Vinall from engaging in commercial-type activities outside the businesses of the broadly defined Sateri "Group", which included the plaintiffs. The express contractual provisions that Mr. Vinall is said to have violated are his obligations:</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engage directly or indirectly in another business or occupation, except with Sateri Shanghai's written permission, pursuant to clause XV.2 of the Sateri Employment Contract;</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be employed by, hold positions with, nor be engaged in activities on behalf of others, unless with other Sateri "Group" companies or with approval, pursuant to clause XVIII.1 of the Sateri Employment Contract; and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compete against the plaintiffs or any "Group" companies in any way during the term of the Sateri Employment Contract and for 12 months following termination of employment pursuant to clause XVIII.2.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Before turning to the specific allegations of breach, I would emphasize that predominantly all of the plaintiffs' submissions concerning Mr. Vinall's alleged misconduct in this area, including their selection of case authorities, presupposed that he owed them fiduciary duties and that the Thurso Mill was the plaintiffs' opportunity wrongfully appropriated by Mr. Vinall and pursued by Fortress. Comparatively little was said by the plaintiffs concerning Mr. Vinall's liability as a non-fiduciary employee and the majority of the submissions made on the point were essentially statements of conclusion.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Implied Contractual Duty to Refrain from Competing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xml:space="preserve">  Subsumed within an employee's bedrock duty of fidelity, good faith and loyalty is the obligation to refrain from actively competing with his or her employer's business during the subsistence of the employment relationship: </w:t>
      </w:r>
      <w:r>
        <w:rPr>
          <w:rFonts w:ascii="arial" w:eastAsia="arial" w:hAnsi="arial" w:cs="arial"/>
          <w:i/>
          <w:color w:val="000000"/>
          <w:sz w:val="20"/>
          <w:lang w:val="en-US" w:eastAsia="en-US" w:bidi="ar-SA"/>
        </w:rPr>
        <w:t>McMahon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Zoic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Restauronics Services Ltd.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Forster</w:t>
      </w:r>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2004 BCCA 130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Restauronics Services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RBC Dominion Securities</w:t>
      </w:r>
      <w:r>
        <w:rPr>
          <w:rFonts w:ascii="arial" w:eastAsia="arial" w:hAnsi="arial" w:cs="arial"/>
          <w:color w:val="000000"/>
          <w:sz w:val="20"/>
          <w:lang w:val="en-US" w:eastAsia="en-US" w:bidi="ar-SA"/>
        </w:rPr>
        <w:t>. In those instances, protection of the employer's interests is given precedence over the employee's entitlement to pursue self-betterment.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xml:space="preserve">  An employee's obligation is not so strict as to preclude him or her from tilling the soil for future employment opportunities or ventures and undertaking some planning and preparatory steps in that regard during the currency of employment: </w:t>
      </w:r>
      <w:r>
        <w:rPr>
          <w:rFonts w:ascii="arial" w:eastAsia="arial" w:hAnsi="arial" w:cs="arial"/>
          <w:i/>
          <w:color w:val="000000"/>
          <w:sz w:val="20"/>
          <w:lang w:val="en-US" w:eastAsia="en-US" w:bidi="ar-SA"/>
        </w:rPr>
        <w:t>Zoic</w:t>
      </w:r>
      <w:r>
        <w:rPr>
          <w:rFonts w:ascii="arial" w:eastAsia="arial" w:hAnsi="arial" w:cs="arial"/>
          <w:color w:val="000000"/>
          <w:sz w:val="20"/>
          <w:lang w:val="en-US" w:eastAsia="en-US" w:bidi="ar-SA"/>
        </w:rPr>
        <w:t xml:space="preserve"> at paras. 187 and 188; </w:t>
      </w:r>
      <w:r>
        <w:rPr>
          <w:rFonts w:ascii="arial" w:eastAsia="arial" w:hAnsi="arial" w:cs="arial"/>
          <w:i/>
          <w:color w:val="000000"/>
          <w:sz w:val="20"/>
          <w:lang w:val="en-US" w:eastAsia="en-US" w:bidi="ar-SA"/>
        </w:rPr>
        <w:t>RBC Dominion Securities</w:t>
      </w:r>
      <w:r>
        <w:rPr>
          <w:rFonts w:ascii="arial" w:eastAsia="arial" w:hAnsi="arial" w:cs="arial"/>
          <w:color w:val="000000"/>
          <w:sz w:val="20"/>
          <w:lang w:val="en-US" w:eastAsia="en-US" w:bidi="ar-SA"/>
        </w:rPr>
        <w:t>. The challenge lies in determining the boundary between acceptable planning and preparation on the one hand, and impermissible competition with one's employer on the other. The lack of clarity as to when the actions of a current employee cross the line from the tolerable to the improper has been lamented in the authorities. Whether or not the employee is also a fiduciary informs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Fleming v. Calyniuk</w:t>
      </w:r>
      <w:r>
        <w:rPr>
          <w:rFonts w:ascii="arial" w:eastAsia="arial" w:hAnsi="arial" w:cs="arial"/>
          <w:color w:val="000000"/>
          <w:sz w:val="20"/>
          <w:lang w:val="en-US" w:eastAsia="en-US" w:bidi="ar-SA"/>
        </w:rPr>
        <w:t xml:space="preserve">, </w:t>
      </w:r>
      <w:hyperlink r:id="rId1044" w:history="1">
        <w:r>
          <w:rPr>
            <w:rFonts w:ascii="arial" w:eastAsia="arial" w:hAnsi="arial" w:cs="arial"/>
            <w:i/>
            <w:color w:val="0077CC"/>
            <w:sz w:val="20"/>
            <w:u w:val="single"/>
            <w:shd w:val="clear" w:color="auto" w:fill="FFFFFF"/>
            <w:lang w:val="en-US" w:eastAsia="en-US" w:bidi="ar-SA"/>
          </w:rPr>
          <w:t>2007 SKCA 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Fleming</w:t>
      </w:r>
      <w:r>
        <w:rPr>
          <w:rFonts w:ascii="arial" w:eastAsia="arial" w:hAnsi="arial" w:cs="arial"/>
          <w:color w:val="000000"/>
          <w:sz w:val="20"/>
          <w:lang w:val="en-US" w:eastAsia="en-US" w:bidi="ar-SA"/>
        </w:rPr>
        <w:t>], relied upon by the plaintiffs, the Saskatchewan Court of Appeal canvassed several appellate decisions that considered what steps aimed at competing with the employer may be permissible of a fiduciary employee in contrast to an ordinary employee. The court's discussion speaks to the difficulty in finding the line between acceptable and unacceptable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xml:space="preserve">  Included among the cases surveyed in </w:t>
      </w:r>
      <w:r>
        <w:rPr>
          <w:rFonts w:ascii="arial" w:eastAsia="arial" w:hAnsi="arial" w:cs="arial"/>
          <w:i/>
          <w:color w:val="000000"/>
          <w:sz w:val="20"/>
          <w:lang w:val="en-US" w:eastAsia="en-US" w:bidi="ar-SA"/>
        </w:rPr>
        <w:t>Fleming,</w:t>
      </w:r>
      <w:r>
        <w:rPr>
          <w:rFonts w:ascii="arial" w:eastAsia="arial" w:hAnsi="arial" w:cs="arial"/>
          <w:color w:val="000000"/>
          <w:sz w:val="20"/>
          <w:lang w:val="en-US" w:eastAsia="en-US" w:bidi="ar-SA"/>
        </w:rPr>
        <w:t xml:space="preserve"> is </w:t>
      </w:r>
      <w:r>
        <w:rPr>
          <w:rFonts w:ascii="arial" w:eastAsia="arial" w:hAnsi="arial" w:cs="arial"/>
          <w:i/>
          <w:color w:val="000000"/>
          <w:sz w:val="20"/>
          <w:lang w:val="en-US" w:eastAsia="en-US" w:bidi="ar-SA"/>
        </w:rPr>
        <w:t>Torcana Valve Services Inc. v. Anderson</w:t>
      </w:r>
      <w:r>
        <w:rPr>
          <w:rFonts w:ascii="arial" w:eastAsia="arial" w:hAnsi="arial" w:cs="arial"/>
          <w:color w:val="000000"/>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2007 ABQB 356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Torcana</w:t>
      </w:r>
      <w:r>
        <w:rPr>
          <w:rFonts w:ascii="arial" w:eastAsia="arial" w:hAnsi="arial" w:cs="arial"/>
          <w:color w:val="000000"/>
          <w:sz w:val="20"/>
          <w:lang w:val="en-US" w:eastAsia="en-US" w:bidi="ar-SA"/>
        </w:rPr>
        <w:t xml:space="preserve">], which Mr. Vinall relies upon. In </w:t>
      </w:r>
      <w:r>
        <w:rPr>
          <w:rFonts w:ascii="arial" w:eastAsia="arial" w:hAnsi="arial" w:cs="arial"/>
          <w:i/>
          <w:color w:val="000000"/>
          <w:sz w:val="20"/>
          <w:lang w:val="en-US" w:eastAsia="en-US" w:bidi="ar-SA"/>
        </w:rPr>
        <w:t>Torcana</w:t>
      </w:r>
      <w:r>
        <w:rPr>
          <w:rFonts w:ascii="arial" w:eastAsia="arial" w:hAnsi="arial" w:cs="arial"/>
          <w:color w:val="000000"/>
          <w:sz w:val="20"/>
          <w:lang w:val="en-US" w:eastAsia="en-US" w:bidi="ar-SA"/>
        </w:rPr>
        <w:t>, Graesser J. examined the scope of permissible conduct of an ordinary employee and a fiduciary employee, concluding at paras. 54 and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It appears clear from the case law that it is not a breach of duty for an ordinary employee to plan his or her departure from the employer's employment, nor is it problematic for the employee to make plans with other employees. A caveat on that is that these activities should not occur during normal working hours nor on the employer's premises, and should not involve any inducements to breaching contractual duties. Failing those impediments, however, there are generally no restrictions on employees planning to leave and set up a competing business (other than issues relating to misuse of confidential or proprietary information after they have gone). Are things different for a fiduciary employee?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answer to that question is fact driven and not always clear. It would generally be contrary to public opinion and contrary to common sense, to prohibit a fiduciary from contemplating leaving and working for the competition, while still employed. So long as the fiduciary can fulfil his or her employment obligations, I see no difficulty in concept with a fiduciary making plans and indeed acting on them in a preparatory way. </w:t>
      </w:r>
      <w:r>
        <w:rPr>
          <w:rFonts w:ascii="arial" w:eastAsia="arial" w:hAnsi="arial" w:cs="arial"/>
          <w:color w:val="000000"/>
          <w:sz w:val="20"/>
          <w:u w:val="single"/>
          <w:lang w:val="en-US" w:eastAsia="en-US" w:bidi="ar-SA"/>
        </w:rPr>
        <w:t>Getting legal advice</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getting accounting and tax advice, arranging for premises, arranging for staff and other normal things involved in setting up a business might be done without any breach of fiduciary duty (so long as they are done on the fiduciary's own time, off the employer's premises, and while the fiduciary is still faithfully performing his or her job).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Fleming,</w:t>
      </w:r>
      <w:r>
        <w:rPr>
          <w:rFonts w:ascii="arial" w:eastAsia="arial" w:hAnsi="arial" w:cs="arial"/>
          <w:color w:val="000000"/>
          <w:sz w:val="20"/>
          <w:lang w:val="en-US" w:eastAsia="en-US" w:bidi="ar-SA"/>
        </w:rPr>
        <w:t xml:space="preserve"> the Court expressed uncertainty as to whether the authorities went so far as to support the underlined portion of the above passage in </w:t>
      </w:r>
      <w:r>
        <w:rPr>
          <w:rFonts w:ascii="arial" w:eastAsia="arial" w:hAnsi="arial" w:cs="arial"/>
          <w:i/>
          <w:color w:val="000000"/>
          <w:sz w:val="20"/>
          <w:lang w:val="en-US" w:eastAsia="en-US" w:bidi="ar-SA"/>
        </w:rPr>
        <w:t>Torcana</w:t>
      </w:r>
      <w:r>
        <w:rPr>
          <w:rFonts w:ascii="arial" w:eastAsia="arial" w:hAnsi="arial" w:cs="arial"/>
          <w:color w:val="000000"/>
          <w:sz w:val="20"/>
          <w:lang w:val="en-US" w:eastAsia="en-US" w:bidi="ar-SA"/>
        </w:rPr>
        <w:t xml:space="preserve">, without imposing an obligation on the fiduciary to inform and obtain consent from the current employer. Acknowledging that Graesser J. made those comments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Fleming</w:t>
      </w:r>
      <w:r>
        <w:rPr>
          <w:rFonts w:ascii="arial" w:eastAsia="arial" w:hAnsi="arial" w:cs="arial"/>
          <w:color w:val="000000"/>
          <w:sz w:val="20"/>
          <w:lang w:val="en-US" w:eastAsia="en-US" w:bidi="ar-SA"/>
        </w:rPr>
        <w:t xml:space="preserve"> did not make a determination one way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Fleming</w:t>
      </w:r>
      <w:r>
        <w:rPr>
          <w:rFonts w:ascii="arial" w:eastAsia="arial" w:hAnsi="arial" w:cs="arial"/>
          <w:color w:val="000000"/>
          <w:sz w:val="20"/>
          <w:lang w:val="en-US" w:eastAsia="en-US" w:bidi="ar-SA"/>
        </w:rPr>
        <w:t xml:space="preserve"> did not indicate disagreement with the comments of Graesser J. made in para. 54 concerning the steps that are acceptable for an ordinary employee to undertake in advance of leaving the present employer. If Graesser J.'s comments are interpreted to mean that it is permissible for an ordinary employee to actually set up a competing business while still employed, as opposed to taking preparatory planning steps to set it up, I have reservations about their accuracy. The term "set up" strikes me as somewhat ambiguous in this context, and, if given a broad construction, could conceivably sanction the employee actively implementing an operating competing business and taking similar steps that would encroach over the line drawn in </w:t>
      </w:r>
      <w:r>
        <w:rPr>
          <w:rFonts w:ascii="arial" w:eastAsia="arial" w:hAnsi="arial" w:cs="arial"/>
          <w:i/>
          <w:color w:val="000000"/>
          <w:sz w:val="20"/>
          <w:lang w:val="en-US" w:eastAsia="en-US" w:bidi="ar-SA"/>
        </w:rPr>
        <w:t>RBC Dominion Securities</w:t>
      </w:r>
      <w:r>
        <w:rPr>
          <w:rFonts w:ascii="arial" w:eastAsia="arial" w:hAnsi="arial" w:cs="arial"/>
          <w:color w:val="000000"/>
          <w:sz w:val="20"/>
          <w:lang w:val="en-US" w:eastAsia="en-US" w:bidi="ar-SA"/>
        </w:rPr>
        <w:t>,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xml:space="preserve">  Returning to </w:t>
      </w:r>
      <w:r>
        <w:rPr>
          <w:rFonts w:ascii="arial" w:eastAsia="arial" w:hAnsi="arial" w:cs="arial"/>
          <w:i/>
          <w:color w:val="000000"/>
          <w:sz w:val="20"/>
          <w:lang w:val="en-US" w:eastAsia="en-US" w:bidi="ar-SA"/>
        </w:rPr>
        <w:t>Fleming</w:t>
      </w:r>
      <w:r>
        <w:rPr>
          <w:rFonts w:ascii="arial" w:eastAsia="arial" w:hAnsi="arial" w:cs="arial"/>
          <w:color w:val="000000"/>
          <w:sz w:val="20"/>
          <w:lang w:val="en-US" w:eastAsia="en-US" w:bidi="ar-SA"/>
        </w:rPr>
        <w:t>, the appeal was decided on the footing that the employee in question owed his employer a fiduciary duty. At para. 24 the Court held that, although the distinction between the implied duty of fidelity and fiduciary duties was not obvious, something more is required of an employee who owes fiduciary duties than of one who owes only a duty of fidelity. Jackson J.A. concluded that a fiduciary employee may not be in breach where he or she is "simply in the preliminary stage of either contemplating or casually discussing with others the possibility of developing his or her own competing business": at para. 25. Expanding on that proposition, Jackson J.A. noted that there were no cases that have held that "preparatory steps of an embryonic nature only, and taken on one's own time, constitute a breach of an employee's fiduciary duty of loyalty such that they must be disclosed": at para. 28. Where the conduct of a fiduciary employee goes beyond such preparatory steps, he or she is likely duty-bound to inform the employer and obtain the employer's consent. Jackson J.A. reasoned that this obligation stemmed from the fiduciary's fundamental duty to avoid conflicts of interest and to disclose them when they arise, and distinguished the fiduciary employee from the ordinary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RBC Dominion Securities,</w:t>
      </w:r>
      <w:r>
        <w:rPr>
          <w:rFonts w:ascii="arial" w:eastAsia="arial" w:hAnsi="arial" w:cs="arial"/>
          <w:color w:val="000000"/>
          <w:sz w:val="20"/>
          <w:lang w:val="en-US" w:eastAsia="en-US" w:bidi="ar-SA"/>
        </w:rPr>
        <w:t xml:space="preserve"> the Supreme Court of Canada considered the contours of an employee's implied duty of good faith in the context of the actions of a branch manager who had orchestrated his departure to join a competing firm with the majority of his investment advisors in tow, causing a "near-collapse" of the employer's investment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At paras. 18-19, 37 and 39-41, McLachlin C.J.C. and Abella J., respectively, affirmed the proposition that as soon as the employment comes to an end employees are generally free to compete with their former employer's business. There are exceptions where there is a valid restrictive covenant limiting post-employment competition, the employee owes a fiduciary duty to the former employer and where the employee misappropriates the former employer's confidential information or trade secrets and exploits them for the purposes of competition. McLachlin C.J.C., for the majority, affirmed the decision of the Court of Appeal that an employee who has terminated employment is not prevented from competing with his or her employer during the notice period. In those circumstances, the employer is confined to damages to compensate for the employee's failure to give reasonable notice. To this general proposition, the Court reiterated, at para. 18, the important qualification that a departing employee might nonetheless be liable for specific wrongs, such as improper use of confidential information during or after the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Madam Justice Abella, dissenting on the conclusion of the majority that the branch manager breached his implied duty of good faith in the manner of his departure, discussed the kinds of steps that an employee is entitled to take to seek new employment with a competitor during the currency of his or her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 It seems to me that a necessary corollary to an employee's undisputed right to compete following the termination of the employment relationship is the right to plan for future employment opportunities while still employed. This is subject, of course, to the duty not to breach an employer's confidentiality. But it is not, in my view, a breach of an employee's implied duty of good faith to search for alternative job opportunities, to negotiate with a competitor, or to talk to co-workers about his or her intentions. (See Stacey R. Ball, </w:t>
      </w:r>
      <w:r>
        <w:rPr>
          <w:rFonts w:ascii="arial" w:eastAsia="arial" w:hAnsi="arial" w:cs="arial"/>
          <w:i/>
          <w:color w:val="000000"/>
          <w:sz w:val="20"/>
          <w:lang w:val="en-US" w:eastAsia="en-US" w:bidi="ar-SA"/>
        </w:rPr>
        <w:t>Canadian Employment Law</w:t>
      </w:r>
      <w:r>
        <w:rPr>
          <w:rFonts w:ascii="arial" w:eastAsia="arial" w:hAnsi="arial" w:cs="arial"/>
          <w:color w:val="000000"/>
          <w:sz w:val="20"/>
          <w:lang w:val="en-US" w:eastAsia="en-US" w:bidi="ar-SA"/>
        </w:rPr>
        <w:t xml:space="preserve"> (loose-leaf), vol. 1, at p. 15-2, footnote 9.) I agree with Macklin J.'s observation in </w:t>
      </w:r>
      <w:r>
        <w:rPr>
          <w:rFonts w:ascii="arial" w:eastAsia="arial" w:hAnsi="arial" w:cs="arial"/>
          <w:i/>
          <w:color w:val="000000"/>
          <w:sz w:val="20"/>
          <w:lang w:val="en-US" w:eastAsia="en-US" w:bidi="ar-SA"/>
        </w:rPr>
        <w:t>Westcan Bulk Transport Ltd. v. Stewart</w:t>
      </w:r>
      <w:r>
        <w:rPr>
          <w:rFonts w:ascii="arial" w:eastAsia="arial" w:hAnsi="arial" w:cs="arial"/>
          <w:color w:val="000000"/>
          <w:sz w:val="20"/>
          <w:lang w:val="en-US" w:eastAsia="en-US" w:bidi="ar-SA"/>
        </w:rPr>
        <w:t xml:space="preserve"> </w:t>
      </w:r>
      <w:hyperlink r:id="rId1046" w:history="1">
        <w:r>
          <w:rPr>
            <w:rFonts w:ascii="arial" w:eastAsia="arial" w:hAnsi="arial" w:cs="arial"/>
            <w:i/>
            <w:color w:val="0077CC"/>
            <w:sz w:val="20"/>
            <w:u w:val="single"/>
            <w:shd w:val="clear" w:color="auto" w:fill="FFFFFF"/>
            <w:lang w:val="en-US" w:eastAsia="en-US" w:bidi="ar-SA"/>
          </w:rPr>
          <w:t>(2005), 373 A.R. 236</w:t>
        </w:r>
      </w:hyperlink>
      <w:r>
        <w:rPr>
          <w:rFonts w:ascii="arial" w:eastAsia="arial" w:hAnsi="arial" w:cs="arial"/>
          <w:color w:val="000000"/>
          <w:sz w:val="20"/>
          <w:lang w:val="en-US" w:eastAsia="en-US" w:bidi="ar-SA"/>
        </w:rPr>
        <w:t xml:space="preserve">, </w:t>
      </w:r>
      <w:hyperlink r:id="rId1046" w:history="1">
        <w:r>
          <w:rPr>
            <w:rFonts w:ascii="arial" w:eastAsia="arial" w:hAnsi="arial" w:cs="arial"/>
            <w:i/>
            <w:color w:val="0077CC"/>
            <w:sz w:val="20"/>
            <w:u w:val="single"/>
            <w:shd w:val="clear" w:color="auto" w:fill="FFFFFF"/>
            <w:lang w:val="en-US" w:eastAsia="en-US" w:bidi="ar-SA"/>
          </w:rPr>
          <w:t>2005 ABQB 97</w:t>
        </w:r>
      </w:hyperlink>
      <w:r>
        <w:rPr>
          <w:rFonts w:ascii="arial" w:eastAsia="arial" w:hAnsi="arial" w:cs="arial"/>
          <w:color w:val="000000"/>
          <w:sz w:val="20"/>
          <w:lang w:val="en-US" w:eastAsia="en-US" w:bidi="ar-SA"/>
        </w:rPr>
        <w:t>,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Every individual has the fundamental right to earn a livelihood... . Reasonable restrictions [on that right] do not include those reasonable steps the employee must take to prepare to earn a livelihood as soon as possible following the termination of employment with the employer. [para. 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Leith v. Rosen Fuels Ltd.</w:t>
      </w:r>
      <w:r>
        <w:rPr>
          <w:rFonts w:ascii="arial" w:eastAsia="arial" w:hAnsi="arial" w:cs="arial"/>
          <w:color w:val="000000"/>
          <w:sz w:val="20"/>
          <w:lang w:val="en-US" w:eastAsia="en-US" w:bidi="ar-SA"/>
        </w:rPr>
        <w:t xml:space="preserve"> </w:t>
      </w:r>
      <w:hyperlink r:id="rId1047" w:history="1">
        <w:r>
          <w:rPr>
            <w:rFonts w:ascii="arial" w:eastAsia="arial" w:hAnsi="arial" w:cs="arial"/>
            <w:i/>
            <w:color w:val="0077CC"/>
            <w:sz w:val="20"/>
            <w:u w:val="single"/>
            <w:shd w:val="clear" w:color="auto" w:fill="FFFFFF"/>
            <w:lang w:val="en-US" w:eastAsia="en-US" w:bidi="ar-SA"/>
          </w:rPr>
          <w:t>(1984), 5 C.C.E.L. 184</w:t>
        </w:r>
      </w:hyperlink>
      <w:r>
        <w:rPr>
          <w:rFonts w:ascii="arial" w:eastAsia="arial" w:hAnsi="arial" w:cs="arial"/>
          <w:color w:val="000000"/>
          <w:sz w:val="20"/>
          <w:lang w:val="en-US" w:eastAsia="en-US" w:bidi="ar-SA"/>
        </w:rPr>
        <w:t xml:space="preserve"> (Ont. H.C.J.), at p. 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Abella J.'s reasoning was informed by the trial judge's finding, which was not appealed, that the branch manager did not owe a fiduciary duty to the employer. She acknowledged that fiduciary employees are held to a higher and more exacting standard: at paras. 46 and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Zoic</w:t>
      </w:r>
      <w:r>
        <w:rPr>
          <w:rFonts w:ascii="arial" w:eastAsia="arial" w:hAnsi="arial" w:cs="arial"/>
          <w:color w:val="000000"/>
          <w:sz w:val="20"/>
          <w:lang w:val="en-US" w:eastAsia="en-US" w:bidi="ar-SA"/>
        </w:rPr>
        <w:t xml:space="preserve">, at para. 187, Russell J. referred to the instructive discussion of the distinction between planning and preparation and competition by the authors of Geoffrey England, </w:t>
      </w:r>
      <w:r>
        <w:rPr>
          <w:rFonts w:ascii="arial" w:eastAsia="arial" w:hAnsi="arial" w:cs="arial"/>
          <w:i/>
          <w:color w:val="000000"/>
          <w:sz w:val="20"/>
          <w:lang w:val="en-US" w:eastAsia="en-US" w:bidi="ar-SA"/>
        </w:rPr>
        <w:t>Employment Law in Canada</w:t>
      </w:r>
      <w:r>
        <w:rPr>
          <w:rFonts w:ascii="arial" w:eastAsia="arial" w:hAnsi="arial" w:cs="arial"/>
          <w:color w:val="000000"/>
          <w:sz w:val="20"/>
          <w:lang w:val="en-US" w:eastAsia="en-US" w:bidi="ar-SA"/>
        </w:rPr>
        <w:t xml:space="preserve">, vol. 2, 4th ed. (loose-leaf, updated June 2012, release 38) (Markam Ont.: LexisNexis Canada Inc., 2005) at s. 11.137. The equivalent passage in the updated loose-leaf version dated December 2016, release 68 at s.11.137, reproduced below, endorses the principles articulated by Abella J. in </w:t>
      </w:r>
      <w:r>
        <w:rPr>
          <w:rFonts w:ascii="arial" w:eastAsia="arial" w:hAnsi="arial" w:cs="arial"/>
          <w:i/>
          <w:color w:val="000000"/>
          <w:sz w:val="20"/>
          <w:lang w:val="en-US" w:eastAsia="en-US" w:bidi="ar-SA"/>
        </w:rPr>
        <w:t>RBC Dominion Securities</w:t>
      </w:r>
      <w:r>
        <w:rPr>
          <w:rFonts w:ascii="arial" w:eastAsia="arial" w:hAnsi="arial" w:cs="arial"/>
          <w:color w:val="000000"/>
          <w:sz w:val="20"/>
          <w:lang w:val="en-US" w:eastAsia="en-US" w:bidi="ar-SA"/>
        </w:rPr>
        <w:t xml:space="preserve"> concerning the bounds of unobjectionable conduct of a non-fiduciary employee in planning for a new job with a competitor: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Difficulties have arisen in determining the exact point at which planning and preparation by an employee who is still employed to set up himself or herself in competition with the employer will violate his or her implied duty of fidelity. In two older cases, the courts held that the implied obligation was breached when employees met with a competitor, or between themselves, to discuss setting up in business to compete directly with their employer. It is submitted, however, that these decisions should be viewed with circumspection. After all, if it is lawful for an employee to engage in post-termination competition with an employer, it hardly makes sense to hold it unlawful to plan the form that such competition will take. In later decisions on point, the courts have held that merely planning to establish a competing business does not </w:t>
      </w:r>
      <w:r>
        <w:rPr>
          <w:rFonts w:ascii="arial" w:eastAsia="arial" w:hAnsi="arial" w:cs="arial"/>
          <w:i/>
          <w:color w:val="000000"/>
          <w:sz w:val="20"/>
          <w:lang w:val="en-US" w:eastAsia="en-US" w:bidi="ar-SA"/>
        </w:rPr>
        <w:t>ipso facto</w:t>
      </w:r>
      <w:r>
        <w:rPr>
          <w:rFonts w:ascii="arial" w:eastAsia="arial" w:hAnsi="arial" w:cs="arial"/>
          <w:color w:val="000000"/>
          <w:sz w:val="20"/>
          <w:lang w:val="en-US" w:eastAsia="en-US" w:bidi="ar-SA"/>
        </w:rPr>
        <w:t xml:space="preserve"> violate the duty, unless it is clear that the employee has already determined to abuse the employer's confidential information or trade secrets in his or her future business or has already begun to canvass the employer's customers or entice fellow employees of the employer to join him or her in the new business. The two earlier decisions can be explained on the ground that the employees in question, in addition to planning to set up a competing business, had decided firmly to misuse their employer's confidential information. The principle expressed in the later decisions is the better view, for as Sloan C.J.B.C. stated in his dissenting opinion in one of the earlier decisions, the oppositive view would tread: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dangerously close to saying that in a free enterprise society a man's thoughts and conversation of an intention to attempt to better his position in life by leaving his present position and undertaking another even in competition with his employer is an actionable wrong...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Nor does it violate the duty of fidelity for an employee to search out alternate employment with a competitor organization, to respond to a competitor's offers of employment and to accept an offer of alternate employment, the policy being to facilitate labour mobility. While written in the context of a dissent over a finding that a branch manager not in a fiduciary relationship had nonetheless breached an implied duty of good faith in leading an exodus of investment advisors to a new firm, Abella J. in [</w:t>
      </w:r>
      <w:r>
        <w:rPr>
          <w:rFonts w:ascii="arial" w:eastAsia="arial" w:hAnsi="arial" w:cs="arial"/>
          <w:i/>
          <w:color w:val="000000"/>
          <w:sz w:val="20"/>
          <w:lang w:val="en-US" w:eastAsia="en-US" w:bidi="ar-SA"/>
        </w:rPr>
        <w:t>RBC Dominion Securities</w:t>
      </w:r>
      <w:r>
        <w:rPr>
          <w:rFonts w:ascii="arial" w:eastAsia="arial" w:hAnsi="arial" w:cs="arial"/>
          <w:color w:val="000000"/>
          <w:sz w:val="20"/>
          <w:lang w:val="en-US" w:eastAsia="en-US" w:bidi="ar-SA"/>
        </w:rPr>
        <w:t>] sets out, it is submitted, the applicable principles for employees planning on moving to a new employer or starting up their own ventures. The learned justice noted that non-fiduciary employees regularly leave their employers and, in the absence of any competition during their employment or improper use of confidential information, it is not a breach of an employee's implied duty of good faith "to plan for future employment opportunities while still employed". This includes an employee searching for alternative job opportunities, negotiation with a competitor or talking to co-workers about his or her intentions.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Express Contractual Provisions to Refrain From Competing and Similar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A preliminary issue for determination is whether Mr. Vinall was subject to a valid non-compete covenant under the Sateri Employment Contract and/or the Declaration, as alleged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The provision of the Sateri Employment Contract that Mr. Vinall is said to have breached in this regard reads,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XVIII.2. Subject to any existing non-restraint of trade legislation, [Mr. Vinall] shall not, at any time during the term of his employment with [Sateri Shanghai] and for a period of </w:t>
      </w:r>
      <w:r>
        <w:rPr>
          <w:rFonts w:ascii="arial" w:eastAsia="arial" w:hAnsi="arial" w:cs="arial"/>
          <w:b/>
          <w:color w:val="000000"/>
          <w:sz w:val="20"/>
          <w:lang w:val="en-US" w:eastAsia="en-US" w:bidi="ar-SA"/>
        </w:rPr>
        <w:t>12 months</w:t>
      </w:r>
      <w:r>
        <w:rPr>
          <w:rFonts w:ascii="arial" w:eastAsia="arial" w:hAnsi="arial" w:cs="arial"/>
          <w:color w:val="000000"/>
          <w:sz w:val="20"/>
          <w:lang w:val="en-US" w:eastAsia="en-US" w:bidi="ar-SA"/>
        </w:rPr>
        <w:t xml:space="preserve"> after the termination of his/ her employment with [Sateri Shanghai], do or permit any of the following without the prior written consent of [Sateri Shanghai]:</w:t>
      </w:r>
    </w:p>
    <w:p>
      <w:pPr>
        <w:numPr>
          <w:numId w:val="12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directly or indirectly carry on or be engaged or interested in any capacity in any occupation similar to that of [Mr. Vinall] when [Mr. Vinall] was employed by, held positions with and/or was engaged in activities with the business or businesses of [Sateri Shanghai] or any Group companies;...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[Bolding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The non-compete covenant is not confined in its geographic coverage. However, a geographic limitation is imposed by the corresponding non-compete restriction found in paragraph 4.2.1 of the Declaration: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compliance with law, I shall not, at any time during the term of my employment with [Sateri Shanghai] and for a period of </w:t>
      </w:r>
      <w:r>
        <w:rPr>
          <w:rFonts w:ascii="arial" w:eastAsia="arial" w:hAnsi="arial" w:cs="arial"/>
          <w:b/>
          <w:color w:val="000000"/>
          <w:sz w:val="20"/>
          <w:lang w:val="en-US" w:eastAsia="en-US" w:bidi="ar-SA"/>
        </w:rPr>
        <w:t>twelve (12)</w:t>
      </w:r>
      <w:r>
        <w:rPr>
          <w:rFonts w:ascii="arial" w:eastAsia="arial" w:hAnsi="arial" w:cs="arial"/>
          <w:color w:val="000000"/>
          <w:sz w:val="20"/>
          <w:lang w:val="en-US" w:eastAsia="en-US" w:bidi="ar-SA"/>
        </w:rPr>
        <w:t xml:space="preserve"> months after cessation of my employment with [Sateri Shanghai], do or permit any of the following without the prior written consent of [Sateri Shanghai]:</w:t>
      </w:r>
    </w:p>
    <w:p>
      <w:pPr>
        <w:numPr>
          <w:numId w:val="12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 engaged in any activity or employment, similar to the scope and contents of my work whilst I was employed by [Sateri Shanghai], </w:t>
      </w:r>
      <w:r>
        <w:rPr>
          <w:rFonts w:ascii="arial" w:eastAsia="arial" w:hAnsi="arial" w:cs="arial"/>
          <w:color w:val="000000"/>
          <w:sz w:val="20"/>
          <w:u w:val="single"/>
          <w:lang w:val="en-US" w:eastAsia="en-US" w:bidi="ar-SA"/>
        </w:rPr>
        <w:t>in any country where [Sateri Shanghai] has offices or plants;</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It will be remembered that the Declaration stipulates that, to the extent of any conflict between its terms and those of the Sateri Employment Contract, the terms of the Declaration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The non-compete provisions set out in clause XVIII.2 of the Sateri Employment Contract and those in paragraph 4.2.1 of the Declaration are in plain conflict as they pertain to the geographic reach of Mr. Vinall's obligations. The former does not impose a limitation, and the latter does. Accordingly, the provisions of the Declaration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There is no evidence that Sateri Shanghai has, or ever did have, a plant or office in Canada so as to trigger application of the non-compete provision contained in the Declaration. That is also true with respect to the two other plaintiffs and the non-plaintiff Sateri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In the result, the restraints set out in clause XVIII.2 of the Sateri Employment Contract and in paragraph 4.2.1 of the Declaration have no application to Mr. Vinall.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Mr. Vinall's employment agreements contain other provisions that purport to impose relatively extensive limitations on his entitlement to directly or indirectly engage in certain activities during the course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Clauses XV.2 and XVIII.1 of the Sateri Employment Contract respectively stipulate: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XV.2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Vinall] will not, except with written permission from [Sateri Shanghai], engage directly or indirectly in any other business or occupation whether as principal, agent or otherwise, except where appointed to positions and duties within other Group companies, or engage in any activity to the detriment, whether direct or indirect, of [Sateri Shanghai's] or the Group's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XVIII.1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Vinall] shall not during the term of his/her employment with [Sateri Shanghai] be employed by, hold positions with, nor be engaged in activities on behalf of other employers or principals unless approved in writing by [Sateri Shanghai] or unless engaged in such manner by other Group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A parallel and more expansive curtailment is contained in paragraph 4.1 of the Declaration: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that I shall not during the term of my employment with [Sateri Shanghai] be employed by, hold positions with, nor be engaged in activities on behalf of any principals or entities, or be engaged in my own enterprise whether by myself or jointly with other persons, directly or indirectly in any capacity whatsoever, unless approved in writing by [Sateri Shanghai] or unless engaged in such manner by other Group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Read together, the foregoing provisions have a wide grasp. I will consider their application in the analysis below.</w:t>
      </w:r>
      <w:r>
        <w:rPr>
          <w:rFonts w:ascii="arial" w:eastAsia="arial" w:hAnsi="arial" w:cs="arial"/>
          <w:sz w:val="20"/>
          <w:lang w:val="en-US" w:eastAsia="en-US" w:bidi="ar-SA"/>
        </w:rPr>
        <w:cr/>
      </w:r>
    </w:p>
    <w:p>
      <w:pPr>
        <w:numPr>
          <w:numId w:val="12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To set the discussion I will say that Mr. Vinall's credibility suffered more in relation to this disputed subject area than in all others. He repeatedly minimized the nature, regularity and importance of his participation in Fortress's acquisition of the Thurso Mill. His insistence that he provided limited and only technical input to Fortress on the conversion feature and its overlap with the co-generation element, which he claimed totalled not more than the equivalent of seven full days on his own time, is implausible on any considered weighing of the evidence. Although I accept that Mr. Vinall repeatedly exaggerated the overall importance of his role in the transaction as a negotiating tactic to maximize his compensation, there was more than a kernel of accuracy in his self-promoting communications to Mr. Sangra and to Mr. Wasilenkoff.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Mr. Vinall's dominant interest in arranging the October 2009 Call was to secure new employment that would facilitate resettlement in Canada with as lucrative an employment arrangement as possible and, ideally, with an equity position in the new venture. In order for his goal to be realized, Fortress had to acquire the Thurso Mill. With that vital objective at the forefront and in some respects comporting himself with the mindset of a future owner, Mr. Vinall helped to lay the groundwork to bring it about. He furnished his assistance over a period of nearly six months while still working at Sateri.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By its nature, the proposed Thurso Mill project was complex and multifaceted, entailing the negotiation and achievement of a series of decisive milestones along the way to completion. Obtaining a financial commitment from the Quebec government was the linchpin of the entire transaction. The AcCELLerate PowerPoint was an important part of Fortress's introduction to the Quebec government and Mr. Vinall was instrumental in the composition of some of the slides. That said, the evidence does not go so far as to establish that the PowerPoint presentation played a significant role in Fortress securing the deal - not by any means. It was merely one factor in a complex scenario that helped introduce Fortress to the government and obtain a greenlight to move to the next stage. Fortress's successful track record in the forestry sector likely played a greater role in gaining a credible foothold with the Quebec government. But it was not decisive either. In the context of this discussion, it cannot be overlooked that weeks after the AcCELLerate presentation, the monitor instructed Mr. Veilleux to contact several other companies as potential buyers and Fraser Papers entered into at least one confidentiality agreement relative to the Thurso Mill transaction with another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Mr. Vinall readily shared his technical and operational expertise when called upon and by his own initiative. In addition to misusing the small bits of confidential information in the category two documents and sharing the trip report, Mr. Vinall took advantage of some of the plaintiffs' internal resources. For example, he obtained the Cornerstone model data from Mr. Shaohua, passed along information about the Kemijarvi assets he had obtained from Mr. Leite and used other internal information, such as the tree trunk graphic. A further example is found in Mr. Vinall's request in December 2009 to a Sateri marketing employee to share data compiled by an industry consultant called PCI. At trial, Mr. Vinall testified that over the years he had collected materials prepared by PCI into his database and that he "knew the principal at PCI very well". However, it is plain from his own email to the Sateri employee that he did not know who PCI was at that time. Mr. Vinall's explanation for this inconsistency was unsatisfactory. He wanted the PCI data in furtherance of the Thurso Mill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Mr. Vinall also took steps to bring Mr. Monahan aboard and with some regularity throughout the timeline, communicated with him, Mr. Veilleux and others about a range of technical and operational matters facing the project. After the Quebec government confirmed its preliminary interest and the deal began to unfold, the nature and frequency of Mr. Vinall's involvement expanded. Mr. Wasilenkoff treated Mr. Vinall as though he was part of the Fortress team. They were in regular contact to discuss technical concerns, as well as other matters of substance (for example, Mr. Vinall reviewed and commented upon one or more of Fortress's proposed letters of intent to the Quebec government). I find that Fortress shared information with Mr. Vinall under the Fraser Papers' confidentiality agreement because it looked upon him as acting in a consultative-like role. Fortress also introduced Mr. Vinall to Mr. MacHan who understood that "John" would be Fortress's lead technical person for the conversion. Having confidence that Fortress had that in-house technical expertise was of importance to the Quebec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Mr. Vinall was kept apprised of the major developments in the transaction as they occurred, including some of the unanticipated problems that erupted along the way. He participated as a technical advisor of sorts to Fortress in at least two telephone conferences with the stakeholders. Along with Mr. Veilleux, he assisted in the development of a modified business plan for the project to address matters raised by the government. He also helped rewrite information for inclusion in presentations for potential investors. He even provided input on engineering matters related to the conversion. As far as Mr. Vinall was concerned, he began to incur travel expenses on behalf of Fortress in early March 2010, although Fortress declined to reimburse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It is the case that Mr. Vinall played no significant role in negotiating the details of the transaction with the Quebec government or the monitor. Nor did he assist Fortress in overcoming the many non-technical hurdles it confronted in trying to close the deal, such as achieving agreement with the trade unions, resolving an unexpected environmental problem and obtaining the approval of the monitor and of the court. But that does not diminish the fact that Mr. Vinall's assistance behind the scenes was steady and crucial. Because the Thurso Mill had been virtually inoperative and running with a skeletal staff to "keep the lights on" for a prolonged period, the substantive technical and operational decisions he was part of to restart the plant and implement the conversion were vital.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In any event, the applicable test does not ask whether Mr. Vinall made the largest or the most significant contribution in bringing the potentially competitive venture to fruition. What is of interest is whether his conduct trespassed into the impermissible realm of actively assisting in the creation and implementation of a transaction by which it was understood his new employer would become a competitor in the upstream dissolving pulp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Fairly early on Mr. Vinall used his middle name and an alias email to shield his identity and thus his involvement with Fortress to the outside world. I find that he was initially motivated to do so because there was no guarantee the Fortress deal would pan out and he worried that his job at Sateri would be jeopardized if his intention to join Fortress was exposed. As the months passed and his assistance to Fortress intensified, the veil of secrecy became all the more essential as Mr. Vinall could see that the nature and extent of his involvement had crossed the line of what was acceptable pre-resignation planning and preparation. Mr. Wasilenkoff went along with Mr. Vinall to evade detection by the plaintiffs for the same reasons. Mr. Vinall's fear of reprisal by Sateri and his insight into his dereliction of duty not to compete with his current employer, and Mr. Wasilenkoff's appreciation of those two factors, were also behind their phoney email string that gave the impression that Mr. Vinall's connection with Fortress arose after he resigned. Another factor driving Mr. Vinall's covert conduct was his concern over his liberal use of the plaintiffs' internal (although not necessarily confidential)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Among the prime excuses offered by Mr. Vinall in defence of his conduct was that, because Fortress had not obtained court approval to seal the deal and was not actually producing dissolving pulp at the Thurso Mill when he resigned, he cannot be said to have been competing with the plaintiffs in the upstream business. It is of significance that the competitive enterprise in this case was not a ready-made business. Rather, it could only materialize through the successful navigation of a complex transaction. To sanction such a narrow conception of an employee's act of competition would be misguided in the circumstances at hand. It could allow an employee to cross the line for the purpose of facilitating a third party's acquisition of a competitive business that would soon employ the employee, without violating his or her implied contractual duty so long as such business did not activate until after the employee's resignation. Concurrence in that approach poses a danger of eroding the parameters of the employee's implied duty and does not resonate with the rationale for prohibiting employees from competing with their current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The fact that partway through Fortress's negotiations with the Quebec government, the project was changed to incorporate a co-generation element does not make Fortress any less a potential competitor. Converting the Thurso Mill to a dissolving pulp plant remained a mainstay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The preponderance of the evidence amply demonstrated that, while still employed by Sateri Shanghai, Mr. Vinall's actions between mid-to-late October 2009 and his resignation on March 26, 2010, exceeded allowable planning and preparation to leave his employment and take up new employment with a competitive business. That, however, does not end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xml:space="preserve">  As an employee of Sateri Shanghai Mr. Vinall was duty-bound to refrain from competing with it during the subsistence of his employment. Sateri Shanghai is in the business of human resources management; it is not directly involved in the upstream side of the dissolving pulp business. In my view, it is too tenuous a factual stretch to find that Mr. Vinall was competing with the business of his actual employer. The same holds with respect to his actions in competition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Sateri Singapore, the only other plaintiff that, arguably, was Mr. Vinall's direct employer, as it too is solely in the business of managing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The plaintiffs looked to the common employer doctrine as a means of overcoming that factual disconnect. They contended that its application would extend the implied duty owed by Mr. Vinall to Sateri Shanghai (or, arguably, to Sateri Singapore) to the entire Sateri group of companies. In effect, the plaintiffs relied on the doctrine to import into Mr. Vinall's implied contractual duty the broad reach of the Sateri Employment Contract that obligated him to the Sateri group at large. This is a convenient place to remark that none of the parties asserted that Mr. Vinall's express contractual provisions overtook Mr. Vinall's implied obligation to not compete.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xml:space="preserve">  As has been gone through, the Bahia Mill is owned directly by Bahia Specialty. It seems obvious that Fortress Specialty was the corresponding potential competitor of Bahia Specialty. Even if Bahia Specialty was considered to be Mr. Vinall's employer pursuant to the common employer doctrine and he was found to have actively competed with that entity, it is not a plaintiff. It must surely be the case that, in addition to extending Mr. Vinall's duty not to compete to all of the Sateri corporations, there must still be a finding of fact that he breached that duty with respect to a plaintiff. In this regard it is noteworthy that in </w:t>
      </w:r>
      <w:r>
        <w:rPr>
          <w:rFonts w:ascii="arial" w:eastAsia="arial" w:hAnsi="arial" w:cs="arial"/>
          <w:i/>
          <w:color w:val="000000"/>
          <w:sz w:val="20"/>
          <w:lang w:val="en-US" w:eastAsia="en-US" w:bidi="ar-SA"/>
        </w:rPr>
        <w:t>Manley</w:t>
      </w:r>
      <w:r>
        <w:rPr>
          <w:rFonts w:ascii="arial" w:eastAsia="arial" w:hAnsi="arial" w:cs="arial"/>
          <w:color w:val="000000"/>
          <w:sz w:val="20"/>
          <w:lang w:val="en-US" w:eastAsia="en-US" w:bidi="ar-SA"/>
        </w:rPr>
        <w:t>, where the court disregarded the corporate veil to widen the employee's duty and liability beyond his direct employer to the employer's parent company, both the parent and the subsidiary were plaintiffs and the employee was in fact in competition with the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xml:space="preserve">  Another way to consider the issue might be to ask whether the concept of acting in competition in these circumstances ought to be given the widest possible interpretation so as to find that Mr. Vinall's conduct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Fortress was in competition with the holding company, Sateri International Co. on the logic that it has an indirect interest in Bahia Specialty. However, that link relies on a very distant relationship involving three degrees of legal corporate separation between Sateri International Co. and the active company, Bahia Specialty. Further muddying the cohesiveness of that analysis is the fact that Sateri International Co. has indirect interests in other Sateri operating businesses, such as the downstream branch of dissolving pulp and the sale of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To expand the common employer/group enterprise doctrine for the purpose of compromising the interests of employees, rather than in furtherance of its original purpose of protecting the interests of employees, engages significant policy considerations and carries potentially far-reaching ramifications for employees. It is also fraught with conceptual and practical difficulties, some of which may have been attenuated by including Bahia Specialty as a plaintiff. That is not to say that the doctrine is necessarily to be forever consigned to enlarging the concept of employers for the benefit of employees. However, in the case at hand, none of these pivotal considerations were addressed by the evidence or the underdeveloped submissions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For the foregoing reasons and having regard to the desirability of carefully limiting the application of these doctrines, I find that I am without a sufficient evidentiary or principled foundation to conclude that Mr. Vinall engaged in competition against any of the plaintiffs in breach of his implied duty of fidelity, loyalty and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My conclusion likely has little practical effect (and, in saying this, I have considered the remedy side of the equation). This is because Mr. Vinall's conduct under discussion clearly amounted to a breach of his obligations under the Sateri Employment Contract. By contract, he expressly agreed that those obligations were owed to the Sateri "Group" at large, and are not restricted merely to the act of competing with his employer. Mr. Vinall's conduct that I have summarized above, can fairly be characterized as engaging:</w:t>
      </w:r>
      <w:r>
        <w:rPr>
          <w:rFonts w:ascii="arial" w:eastAsia="arial" w:hAnsi="arial" w:cs="arial"/>
          <w:sz w:val="20"/>
          <w:lang w:val="en-US" w:eastAsia="en-US" w:bidi="ar-SA"/>
        </w:rPr>
        <w:cr/>
      </w:r>
    </w:p>
    <w:p>
      <w:pPr>
        <w:numPr>
          <w:numId w:val="12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"...indirectly in any other business..." in the capacity of "l...otherwise", without having obtained proper approval, in violation of clause XV.2 of the Sateri Employment Contract; and</w:t>
      </w:r>
    </w:p>
    <w:p>
      <w:pPr>
        <w:numPr>
          <w:numId w:val="12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activities on behalf of other...entities... indirectly in any capacity whatsoever", without approval, in breach of clause XVIII.1 of the Sateri Employment Contract as augmented by paragraph 4.1 of the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In the aforesaid way and to that extent, Mr. Vinall breached clauses XV.2 and XVIII.1 of the Sateri Employment Contract and paragraph 4.1 of the Declaration.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Alleged Breach of Six Month Notice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611</w:t>
      </w:r>
      <w:r>
        <w:rPr>
          <w:rFonts w:ascii="arial" w:eastAsia="arial" w:hAnsi="arial" w:cs="arial"/>
          <w:color w:val="000000"/>
          <w:sz w:val="20"/>
          <w:lang w:val="en-US" w:eastAsia="en-US" w:bidi="ar-SA"/>
        </w:rPr>
        <w:t>  Clause XIX.6 of the Sateri Employment Contract required Mr. Vinall to provide six months' notice of his resignation or pay a sum in lieu of notice. The same clause also empowered Sateri Shanghai, in its sole and absolute discretion, to waive the notice requirement. As mentioned, when Mr. Vinall tendered his resignation the plaintiffs gave no indication to him that he was to adhere to his obligation to pay in lieu of proper notice. They did an about-face long after they first became aware that he had joined Fortress.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612</w:t>
      </w:r>
      <w:r>
        <w:rPr>
          <w:rFonts w:ascii="arial" w:eastAsia="arial" w:hAnsi="arial" w:cs="arial"/>
          <w:color w:val="000000"/>
          <w:sz w:val="20"/>
          <w:lang w:val="en-US" w:eastAsia="en-US" w:bidi="ar-SA"/>
        </w:rPr>
        <w:t>  As I understand it, the thrust of the plaintiffs' argument is that Mr. Vinall resigned on the pretext of his tragic family situation and, in that way, misled them about the real reason for his departure. They assert that because he misrepresented why he was leaving, his contractual obligation to pay in lieu of notice should be enforced. The plaintiffs did not direct me to any case authorities of assistance or further develop their sparse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613</w:t>
      </w:r>
      <w:r>
        <w:rPr>
          <w:rFonts w:ascii="arial" w:eastAsia="arial" w:hAnsi="arial" w:cs="arial"/>
          <w:color w:val="000000"/>
          <w:sz w:val="20"/>
          <w:lang w:val="en-US" w:eastAsia="en-US" w:bidi="ar-SA"/>
        </w:rPr>
        <w:t>  There was more than one reason behind Mr. Vinall's decision to leave Sateri. He had grown dissatisfied with his employment there for an array of reasons, particularly the unexpected protraction of his commitment to be in Brazil and his revelation that he may never ascend to the upper management post for which he had been recruited. Intertwined with those reasons and driving his desire to return to Canada, were Mr. Vinall's delicate family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614</w:t>
      </w:r>
      <w:r>
        <w:rPr>
          <w:rFonts w:ascii="arial" w:eastAsia="arial" w:hAnsi="arial" w:cs="arial"/>
          <w:color w:val="000000"/>
          <w:sz w:val="20"/>
          <w:lang w:val="en-US" w:eastAsia="en-US" w:bidi="ar-SA"/>
        </w:rPr>
        <w:t>  In Mr. Vinall's own words to Mr. Wasilenkoff, portraying his family crisis to Sateri as the reason for his departure was not "stretching" the truth far - and I find it was not. Although Mr. Vinall over-emphasized the urgency and degree that his family situation played in his overall decision to resign to Mr. Goh, it was nonetheless a genuine and significant interwoven factor. He had no obligation to elaborate on his reasons or to divulge that he was joining Fortress.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615</w:t>
      </w:r>
      <w:r>
        <w:rPr>
          <w:rFonts w:ascii="arial" w:eastAsia="arial" w:hAnsi="arial" w:cs="arial"/>
          <w:color w:val="000000"/>
          <w:sz w:val="20"/>
          <w:lang w:val="en-US" w:eastAsia="en-US" w:bidi="ar-SA"/>
        </w:rPr>
        <w:t>  By May 9, 2010, the plaintiffs were aware that Mr. Vinall had joined Fortress. Later that summer, Ms. Li concluded that Mr. Vinall had used the plaintiffs' confidential information. As mentioned, the plaintiffs did nothing about Mr. Vinall's perceived misconduct until January 2011. Even at that juncture, their counsel did not raise Mr. Vinall's short notice of termination. Indeed, it was not clear on the evidence precisely when the plaintiffs first identified it as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616</w:t>
      </w:r>
      <w:r>
        <w:rPr>
          <w:rFonts w:ascii="arial" w:eastAsia="arial" w:hAnsi="arial" w:cs="arial"/>
          <w:color w:val="000000"/>
          <w:sz w:val="20"/>
          <w:lang w:val="en-US" w:eastAsia="en-US" w:bidi="ar-SA"/>
        </w:rPr>
        <w:t>  All things considered, I conclude that the plaintiffs effectively waived the requirement that Mr. Vinall provide them six months' notice or that he pay any portion of his salary in lieu thereof. He did not breach his contractual obligation under clause XIX.6.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Alleged Breach of Obligation not to Retain Confidential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617</w:t>
      </w:r>
      <w:r>
        <w:rPr>
          <w:rFonts w:ascii="arial" w:eastAsia="arial" w:hAnsi="arial" w:cs="arial"/>
          <w:color w:val="000000"/>
          <w:sz w:val="20"/>
          <w:lang w:val="en-US" w:eastAsia="en-US" w:bidi="ar-SA"/>
        </w:rPr>
        <w:t>  The plaintiffs allege that Mr. Vinall retained documents or storage media that contained confidential information in contravention of his obligation under clause XVI.6 of the Sateri Employment Contract, which stipulates: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Vinall] undertakes not to retain any documents or storage media containing any confidential information in his possession or subject to his control at such time and shall return all company documents, files and properties, whether physical or electronic, in good condition during or after the termination of his employment, and ensure proper hand-over to the appointed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618</w:t>
      </w:r>
      <w:r>
        <w:rPr>
          <w:rFonts w:ascii="arial" w:eastAsia="arial" w:hAnsi="arial" w:cs="arial"/>
          <w:color w:val="000000"/>
          <w:sz w:val="20"/>
          <w:lang w:val="en-US" w:eastAsia="en-US" w:bidi="ar-SA"/>
        </w:rPr>
        <w:t xml:space="preserve">  The clause is clumsily worded. While, on the one hand it purports to prohibit Mr. Vinall from retaining documents or storage media that contain confidential information, it also contemplates that the return of such items may be made </w:t>
      </w:r>
      <w:r>
        <w:rPr>
          <w:rFonts w:ascii="arial" w:eastAsia="arial" w:hAnsi="arial" w:cs="arial"/>
          <w:i/>
          <w:color w:val="000000"/>
          <w:sz w:val="20"/>
          <w:lang w:val="en-US" w:eastAsia="en-US" w:bidi="ar-SA"/>
        </w:rPr>
        <w:t>after</w:t>
      </w:r>
      <w:r>
        <w:rPr>
          <w:rFonts w:ascii="arial" w:eastAsia="arial" w:hAnsi="arial" w:cs="arial"/>
          <w:color w:val="000000"/>
          <w:sz w:val="20"/>
          <w:lang w:val="en-US" w:eastAsia="en-US" w:bidi="ar-SA"/>
        </w:rPr>
        <w:t xml:space="preserve"> the termination of his employment. That point to the side, it is not disputed that after he left Sateri, Mr. Vinall found the category one documents in his basement. He appeared to concede that his retention of those documents put him in technical breach of this clause, and I find that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619</w:t>
      </w:r>
      <w:r>
        <w:rPr>
          <w:rFonts w:ascii="arial" w:eastAsia="arial" w:hAnsi="arial" w:cs="arial"/>
          <w:color w:val="000000"/>
          <w:sz w:val="20"/>
          <w:lang w:val="en-US" w:eastAsia="en-US" w:bidi="ar-SA"/>
        </w:rPr>
        <w:t>  I am satisfied that Mr. Goh agreed to Mr. Vinall's proposed timetable of the post-resignation delivery of his laptop to the Singapore head office and, accordingly, find that Mr. Vinall was not in breach of this clause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620</w:t>
      </w:r>
      <w:r>
        <w:rPr>
          <w:rFonts w:ascii="arial" w:eastAsia="arial" w:hAnsi="arial" w:cs="arial"/>
          <w:color w:val="000000"/>
          <w:sz w:val="20"/>
          <w:lang w:val="en-US" w:eastAsia="en-US" w:bidi="ar-SA"/>
        </w:rPr>
        <w:t>  Finally, I accept Mr. Vinall's testimony concerning his post-resignation treatment of the confidential information on his USB/thumb drives and of the devices themselves, which occurred long before he was put on notice by the plaintiffs to preserve their confidential information. The probabilities of the evidence do not tip in the plaintiffs' favour to warrant a finding that Mr. Vinall retained confidential information on those devices after his resignation in breach of this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against Fortress for Inducing Breach of Contract</w:t>
      </w:r>
    </w:p>
    <w:p>
      <w:pPr>
        <w:numPr>
          <w:numId w:val="1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Overview of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621</w:t>
      </w:r>
      <w:r>
        <w:rPr>
          <w:rFonts w:ascii="arial" w:eastAsia="arial" w:hAnsi="arial" w:cs="arial"/>
          <w:color w:val="000000"/>
          <w:sz w:val="20"/>
          <w:lang w:val="en-US" w:eastAsia="en-US" w:bidi="ar-SA"/>
        </w:rPr>
        <w:t>  The plaintiffs allege that, based on the tort of inducing breach of contract, Fortress is jointly and severally liable with Mr. Vinall for his breaches of the Sateri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622</w:t>
      </w:r>
      <w:r>
        <w:rPr>
          <w:rFonts w:ascii="arial" w:eastAsia="arial" w:hAnsi="arial" w:cs="arial"/>
          <w:color w:val="000000"/>
          <w:sz w:val="20"/>
          <w:lang w:val="en-US" w:eastAsia="en-US" w:bidi="ar-SA"/>
        </w:rPr>
        <w:t>  The tort of inducing breach of contract can be broken down into five constituent elements. Each must be proved to establish liability:</w:t>
      </w:r>
      <w:r>
        <w:rPr>
          <w:rFonts w:ascii="arial" w:eastAsia="arial" w:hAnsi="arial" w:cs="arial"/>
          <w:sz w:val="20"/>
          <w:lang w:val="en-US" w:eastAsia="en-US" w:bidi="ar-SA"/>
        </w:rPr>
        <w:cr/>
      </w:r>
    </w:p>
    <w:p>
      <w:pPr>
        <w:numPr>
          <w:numId w:val="12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contract between the plaintiffs and a third party (i.e. Mr. Vinall) and a breach of it by the third party;</w:t>
      </w:r>
    </w:p>
    <w:p>
      <w:pPr>
        <w:numPr>
          <w:numId w:val="13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knowledge of the existence of the contract;</w:t>
      </w:r>
    </w:p>
    <w:p>
      <w:pPr>
        <w:numPr>
          <w:numId w:val="13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was intended to cause the third party to breach the contract;</w:t>
      </w:r>
    </w:p>
    <w:p>
      <w:pPr>
        <w:numPr>
          <w:numId w:val="13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caused the third party to breach the contract; and</w:t>
      </w:r>
    </w:p>
    <w:p>
      <w:pPr>
        <w:numPr>
          <w:numId w:val="13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 as a result of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Correia v. Canac Kitchens</w:t>
      </w:r>
      <w:r>
        <w:rPr>
          <w:rFonts w:ascii="arial" w:eastAsia="arial" w:hAnsi="arial" w:cs="arial"/>
          <w:color w:val="000000"/>
          <w:sz w:val="20"/>
          <w:lang w:val="en-US" w:eastAsia="en-US" w:bidi="ar-SA"/>
        </w:rPr>
        <w:t xml:space="preserve">, </w:t>
      </w:r>
      <w:hyperlink r:id="rId1048" w:history="1">
        <w:r>
          <w:rPr>
            <w:rFonts w:ascii="arial" w:eastAsia="arial" w:hAnsi="arial" w:cs="arial"/>
            <w:i/>
            <w:color w:val="0077CC"/>
            <w:sz w:val="20"/>
            <w:u w:val="single"/>
            <w:shd w:val="clear" w:color="auto" w:fill="FFFFFF"/>
            <w:lang w:val="en-US" w:eastAsia="en-US" w:bidi="ar-SA"/>
          </w:rPr>
          <w:t>2008 ONCA 506</w:t>
        </w:r>
      </w:hyperlink>
      <w:r>
        <w:rPr>
          <w:rFonts w:ascii="arial" w:eastAsia="arial" w:hAnsi="arial" w:cs="arial"/>
          <w:color w:val="000000"/>
          <w:sz w:val="20"/>
          <w:lang w:val="en-US" w:eastAsia="en-US" w:bidi="ar-SA"/>
        </w:rPr>
        <w:t xml:space="preserve"> at para. 99 [</w:t>
      </w:r>
      <w:r>
        <w:rPr>
          <w:rFonts w:ascii="arial" w:eastAsia="arial" w:hAnsi="arial" w:cs="arial"/>
          <w:i/>
          <w:color w:val="000000"/>
          <w:sz w:val="20"/>
          <w:lang w:val="en-US" w:eastAsia="en-US" w:bidi="ar-SA"/>
        </w:rPr>
        <w:t>Correia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Super-Save Enterprises Ltd. v. Del's Propane Ltd.</w:t>
      </w:r>
      <w:r>
        <w:rPr>
          <w:rFonts w:ascii="arial" w:eastAsia="arial" w:hAnsi="arial" w:cs="arial"/>
          <w:color w:val="000000"/>
          <w:sz w:val="20"/>
          <w:lang w:val="en-US" w:eastAsia="en-US" w:bidi="ar-SA"/>
        </w:rPr>
        <w:t xml:space="preserve">, </w:t>
      </w:r>
      <w:hyperlink r:id="rId1049" w:history="1">
        <w:r>
          <w:rPr>
            <w:rFonts w:ascii="arial" w:eastAsia="arial" w:hAnsi="arial" w:cs="arial"/>
            <w:i/>
            <w:color w:val="0077CC"/>
            <w:sz w:val="20"/>
            <w:u w:val="single"/>
            <w:shd w:val="clear" w:color="auto" w:fill="FFFFFF"/>
            <w:lang w:val="en-US" w:eastAsia="en-US" w:bidi="ar-SA"/>
          </w:rPr>
          <w:t>2004 BCCA 183</w:t>
        </w:r>
      </w:hyperlink>
      <w:r>
        <w:rPr>
          <w:rFonts w:ascii="arial" w:eastAsia="arial" w:hAnsi="arial" w:cs="arial"/>
          <w:color w:val="000000"/>
          <w:sz w:val="20"/>
          <w:lang w:val="en-US" w:eastAsia="en-US" w:bidi="ar-SA"/>
        </w:rPr>
        <w:t xml:space="preserve"> at para. 2; </w:t>
      </w:r>
      <w:r>
        <w:rPr>
          <w:rFonts w:ascii="arial" w:eastAsia="arial" w:hAnsi="arial" w:cs="arial"/>
          <w:i/>
          <w:color w:val="000000"/>
          <w:sz w:val="20"/>
          <w:lang w:val="en-US" w:eastAsia="en-US" w:bidi="ar-SA"/>
        </w:rPr>
        <w:t>International Sausage House Ltd. v. Hammer Estate</w:t>
      </w:r>
      <w:r>
        <w:rPr>
          <w:rFonts w:ascii="arial" w:eastAsia="arial" w:hAnsi="arial" w:cs="arial"/>
          <w:color w:val="000000"/>
          <w:sz w:val="20"/>
          <w:lang w:val="en-US" w:eastAsia="en-US" w:bidi="ar-SA"/>
        </w:rPr>
        <w:t xml:space="preserve">, </w:t>
      </w:r>
      <w:hyperlink r:id="rId1050" w:history="1">
        <w:r>
          <w:rPr>
            <w:rFonts w:ascii="arial" w:eastAsia="arial" w:hAnsi="arial" w:cs="arial"/>
            <w:i/>
            <w:color w:val="0077CC"/>
            <w:sz w:val="20"/>
            <w:u w:val="single"/>
            <w:shd w:val="clear" w:color="auto" w:fill="FFFFFF"/>
            <w:lang w:val="en-US" w:eastAsia="en-US" w:bidi="ar-SA"/>
          </w:rPr>
          <w:t>2015 BCSC 1155</w:t>
        </w:r>
      </w:hyperlink>
      <w:r>
        <w:rPr>
          <w:rFonts w:ascii="arial" w:eastAsia="arial" w:hAnsi="arial" w:cs="arial"/>
          <w:color w:val="000000"/>
          <w:sz w:val="20"/>
          <w:lang w:val="en-US" w:eastAsia="en-US" w:bidi="ar-SA"/>
        </w:rPr>
        <w:t xml:space="preserve"> at para. 229.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623</w:t>
      </w:r>
      <w:r>
        <w:rPr>
          <w:rFonts w:ascii="arial" w:eastAsia="arial" w:hAnsi="arial" w:cs="arial"/>
          <w:color w:val="000000"/>
          <w:sz w:val="20"/>
          <w:lang w:val="en-US" w:eastAsia="en-US" w:bidi="ar-SA"/>
        </w:rPr>
        <w:t>  That there existed a contract between Mr. Vinall and Sateri Shanghai was properly admitted by Fortress. Whether the remaining ingredients recited above in (b) through (d) are sufficiently made out engages a thornier inquiry. In this case, however, I need only consider whether the final compulsory element to the cause of action has been established, namely whether the plaintiffs suffered damage as a result of the alleged breach. That is because proof of damage poses an insurmountable hurdle to the plaintiffs and is fatal to their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624</w:t>
      </w:r>
      <w:r>
        <w:rPr>
          <w:rFonts w:ascii="arial" w:eastAsia="arial" w:hAnsi="arial" w:cs="arial"/>
          <w:color w:val="000000"/>
          <w:sz w:val="20"/>
          <w:lang w:val="en-US" w:eastAsia="en-US" w:bidi="ar-SA"/>
        </w:rPr>
        <w:t xml:space="preserve">  The tort of inducing breach of contract derives from an action on the case. Therefore, as part of establishing the cause of action the plaintiffs must prove that damage resulted from Fortress's wrongful inducement of Mr. Vinall's contractual breaches: </w:t>
      </w:r>
      <w:r>
        <w:rPr>
          <w:rFonts w:ascii="arial" w:eastAsia="arial" w:hAnsi="arial" w:cs="arial"/>
          <w:i/>
          <w:color w:val="000000"/>
          <w:sz w:val="20"/>
          <w:lang w:val="en-US" w:eastAsia="en-US" w:bidi="ar-SA"/>
        </w:rPr>
        <w:t>Posluns v. Toronto Stock Exchange</w:t>
      </w:r>
      <w:r>
        <w:rPr>
          <w:rFonts w:ascii="arial" w:eastAsia="arial" w:hAnsi="arial" w:cs="arial"/>
          <w:color w:val="000000"/>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(1964), 46 D.L.R. (2d) 210</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Correia</w:t>
      </w:r>
      <w:r>
        <w:rPr>
          <w:rFonts w:ascii="arial" w:eastAsia="arial" w:hAnsi="arial" w:cs="arial"/>
          <w:color w:val="000000"/>
          <w:sz w:val="20"/>
          <w:lang w:val="en-US" w:eastAsia="en-US" w:bidi="ar-SA"/>
        </w:rPr>
        <w:t xml:space="preserve"> at para.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625</w:t>
      </w:r>
      <w:r>
        <w:rPr>
          <w:rFonts w:ascii="arial" w:eastAsia="arial" w:hAnsi="arial" w:cs="arial"/>
          <w:color w:val="000000"/>
          <w:sz w:val="20"/>
          <w:lang w:val="en-US" w:eastAsia="en-US" w:bidi="ar-SA"/>
        </w:rPr>
        <w:t>  Unlike a claim for breach of contract, damage is a mandatory element of proving the tort. Failure to prove damage in consequence of Fortress's conduct amounts to a failure to prove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626</w:t>
      </w:r>
      <w:r>
        <w:rPr>
          <w:rFonts w:ascii="arial" w:eastAsia="arial" w:hAnsi="arial" w:cs="arial"/>
          <w:color w:val="000000"/>
          <w:sz w:val="20"/>
          <w:lang w:val="en-US" w:eastAsia="en-US" w:bidi="ar-SA"/>
        </w:rPr>
        <w:t xml:space="preserve">  Only where the cause of action has been proven, do damages as a remedy become available. In this context, damages are said to be "at large", meaning they are "not limited to specific or special damage" and may include exemplary or punitive damages and elements for injured feelings, loss of reputation, and the bad or good conduct of either party, where no precise limit can be set: </w:t>
      </w:r>
      <w:r>
        <w:rPr>
          <w:rFonts w:ascii="arial" w:eastAsia="arial" w:hAnsi="arial" w:cs="arial"/>
          <w:i/>
          <w:color w:val="000000"/>
          <w:sz w:val="20"/>
          <w:lang w:val="en-US" w:eastAsia="en-US" w:bidi="ar-SA"/>
        </w:rPr>
        <w:t>Drouillard v. Cogeco Cable Inc.</w:t>
      </w:r>
      <w:r>
        <w:rPr>
          <w:rFonts w:ascii="arial" w:eastAsia="arial" w:hAnsi="arial" w:cs="arial"/>
          <w:color w:val="000000"/>
          <w:sz w:val="20"/>
          <w:lang w:val="en-US" w:eastAsia="en-US" w:bidi="ar-SA"/>
        </w:rPr>
        <w:t xml:space="preserve">, </w:t>
      </w:r>
      <w:hyperlink r:id="rId1052" w:history="1">
        <w:r>
          <w:rPr>
            <w:rFonts w:ascii="arial" w:eastAsia="arial" w:hAnsi="arial" w:cs="arial"/>
            <w:i/>
            <w:color w:val="0077CC"/>
            <w:sz w:val="20"/>
            <w:u w:val="single"/>
            <w:shd w:val="clear" w:color="auto" w:fill="FFFFFF"/>
            <w:lang w:val="en-US" w:eastAsia="en-US" w:bidi="ar-SA"/>
          </w:rPr>
          <w:t>2007 ONCA 322</w:t>
        </w:r>
      </w:hyperlink>
      <w:r>
        <w:rPr>
          <w:rFonts w:ascii="arial" w:eastAsia="arial" w:hAnsi="arial" w:cs="arial"/>
          <w:color w:val="000000"/>
          <w:sz w:val="20"/>
          <w:lang w:val="en-US" w:eastAsia="en-US" w:bidi="ar-SA"/>
        </w:rPr>
        <w:t xml:space="preserve"> at paras. 42-43 (add'l reasons at </w:t>
      </w:r>
      <w:hyperlink r:id="rId1053" w:history="1">
        <w:r>
          <w:rPr>
            <w:rFonts w:ascii="arial" w:eastAsia="arial" w:hAnsi="arial" w:cs="arial"/>
            <w:i/>
            <w:color w:val="0077CC"/>
            <w:sz w:val="20"/>
            <w:u w:val="single"/>
            <w:shd w:val="clear" w:color="auto" w:fill="FFFFFF"/>
            <w:lang w:val="en-US" w:eastAsia="en-US" w:bidi="ar-SA"/>
          </w:rPr>
          <w:t>2007 ONCA 485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3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627</w:t>
      </w:r>
      <w:r>
        <w:rPr>
          <w:rFonts w:ascii="arial" w:eastAsia="arial" w:hAnsi="arial" w:cs="arial"/>
          <w:color w:val="000000"/>
          <w:sz w:val="20"/>
          <w:lang w:val="en-US" w:eastAsia="en-US" w:bidi="ar-SA"/>
        </w:rPr>
        <w:t xml:space="preserve">  I understood the plaintiffs to suggest that, in light of the recent decision in </w:t>
      </w:r>
      <w:r>
        <w:rPr>
          <w:rFonts w:ascii="arial" w:eastAsia="arial" w:hAnsi="arial" w:cs="arial"/>
          <w:i/>
          <w:color w:val="000000"/>
          <w:sz w:val="20"/>
          <w:lang w:val="en-US" w:eastAsia="en-US" w:bidi="ar-SA"/>
        </w:rPr>
        <w:t>Zoic CA</w:t>
      </w:r>
      <w:r>
        <w:rPr>
          <w:rFonts w:ascii="arial" w:eastAsia="arial" w:hAnsi="arial" w:cs="arial"/>
          <w:color w:val="000000"/>
          <w:sz w:val="20"/>
          <w:lang w:val="en-US" w:eastAsia="en-US" w:bidi="ar-SA"/>
        </w:rPr>
        <w:t xml:space="preserve">, it may be unnecessary to prove that they suffered a resultant loss or damage as a constituent element of the tort and in respect of remedial damages at large. If my understanding is correct, their submission as it pertains to proof of damage as an ingredient of the tort confuses the analysis. The ground of appeal of relevance in </w:t>
      </w:r>
      <w:r>
        <w:rPr>
          <w:rFonts w:ascii="arial" w:eastAsia="arial" w:hAnsi="arial" w:cs="arial"/>
          <w:i/>
          <w:color w:val="000000"/>
          <w:sz w:val="20"/>
          <w:lang w:val="en-US" w:eastAsia="en-US" w:bidi="ar-SA"/>
        </w:rPr>
        <w:t>Zoic CA</w:t>
      </w:r>
      <w:r>
        <w:rPr>
          <w:rFonts w:ascii="arial" w:eastAsia="arial" w:hAnsi="arial" w:cs="arial"/>
          <w:color w:val="000000"/>
          <w:sz w:val="20"/>
          <w:lang w:val="en-US" w:eastAsia="en-US" w:bidi="ar-SA"/>
        </w:rPr>
        <w:t xml:space="preserve"> concerned the remedies for breach of a non-fiduciary employee's implied contractual obligation of fidelity and loyalty. The Court of Appeal's discussion of damages was confined to damages in the remedial sense and it was within that frame of reference that it considered the availability of an equitable accounting as a remedy. The tort of inducing a breach of contract was not before the panel and was not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628</w:t>
      </w:r>
      <w:r>
        <w:rPr>
          <w:rFonts w:ascii="arial" w:eastAsia="arial" w:hAnsi="arial" w:cs="arial"/>
          <w:color w:val="000000"/>
          <w:sz w:val="20"/>
          <w:lang w:val="en-US" w:eastAsia="en-US" w:bidi="ar-SA"/>
        </w:rPr>
        <w:t>  What then do the plaintiffs submit was the harm or damage they suffered in consequence of Fortress's alleged inducement to Mr. Vinall to commit the contractual breaches I have found (and assuming, for purposes of this discussion, that the other elements of the tort set out in (b) through (d) could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629</w:t>
      </w:r>
      <w:r>
        <w:rPr>
          <w:rFonts w:ascii="arial" w:eastAsia="arial" w:hAnsi="arial" w:cs="arial"/>
          <w:color w:val="000000"/>
          <w:sz w:val="20"/>
          <w:lang w:val="en-US" w:eastAsia="en-US" w:bidi="ar-SA"/>
        </w:rPr>
        <w:t>  The plaintiffs assert two types of damage. Their primary contention is that the damage suffered was a diminution of their share of the dissolving pulp market in China, where the Bahia Mill was the largest supplier, resulting from Fortress's entry into that sector as a new player in December 2011. In a different context in their submissions, the plaintiffs argued that a loss to them of sales, revenues and customers was a "natural consequence" of Fortress's new presence in the upstream dissolving pulp market. They submit that, given those so-called natural consequences, it would be reasonable to infer that "some portion" of Fortress's $88.5 million in sales of dissolving pulp in 2012 shown on its financial statements, represents a loss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630</w:t>
      </w:r>
      <w:r>
        <w:rPr>
          <w:rFonts w:ascii="arial" w:eastAsia="arial" w:hAnsi="arial" w:cs="arial"/>
          <w:color w:val="000000"/>
          <w:sz w:val="20"/>
          <w:lang w:val="en-US" w:eastAsia="en-US" w:bidi="ar-SA"/>
        </w:rPr>
        <w:t>  Offered as a further indication that they suffered some type of damage, the plaintiffs pointed to Mr. Vinall's acknowledgement at trial that China was the main market for dissolving pulp and, as there were a limited number of buyers in China, a new competitor in the market place would necessarily overlap with existing suppliers. He also agreed with the proposition that it would not be in Sateri's interests for Fortress to enter the market. It is difficult to quarrel with Mr. Vinall's statements as general observations, but they carry no probative value to the more exacting issue at hand. It remains to add that Mr. Vinall also credibly testified that the quality of the grades of dissolving pulp manufactured at the Thurso Mill and the Bahia Mill were different and would not appeal to the same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631</w:t>
      </w:r>
      <w:r>
        <w:rPr>
          <w:rFonts w:ascii="arial" w:eastAsia="arial" w:hAnsi="arial" w:cs="arial"/>
          <w:color w:val="000000"/>
          <w:sz w:val="20"/>
          <w:lang w:val="en-US" w:eastAsia="en-US" w:bidi="ar-SA"/>
        </w:rPr>
        <w:t>  The plaintiffs blamed the defendants for the lack of available documentary evidence relevant to the issue of damage. Their accusation failed to acknowledge that proof of any detrimental impact to the plaintiffs' financial bottom line stemming from Fortress's intrusion into their market share was very much in their control. The plaintiffs could have opened their books, customer lists, relevant financial statements and the like to reveal their "before and after" financial picture as a rudimentary measure of their loss. I suspect that tracking the sales, streams of revenue and profit generated by the upstream dissolving pulp business through the web of Sateri companies and into the hands of the plaintiffs is a more complex endeavour than that. If so, an appropriate expert could have been retained. However, the plaintiffs chose not to tender any financial information along those lines or supply an expert or other cogent evidence to support their assertion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632</w:t>
      </w:r>
      <w:r>
        <w:rPr>
          <w:rFonts w:ascii="arial" w:eastAsia="arial" w:hAnsi="arial" w:cs="arial"/>
          <w:color w:val="000000"/>
          <w:sz w:val="20"/>
          <w:lang w:val="en-US" w:eastAsia="en-US" w:bidi="ar-SA"/>
        </w:rPr>
        <w:t>  It is also relevant to the plaintiffs' contention that Sateri had its own internal downstream customers in China who purchased some percentage of the dissolving pulp produced at the Bahia Mill. It is reasonable to infer that Fortress's foray into that market in China would not have made a speck of difference to the segment of the plaintiffs' market comprised of those captive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633</w:t>
      </w:r>
      <w:r>
        <w:rPr>
          <w:rFonts w:ascii="arial" w:eastAsia="arial" w:hAnsi="arial" w:cs="arial"/>
          <w:color w:val="000000"/>
          <w:sz w:val="20"/>
          <w:lang w:val="en-US" w:eastAsia="en-US" w:bidi="ar-SA"/>
        </w:rPr>
        <w:t>  The unadorned essence of the plaintiffs' submission is that, starting in December 2011, they sustained damage by the mere presence of Fortress as a vendor of dissolving pulp in the Chinese market. On the evidence presented that contention is hopelessly speculative and, frankly, simplistic.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634</w:t>
      </w:r>
      <w:r>
        <w:rPr>
          <w:rFonts w:ascii="arial" w:eastAsia="arial" w:hAnsi="arial" w:cs="arial"/>
          <w:color w:val="000000"/>
          <w:sz w:val="20"/>
          <w:lang w:val="en-US" w:eastAsia="en-US" w:bidi="ar-SA"/>
        </w:rPr>
        <w:t>  These significant evidentiary frailties to the side, there is an overarching deficiency in the plaintiffs' assertion of damage stemming from an alleged loss of market share. Their assertion is tethered to the unproven underpinnings that Mr. Vinall was their fiduciary and misappropriated the Thurso Mill opportunity, a project that neither he nor Fortress were at liberty to pursue and use as a vehicle to enter the dissolving pulp market in December 2011. In the result, the plaintiffs' assertion of damage flowing from a loss of market share is not sufficiently connected to the specific contractual breaches committed by Mr. Vinall and alleged to have been induced by Fortress.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635</w:t>
      </w:r>
      <w:r>
        <w:rPr>
          <w:rFonts w:ascii="arial" w:eastAsia="arial" w:hAnsi="arial" w:cs="arial"/>
          <w:color w:val="000000"/>
          <w:sz w:val="20"/>
          <w:lang w:val="en-US" w:eastAsia="en-US" w:bidi="ar-SA"/>
        </w:rPr>
        <w:t>  The plaintiffs' other assertion of damage relates to the payments made to Tecbiz in respect of their forensic evaluation of Mr. Vinall's laptop.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636</w:t>
      </w:r>
      <w:r>
        <w:rPr>
          <w:rFonts w:ascii="arial" w:eastAsia="arial" w:hAnsi="arial" w:cs="arial"/>
          <w:color w:val="000000"/>
          <w:sz w:val="20"/>
          <w:lang w:val="en-US" w:eastAsia="en-US" w:bidi="ar-SA"/>
        </w:rPr>
        <w:t>  In the summer of 2010, Tecbiz rendered three invoices in the total sum of $26,937.25 in Singapore dollars. Each invoice was issued to RGE Pte. Ltd., which I take to be a company within the RGE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637</w:t>
      </w:r>
      <w:r>
        <w:rPr>
          <w:rFonts w:ascii="arial" w:eastAsia="arial" w:hAnsi="arial" w:cs="arial"/>
          <w:color w:val="000000"/>
          <w:sz w:val="20"/>
          <w:lang w:val="en-US" w:eastAsia="en-US" w:bidi="ar-SA"/>
        </w:rPr>
        <w:t>  Mr. Goh was the only witness to testify about the Tecbiz invoices. Although he had no direct knowledge that any of them had been paid, he assumed that they had been based largely on the fact that he had signified his approval for payment on the face of two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638</w:t>
      </w:r>
      <w:r>
        <w:rPr>
          <w:rFonts w:ascii="arial" w:eastAsia="arial" w:hAnsi="arial" w:cs="arial"/>
          <w:color w:val="000000"/>
          <w:sz w:val="20"/>
          <w:lang w:val="en-US" w:eastAsia="en-US" w:bidi="ar-SA"/>
        </w:rPr>
        <w:t>  It is evident from Mr. Goh's testimony that none of the plaintiffs paid the Tecbiz invoices directly. What Mr. Goh described were the "accounting practices" between Sateri and the RGE Group with respect to invoices. He testified that Sateri outsourced a bundle of services to the RGE Group in accordance with an arrangement that Sateri would pay the RGE Group for its services. Mr. Goh offered no detail beyond that bare-bones description. He did not elaborate on the mechanism by which one or other of the plaintiffs would have ultimately ended up paying such invoices if, in fact, any of them did so. Nor did Mr. Goh confirm that the ultimate payor was one of the plaintiffs; he merely referred to "Sateri" with no further specificity.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639</w:t>
      </w:r>
      <w:r>
        <w:rPr>
          <w:rFonts w:ascii="arial" w:eastAsia="arial" w:hAnsi="arial" w:cs="arial"/>
          <w:color w:val="000000"/>
          <w:sz w:val="20"/>
          <w:lang w:val="en-US" w:eastAsia="en-US" w:bidi="ar-SA"/>
        </w:rPr>
        <w:t>  On balance, the evidence is not sufficient to reasonably sustain the finding that any of the plaintiffs indirectly paid the Tecbiz invoices by reimbursing the RGE Group for services at a subsequent time. Having reached that conclusion, it is unnecessary for me to consider the nice question of whether out-of-pocket expenditures of this character would constitute damage for the purpose of proving this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640</w:t>
      </w:r>
      <w:r>
        <w:rPr>
          <w:rFonts w:ascii="arial" w:eastAsia="arial" w:hAnsi="arial" w:cs="arial"/>
          <w:color w:val="000000"/>
          <w:sz w:val="20"/>
          <w:lang w:val="en-US" w:eastAsia="en-US" w:bidi="ar-SA"/>
        </w:rPr>
        <w:t>  There was no suggestion in the evidence or in closing argument that the requisite damage may have taken the form of Mr. Vinall's substandard job performance or inattention to his work assignments while he was assisting Fortress with the Thurso Mill venture in the pre-resignation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641</w:t>
      </w:r>
      <w:r>
        <w:rPr>
          <w:rFonts w:ascii="arial" w:eastAsia="arial" w:hAnsi="arial" w:cs="arial"/>
          <w:color w:val="000000"/>
          <w:sz w:val="20"/>
          <w:lang w:val="en-US" w:eastAsia="en-US" w:bidi="ar-SA"/>
        </w:rPr>
        <w:t>  This claim against the Fortress defendants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REMEDIES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642</w:t>
      </w:r>
      <w:r>
        <w:rPr>
          <w:rFonts w:ascii="arial" w:eastAsia="arial" w:hAnsi="arial" w:cs="arial"/>
          <w:color w:val="000000"/>
          <w:sz w:val="20"/>
          <w:lang w:val="en-US" w:eastAsia="en-US" w:bidi="ar-SA"/>
        </w:rPr>
        <w:t>  At the close of the evidence, the plaintiffs elected to pursue an accounting and disgorgement remedy over damages and made extensive submissions in support of their position. They also sought punitive damages in conjunction with the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643</w:t>
      </w:r>
      <w:r>
        <w:rPr>
          <w:rFonts w:ascii="arial" w:eastAsia="arial" w:hAnsi="arial" w:cs="arial"/>
          <w:color w:val="000000"/>
          <w:sz w:val="20"/>
          <w:lang w:val="en-US" w:eastAsia="en-US" w:bidi="ar-SA"/>
        </w:rPr>
        <w:t xml:space="preserve">  The plaintiffs' argument for disgorgement was mainly postulated on the unproven premises that Mr. Vinall owed them fiduciary duties that he breached in relation to the Thurso Mill project and in other ways, and that Fortress was jointly and severally liable to account in respect of such breaches by application of the doctrine of knowing assistance in breach of trust. The failure to prove liability against the Fortress defendants on any ground or to establish Mr. Vinall's fiduciary standing and the Thurso Mill's status as a corporate opportunity leaves the plaintiffs to pursue relief solely against Mr. Vinall in respect of his breaches of contract. Those contractual breaches pertain to his misuse and post-resignation retention of confidential information and participation in prohibited activities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Fortress while still employed by Sateri.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Overview of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644</w:t>
      </w:r>
      <w:r>
        <w:rPr>
          <w:rFonts w:ascii="arial" w:eastAsia="arial" w:hAnsi="arial" w:cs="arial"/>
          <w:color w:val="000000"/>
          <w:sz w:val="20"/>
          <w:lang w:val="en-US" w:eastAsia="en-US" w:bidi="ar-SA"/>
        </w:rPr>
        <w:t>  The traditional remedy for breach of contract is expectation damages. Damages of that sort focus on the plaintiff's loss and are intended to put the plaintiff in the position it would have been in had the breach not occurred. As I will return to below, in appropriate cases it is open to the court to depart from the usual measure of damages and order an equitable accounting of the gain enjoyed by the party in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Jostens Canada Ltd. v. Gibson Studios Ltd</w:t>
      </w:r>
      <w:r>
        <w:rPr>
          <w:rFonts w:ascii="arial" w:eastAsia="arial" w:hAnsi="arial" w:cs="arial"/>
          <w:color w:val="000000"/>
          <w:sz w:val="20"/>
          <w:lang w:val="en-US" w:eastAsia="en-US" w:bidi="ar-SA"/>
        </w:rPr>
        <w:t xml:space="preserve">. </w:t>
      </w:r>
      <w:hyperlink r:id="rId1054" w:history="1">
        <w:r>
          <w:rPr>
            <w:rFonts w:ascii="arial" w:eastAsia="arial" w:hAnsi="arial" w:cs="arial"/>
            <w:i/>
            <w:color w:val="0077CC"/>
            <w:sz w:val="20"/>
            <w:u w:val="single"/>
            <w:shd w:val="clear" w:color="auto" w:fill="FFFFFF"/>
            <w:lang w:val="en-US" w:eastAsia="en-US" w:bidi="ar-SA"/>
          </w:rPr>
          <w:t>(1996), 65 C.P.R. (3d) 520</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Jostens</w:t>
      </w:r>
      <w:r>
        <w:rPr>
          <w:rFonts w:ascii="arial" w:eastAsia="arial" w:hAnsi="arial" w:cs="arial"/>
          <w:color w:val="000000"/>
          <w:sz w:val="20"/>
          <w:lang w:val="en-US" w:eastAsia="en-US" w:bidi="ar-SA"/>
        </w:rPr>
        <w:t xml:space="preserve">], the plaintiff brought an action for the wrongful appropriation of a lucrative school photography business against a former manager and representative with whom it had a contractual relationship of agency. The trial judge dismissed the action. In the first of two decisions, the Court of Appeal upheld the trial judge's decision that none of the alleged fiduciary obligations had survived the termination of the contractual relationship between the parties. However, it concluded that Jostens had a right to relief based on the respondents' breach of contract that bound them to devote their full time and best efforts to the promotion of Jostens' business: </w:t>
      </w:r>
      <w:r>
        <w:rPr>
          <w:rFonts w:ascii="arial" w:eastAsia="arial" w:hAnsi="arial" w:cs="arial"/>
          <w:i/>
          <w:color w:val="000000"/>
          <w:sz w:val="20"/>
          <w:lang w:val="en-US" w:eastAsia="en-US" w:bidi="ar-SA"/>
        </w:rPr>
        <w:t>Jostens Canada Ltd. v. Gibsons Studio Ltd.</w:t>
      </w:r>
      <w:r>
        <w:rPr>
          <w:rFonts w:ascii="arial" w:eastAsia="arial" w:hAnsi="arial" w:cs="arial"/>
          <w:color w:val="000000"/>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[1998] 5 W.W.R. 403</w:t>
        </w:r>
      </w:hyperlink>
      <w:r>
        <w:rPr>
          <w:rFonts w:ascii="arial" w:eastAsia="arial" w:hAnsi="arial" w:cs="arial"/>
          <w:color w:val="000000"/>
          <w:sz w:val="20"/>
          <w:lang w:val="en-US" w:eastAsia="en-US" w:bidi="ar-SA"/>
        </w:rPr>
        <w:t xml:space="preserve"> at para. 31 (C.A.). On that footing, the Court held that Jostens was entitled either to damages for breach of contract or to an accounting in equity of the respondents'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646</w:t>
      </w:r>
      <w:r>
        <w:rPr>
          <w:rFonts w:ascii="arial" w:eastAsia="arial" w:hAnsi="arial" w:cs="arial"/>
          <w:color w:val="000000"/>
          <w:sz w:val="20"/>
          <w:lang w:val="en-US" w:eastAsia="en-US" w:bidi="ar-SA"/>
        </w:rPr>
        <w:t xml:space="preserve">  The determination of relief was remitted back to the lower court. It granted an accounting of the defendants' gain as a result of their breach of contract. On the defendants' appeal of the award, the Court of Appeal held that damages had been properly assessed on an equitable basis corresponding to the defendants' gain at the time of the breach: </w:t>
      </w:r>
      <w:r>
        <w:rPr>
          <w:rFonts w:ascii="arial" w:eastAsia="arial" w:hAnsi="arial" w:cs="arial"/>
          <w:i/>
          <w:color w:val="000000"/>
          <w:sz w:val="20"/>
          <w:lang w:val="en-US" w:eastAsia="en-US" w:bidi="ar-SA"/>
        </w:rPr>
        <w:t>Jostens Canada Ltd. v. Gibsons Studio Ltd.</w:t>
      </w:r>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1999 BCCA 273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Jostens CA No.2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Restauronics Services,</w:t>
      </w:r>
      <w:r>
        <w:rPr>
          <w:rFonts w:ascii="arial" w:eastAsia="arial" w:hAnsi="arial" w:cs="arial"/>
          <w:color w:val="000000"/>
          <w:sz w:val="20"/>
          <w:lang w:val="en-US" w:eastAsia="en-US" w:bidi="ar-SA"/>
        </w:rPr>
        <w:t xml:space="preserve"> the Court of Appeal considered the nature of recovery by an employer where, in addition to competing with his or her employer, a non-fiduciary employee had misused confidential information or trade secrets. Ryan J.A., for the Court,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The case-law seems to indicate that where there has been a misuse of confidential information or trade secrets, the employer may recover damages against the employee for profits it has lost as a consequence of the breach or, instead of damages, elect to take judgment for an account of the profits the employee has obtained through the wrongful exploitation of the material in question. The employer is free to choose whichever method will result in greater compensation. (e.g., </w:t>
      </w:r>
      <w:r>
        <w:rPr>
          <w:rFonts w:ascii="arial" w:eastAsia="arial" w:hAnsi="arial" w:cs="arial"/>
          <w:i/>
          <w:color w:val="000000"/>
          <w:sz w:val="20"/>
          <w:lang w:val="en-US" w:eastAsia="en-US" w:bidi="ar-SA"/>
        </w:rPr>
        <w:t>57134 Manitoba Ltd. v. Palmer</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(1985), 65 B.C.L.R. 355</w:t>
        </w:r>
      </w:hyperlink>
      <w:r>
        <w:rPr>
          <w:rFonts w:ascii="arial" w:eastAsia="arial" w:hAnsi="arial" w:cs="arial"/>
          <w:color w:val="000000"/>
          <w:sz w:val="20"/>
          <w:lang w:val="en-US" w:eastAsia="en-US" w:bidi="ar-SA"/>
        </w:rPr>
        <w:t xml:space="preserve"> at 371 (S.C.), aff'd </w:t>
      </w:r>
      <w:hyperlink r:id="rId1058" w:history="1">
        <w:r>
          <w:rPr>
            <w:rFonts w:ascii="arial" w:eastAsia="arial" w:hAnsi="arial" w:cs="arial"/>
            <w:i/>
            <w:color w:val="0077CC"/>
            <w:sz w:val="20"/>
            <w:u w:val="single"/>
            <w:shd w:val="clear" w:color="auto" w:fill="FFFFFF"/>
            <w:lang w:val="en-US" w:eastAsia="en-US" w:bidi="ar-SA"/>
          </w:rPr>
          <w:t>(1989), 37 B.C.L.R. (2d) 50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648</w:t>
      </w:r>
      <w:r>
        <w:rPr>
          <w:rFonts w:ascii="arial" w:eastAsia="arial" w:hAnsi="arial" w:cs="arial"/>
          <w:color w:val="000000"/>
          <w:sz w:val="20"/>
          <w:lang w:val="en-US" w:eastAsia="en-US" w:bidi="ar-SA"/>
        </w:rPr>
        <w:t xml:space="preserve">  Referring to </w:t>
      </w:r>
      <w:r>
        <w:rPr>
          <w:rFonts w:ascii="arial" w:eastAsia="arial" w:hAnsi="arial" w:cs="arial"/>
          <w:i/>
          <w:color w:val="000000"/>
          <w:sz w:val="20"/>
          <w:lang w:val="en-US" w:eastAsia="en-US" w:bidi="ar-SA"/>
        </w:rPr>
        <w:t>Restauronics Services</w:t>
      </w:r>
      <w:r>
        <w:rPr>
          <w:rFonts w:ascii="arial" w:eastAsia="arial" w:hAnsi="arial" w:cs="arial"/>
          <w:color w:val="000000"/>
          <w:sz w:val="20"/>
          <w:lang w:val="en-US" w:eastAsia="en-US" w:bidi="ar-SA"/>
        </w:rPr>
        <w:t xml:space="preserve"> and other case authorities, Sigurdson J. summarized the animating principles in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To summarize briefly, employees generally owe their employers an implied contractual duty of loyalty and in certain circumstances may owe a greater and more exacting duty, a fiduciary duty. If an employee competes with his or her employer without permission, it will generally be a breach of the implied term of loyalty entitling the employer to damages for breach of contract. When that breach of contract involves the misuse of trade secrets or confidential information the plaintiff may elect judgment for the profits earned by the employee by the wrongful exploitation of the confidential material in question. However, if the employee's improper competition is also a breach of fiduciary duty, the employer may seek the equitable remedy of disgorgement of the profits made by the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Bank of America Canada v. Mutual Trust Co.</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2002 SCC 43</w:t>
        </w:r>
      </w:hyperlink>
      <w:r>
        <w:rPr>
          <w:rFonts w:ascii="arial" w:eastAsia="arial" w:hAnsi="arial" w:cs="arial"/>
          <w:color w:val="000000"/>
          <w:sz w:val="20"/>
          <w:lang w:val="en-US" w:eastAsia="en-US" w:bidi="ar-SA"/>
        </w:rPr>
        <w:t>, the Supreme Court of Canada acknowledged the potential of a gain-based recovery for a breach of contract in exceptional cases where expectation damages may be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650</w:t>
      </w:r>
      <w:r>
        <w:rPr>
          <w:rFonts w:ascii="arial" w:eastAsia="arial" w:hAnsi="arial" w:cs="arial"/>
          <w:color w:val="000000"/>
          <w:sz w:val="20"/>
          <w:lang w:val="en-US" w:eastAsia="en-US" w:bidi="ar-SA"/>
        </w:rPr>
        <w:t xml:space="preserve">  The Court of Appeal recently revisited the availability of an equitable accounting for breach of contract in </w:t>
      </w:r>
      <w:r>
        <w:rPr>
          <w:rFonts w:ascii="arial" w:eastAsia="arial" w:hAnsi="arial" w:cs="arial"/>
          <w:i/>
          <w:color w:val="000000"/>
          <w:sz w:val="20"/>
          <w:lang w:val="en-US" w:eastAsia="en-US" w:bidi="ar-SA"/>
        </w:rPr>
        <w:t>Zoic CA</w:t>
      </w:r>
      <w:r>
        <w:rPr>
          <w:rFonts w:ascii="arial" w:eastAsia="arial" w:hAnsi="arial" w:cs="arial"/>
          <w:color w:val="000000"/>
          <w:sz w:val="20"/>
          <w:lang w:val="en-US" w:eastAsia="en-US" w:bidi="ar-SA"/>
        </w:rPr>
        <w:t>. There, it was argued that an equitable accounting was justified against an employee who had breached her implied contractual duty of fidelity (competing with the existing employer) on the basis that she was a "near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651</w:t>
      </w:r>
      <w:r>
        <w:rPr>
          <w:rFonts w:ascii="arial" w:eastAsia="arial" w:hAnsi="arial" w:cs="arial"/>
          <w:color w:val="000000"/>
          <w:sz w:val="20"/>
          <w:lang w:val="en-US" w:eastAsia="en-US" w:bidi="ar-SA"/>
        </w:rPr>
        <w:t>  Chiasson J.A., for the Court, made the important observation, at paras. 69 and 71, that the "fiduciary relationship should not drive the analysis", and declined to "import into the consideration of remedies for breach of contract the prophylactic objective of equitable remedies for breach of fiduciary duty". He affirmed the trial judge's discretion to grant an equitable accounting in respect of a breach of contract, stating at para. 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appellant's position is supportable on the basis that in appropriate circumstances the court may order an equitable accounting when damages are not an adequate remedy for breach of contract. That was the fundamental basis of the House of Lords' decision in </w:t>
      </w:r>
      <w:r>
        <w:rPr>
          <w:rFonts w:ascii="arial" w:eastAsia="arial" w:hAnsi="arial" w:cs="arial"/>
          <w:i/>
          <w:color w:val="000000"/>
          <w:sz w:val="20"/>
          <w:lang w:val="en-US" w:eastAsia="en-US" w:bidi="ar-SA"/>
        </w:rPr>
        <w:t>Attorney General v. Blake</w:t>
      </w:r>
      <w:r>
        <w:rPr>
          <w:rFonts w:ascii="arial" w:eastAsia="arial" w:hAnsi="arial" w:cs="arial"/>
          <w:color w:val="000000"/>
          <w:sz w:val="20"/>
          <w:lang w:val="en-US" w:eastAsia="en-US" w:bidi="ar-SA"/>
        </w:rPr>
        <w:t xml:space="preserve">, [2001] 1 A.C. 268. In </w:t>
      </w:r>
      <w:r>
        <w:rPr>
          <w:rFonts w:ascii="arial" w:eastAsia="arial" w:hAnsi="arial" w:cs="arial"/>
          <w:i/>
          <w:color w:val="000000"/>
          <w:sz w:val="20"/>
          <w:lang w:val="en-US" w:eastAsia="en-US" w:bidi="ar-SA"/>
        </w:rPr>
        <w:t>Blake</w:t>
      </w:r>
      <w:r>
        <w:rPr>
          <w:rFonts w:ascii="arial" w:eastAsia="arial" w:hAnsi="arial" w:cs="arial"/>
          <w:color w:val="000000"/>
          <w:sz w:val="20"/>
          <w:lang w:val="en-US" w:eastAsia="en-US" w:bidi="ar-SA"/>
        </w:rPr>
        <w:t>, a former member of the English security and intelligence service violated a contractual obligation of confidentiality by publishing an autobiography. By the time it was published, the information no longer was confidential. No loss could be established. Lord Nicholls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An account of profits will be appropriate only in exceptional circumstances. Normally the remedies of damages, specific performance and injunction, coupled with the characterisation of some contractual obligations as fiduciary, will provide an adequate response to a breach of contract. It will be only in exceptional cases, where those remedies are inadequate, that any question of accounting for profits will arise. No fixed rules can be prescribed. The court will have regard to all the circumstances, including the subject matter of the contract, the purpose of the contractual provision which has been breached, the circumstances in which the breach occurred, the consequences of the breach and the circumstances in which relief is being sought. A useful general guide, although not exhaustive, is whether the plaintiff had a legitimate interest in preventing the defendant's profit-making activity and, hence, in depriving him of his profit.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ordered disgorgement of Mr. Blake's gains.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652</w:t>
      </w:r>
      <w:r>
        <w:rPr>
          <w:rFonts w:ascii="arial" w:eastAsia="arial" w:hAnsi="arial" w:cs="arial"/>
          <w:color w:val="000000"/>
          <w:sz w:val="20"/>
          <w:lang w:val="en-US" w:eastAsia="en-US" w:bidi="ar-SA"/>
        </w:rPr>
        <w:t>  Chiasson J.A. returned the matter to the trial judge to consider whether an equitable accounting should be ordered. There is no record of any subsequent hearing or order in respect of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653</w:t>
      </w:r>
      <w:r>
        <w:rPr>
          <w:rFonts w:ascii="arial" w:eastAsia="arial" w:hAnsi="arial" w:cs="arial"/>
          <w:color w:val="000000"/>
          <w:sz w:val="20"/>
          <w:lang w:val="en-US" w:eastAsia="en-US" w:bidi="ar-SA"/>
        </w:rPr>
        <w:t xml:space="preserve">  In addition to approving of the approach taken by the House of Lords in </w:t>
      </w:r>
      <w:r>
        <w:rPr>
          <w:rFonts w:ascii="arial" w:eastAsia="arial" w:hAnsi="arial" w:cs="arial"/>
          <w:i/>
          <w:color w:val="000000"/>
          <w:sz w:val="20"/>
          <w:lang w:val="en-US" w:eastAsia="en-US" w:bidi="ar-SA"/>
        </w:rPr>
        <w:t>Attorney General v. Blake</w:t>
      </w:r>
      <w:r>
        <w:rPr>
          <w:rFonts w:ascii="arial" w:eastAsia="arial" w:hAnsi="arial" w:cs="arial"/>
          <w:color w:val="000000"/>
          <w:sz w:val="20"/>
          <w:lang w:val="en-US" w:eastAsia="en-US" w:bidi="ar-SA"/>
        </w:rPr>
        <w:t xml:space="preserve"> (2000), [2001] 1 A.C. 268 (U.K.H.L.) [</w:t>
      </w:r>
      <w:r>
        <w:rPr>
          <w:rFonts w:ascii="arial" w:eastAsia="arial" w:hAnsi="arial" w:cs="arial"/>
          <w:i/>
          <w:color w:val="000000"/>
          <w:sz w:val="20"/>
          <w:lang w:val="en-US" w:eastAsia="en-US" w:bidi="ar-SA"/>
        </w:rPr>
        <w:t>Blake</w:t>
      </w:r>
      <w:r>
        <w:rPr>
          <w:rFonts w:ascii="arial" w:eastAsia="arial" w:hAnsi="arial" w:cs="arial"/>
          <w:color w:val="000000"/>
          <w:sz w:val="20"/>
          <w:lang w:val="en-US" w:eastAsia="en-US" w:bidi="ar-SA"/>
        </w:rPr>
        <w:t xml:space="preserve">], Chiasson J.A. noted that support for ordering an equitable accounting in respect of a breach of contract when damages are not an adequate remedy, could be found in the earlier decisions of our Court of Appeal in </w:t>
      </w:r>
      <w:r>
        <w:rPr>
          <w:rFonts w:ascii="arial" w:eastAsia="arial" w:hAnsi="arial" w:cs="arial"/>
          <w:i/>
          <w:color w:val="000000"/>
          <w:sz w:val="20"/>
          <w:lang w:val="en-US" w:eastAsia="en-US" w:bidi="ar-SA"/>
        </w:rPr>
        <w:t>Jostens CA No.2</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Smith v. Landstar Properties Inc.</w:t>
      </w:r>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2011 BCCA 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Blake,</w:t>
      </w:r>
      <w:r>
        <w:rPr>
          <w:rFonts w:ascii="arial" w:eastAsia="arial" w:hAnsi="arial" w:cs="arial"/>
          <w:color w:val="000000"/>
          <w:sz w:val="20"/>
          <w:lang w:val="en-US" w:eastAsia="en-US" w:bidi="ar-SA"/>
        </w:rPr>
        <w:t xml:space="preserve"> Lord Nicholls, for the majority, reasoned that an accounting of profits as a remedy for breach of contract ought to be granted only in exceptional cases. Turning his mind to the situations that may qualify as exceptional his Lordship wrote at 285: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fixed rules can be prescribed. The court will have regard to all the circumstances, including the subject matter of the contract, the purpose of the contractual provision which has been breached, the circumstances in which the breach occurred, the consequences of the breach and the circumstances in which relief is being sought. A useful general guide, although not exhaustive, is whether the plaintiff had a legitimate interest in preventing the defendant's profit-making activity and, hence, in depriving him of his profit. It would be difficult, and unwise, to attempt to be more 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655</w:t>
      </w:r>
      <w:r>
        <w:rPr>
          <w:rFonts w:ascii="arial" w:eastAsia="arial" w:hAnsi="arial" w:cs="arial"/>
          <w:color w:val="000000"/>
          <w:sz w:val="20"/>
          <w:lang w:val="en-US" w:eastAsia="en-US" w:bidi="ar-SA"/>
        </w:rPr>
        <w:t>  Lord Nicholls agreed with the reasoning of Lord Woolf MR in the Court of Appeal that the following factors would not individually stand as an adequate reason for ordering an account of profits:</w:t>
      </w:r>
      <w:r>
        <w:rPr>
          <w:rFonts w:ascii="arial" w:eastAsia="arial" w:hAnsi="arial" w:cs="arial"/>
          <w:sz w:val="20"/>
          <w:lang w:val="en-US" w:eastAsia="en-US" w:bidi="ar-SA"/>
        </w:rPr>
        <w:cr/>
      </w:r>
    </w:p>
    <w:p>
      <w:pPr>
        <w:numPr>
          <w:numId w:val="13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was cynical and deliberate;</w:t>
      </w:r>
    </w:p>
    <w:p>
      <w:pPr>
        <w:numPr>
          <w:numId w:val="1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enabled the defendant to enter into a more profitable contract elsewhere; and</w:t>
      </w:r>
    </w:p>
    <w:p>
      <w:pPr>
        <w:numPr>
          <w:numId w:val="1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by entering into a new and more profitable contract, the defendant put it out of his power to perform his contract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656</w:t>
      </w:r>
      <w:r>
        <w:rPr>
          <w:rFonts w:ascii="arial" w:eastAsia="arial" w:hAnsi="arial" w:cs="arial"/>
          <w:color w:val="000000"/>
          <w:sz w:val="20"/>
          <w:lang w:val="en-US" w:eastAsia="en-US" w:bidi="ar-SA"/>
        </w:rPr>
        <w:t>  Further, Lord Nicholls rejected the proposition endorsed by Lord Woolf MR to the effect that an account of profits should be available in circumstances where the defendant had obtained his profit by doing the very thing he was contracted not to. In Lord Nicholls' view, that category was defined too widely to be of assistance, and something more was required before an account of profits would be the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657</w:t>
      </w:r>
      <w:r>
        <w:rPr>
          <w:rFonts w:ascii="arial" w:eastAsia="arial" w:hAnsi="arial" w:cs="arial"/>
          <w:color w:val="000000"/>
          <w:sz w:val="20"/>
          <w:lang w:val="en-US" w:eastAsia="en-US" w:bidi="ar-SA"/>
        </w:rPr>
        <w:t xml:space="preserve">  The pivotal factual premise underlying the whole of the analysis by the Court of Appeal and the House of Lords in </w:t>
      </w:r>
      <w:r>
        <w:rPr>
          <w:rFonts w:ascii="arial" w:eastAsia="arial" w:hAnsi="arial" w:cs="arial"/>
          <w:i/>
          <w:color w:val="000000"/>
          <w:sz w:val="20"/>
          <w:lang w:val="en-US" w:eastAsia="en-US" w:bidi="ar-SA"/>
        </w:rPr>
        <w:t>Blake</w:t>
      </w:r>
      <w:r>
        <w:rPr>
          <w:rFonts w:ascii="arial" w:eastAsia="arial" w:hAnsi="arial" w:cs="arial"/>
          <w:color w:val="000000"/>
          <w:sz w:val="20"/>
          <w:lang w:val="en-US" w:eastAsia="en-US" w:bidi="ar-SA"/>
        </w:rPr>
        <w:t xml:space="preserve"> was that the defendant had acquired ill-gotten profits as a result of his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Indutech Canada Ltd. v. Gibbs Pipe Distributors Ltd.</w:t>
      </w:r>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2011 ABQB 38</w:t>
        </w:r>
      </w:hyperlink>
      <w:r>
        <w:rPr>
          <w:rFonts w:ascii="arial" w:eastAsia="arial" w:hAnsi="arial" w:cs="arial"/>
          <w:color w:val="000000"/>
          <w:sz w:val="20"/>
          <w:lang w:val="en-US" w:eastAsia="en-US" w:bidi="ar-SA"/>
        </w:rPr>
        <w:t xml:space="preserve"> at para. 518, aff'd </w:t>
      </w:r>
      <w:hyperlink r:id="rId1062" w:history="1">
        <w:r>
          <w:rPr>
            <w:rFonts w:ascii="arial" w:eastAsia="arial" w:hAnsi="arial" w:cs="arial"/>
            <w:i/>
            <w:color w:val="0077CC"/>
            <w:sz w:val="20"/>
            <w:u w:val="single"/>
            <w:shd w:val="clear" w:color="auto" w:fill="FFFFFF"/>
            <w:lang w:val="en-US" w:eastAsia="en-US" w:bidi="ar-SA"/>
          </w:rPr>
          <w:t>2013 ABCA 111</w:t>
        </w:r>
      </w:hyperlink>
      <w:r>
        <w:rPr>
          <w:rFonts w:ascii="arial" w:eastAsia="arial" w:hAnsi="arial" w:cs="arial"/>
          <w:color w:val="000000"/>
          <w:sz w:val="20"/>
          <w:lang w:val="en-US" w:eastAsia="en-US" w:bidi="ar-SA"/>
        </w:rPr>
        <w:t xml:space="preserve">, Romaine J. posited that the "something more" contemplated by Lord Nicholls may be as identified in John D. McCamus, </w:t>
      </w:r>
      <w:r>
        <w:rPr>
          <w:rFonts w:ascii="arial" w:eastAsia="arial" w:hAnsi="arial" w:cs="arial"/>
          <w:i/>
          <w:color w:val="000000"/>
          <w:sz w:val="20"/>
          <w:lang w:val="en-US" w:eastAsia="en-US" w:bidi="ar-SA"/>
        </w:rPr>
        <w:t>The Law of Contracts</w:t>
      </w:r>
      <w:r>
        <w:rPr>
          <w:rFonts w:ascii="arial" w:eastAsia="arial" w:hAnsi="arial" w:cs="arial"/>
          <w:color w:val="000000"/>
          <w:sz w:val="20"/>
          <w:lang w:val="en-US" w:eastAsia="en-US" w:bidi="ar-SA"/>
        </w:rPr>
        <w:t xml:space="preserve"> (Toronto: Irwin Law Inc., 2005) at 974: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principal argument in favour of granting this form of relief in a contractual context is that some breaches of contract are as offensive or wrongful as many breaches of fiduciary obligation or breaches of confidence.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just as the accounting of profits remedy is available in these other contexts, so too it should be available in the context of a heinous or unusually wrongful breach of contract. A further and perhaps more persuasive argument in support is that courts will, in any event, order disgorgement of profits in a case of contract breach where any other result would be unjust, even in the absence of an explicit doctrine permitting the granting of such relief.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659</w:t>
      </w:r>
      <w:r>
        <w:rPr>
          <w:rFonts w:ascii="arial" w:eastAsia="arial" w:hAnsi="arial" w:cs="arial"/>
          <w:color w:val="000000"/>
          <w:sz w:val="20"/>
          <w:lang w:val="en-US" w:eastAsia="en-US" w:bidi="ar-SA"/>
        </w:rPr>
        <w:t>  The plaintiffs' discussion of the gain to be disgorged centered almost exclusively on three categories of benefit that they assert was enjoyed by Fortress as a result of Mr. Vinall's alleged breaches of fiduciary duty and Fortress's duplicity. It is self-evident, that the dismissal of all claims against the Fortress defendants leaves the plaintiffs with no remedy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660</w:t>
      </w:r>
      <w:r>
        <w:rPr>
          <w:rFonts w:ascii="arial" w:eastAsia="arial" w:hAnsi="arial" w:cs="arial"/>
          <w:color w:val="000000"/>
          <w:sz w:val="20"/>
          <w:lang w:val="en-US" w:eastAsia="en-US" w:bidi="ar-SA"/>
        </w:rPr>
        <w:t>  Accordingly, the only relief to be granted is in relation to Mr. Vinall's breaches of contract, for which the plaintiffs have elected the extraordinary remedy of an equitable accounting of his so-called gain. The question thus raised is whether this case is so exceptional that I should exercise my discretion to grant such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661</w:t>
      </w:r>
      <w:r>
        <w:rPr>
          <w:rFonts w:ascii="arial" w:eastAsia="arial" w:hAnsi="arial" w:cs="arial"/>
          <w:color w:val="000000"/>
          <w:sz w:val="20"/>
          <w:lang w:val="en-US" w:eastAsia="en-US" w:bidi="ar-SA"/>
        </w:rPr>
        <w:t>  In assisting Fortress while still at Sateri, Mr. Vinall misused a few pieces of the plaintiffs' confidential information in breach of contract. The law does not take kindly to an employee's wrongful use of the employer's confidential information. Still, in considering whether an accounting is an appropriate remedy the court will take into account several factors, such as the nature of the information, the impact of its misuse and its degree of specialness and the nature and depth of the misconduct of the party in breach. Here, there was nothing very special about any of the confidential information misused by Mr. Vinall and, in the overall scheme, its disclosure was inconsequential. Mr. Vinall's wrongful post-resignation retention of the confidential information contained in the category one documents, which I doubt was deliberate, was also inconsequential.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662</w:t>
      </w:r>
      <w:r>
        <w:rPr>
          <w:rFonts w:ascii="arial" w:eastAsia="arial" w:hAnsi="arial" w:cs="arial"/>
          <w:color w:val="000000"/>
          <w:sz w:val="20"/>
          <w:lang w:val="en-US" w:eastAsia="en-US" w:bidi="ar-SA"/>
        </w:rPr>
        <w:t>  After Mr. Vinall resigned, he breached the Sateri Employment Contract by providing the Sateri trip report to Mr. Veilleux. Although I have accepted Mr. Goh's testimony that some contents of that report were confidential, the evidence does not reasonably permit a finding that it was anything other than slightly special. Moreover, there was no cogent evidence as to what came of the receipt of that trip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663</w:t>
      </w:r>
      <w:r>
        <w:rPr>
          <w:rFonts w:ascii="arial" w:eastAsia="arial" w:hAnsi="arial" w:cs="arial"/>
          <w:color w:val="000000"/>
          <w:sz w:val="20"/>
          <w:lang w:val="en-US" w:eastAsia="en-US" w:bidi="ar-SA"/>
        </w:rPr>
        <w:t>  Aside from Mr. Vinall's disclosure of that unimportant bit of confidential information, it has not been shown that, after he joined Fortress, he misused the other snippets of low-grade confidential information that forms the basis of his breaches of contract. Nor did Mr. Vinall exploit significant categories of confidential information, such as trade secrets, client lists, pricing information, protected mill conversion data or the like to assist Fortress.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664</w:t>
      </w:r>
      <w:r>
        <w:rPr>
          <w:rFonts w:ascii="arial" w:eastAsia="arial" w:hAnsi="arial" w:cs="arial"/>
          <w:color w:val="000000"/>
          <w:sz w:val="20"/>
          <w:lang w:val="en-US" w:eastAsia="en-US" w:bidi="ar-SA"/>
        </w:rPr>
        <w:t xml:space="preserve">  The expectation that Mr. Vinall would act as the future lead on the actual conversion of the Thurso Mill was important to the Quebec government. However, the preponderance of the evidence does not show that his involvement in that future capacity or the assistance he provided to Fortress in the pre-resignation period was crucial to Fortress's ultimate acquisition of the Thurso Mill, in the sense that the government would not have entered into or continued with the deal had Mr. Vinall not been involved or had subsequently pulled out or been excluded. Put another way, but to the same effect, Mr. Vinall's participation and continued involvement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Fortress relative to the Thurso Mill deal was not a pre-requisite to Fortress's successful acquisition.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665</w:t>
      </w:r>
      <w:r>
        <w:rPr>
          <w:rFonts w:ascii="arial" w:eastAsia="arial" w:hAnsi="arial" w:cs="arial"/>
          <w:color w:val="000000"/>
          <w:sz w:val="20"/>
          <w:lang w:val="en-US" w:eastAsia="en-US" w:bidi="ar-SA"/>
        </w:rPr>
        <w:t xml:space="preserve">  The evidence falls significantly short of establishing that Mr. Vinall's misuse of the plaintiffs' confidential information played anything more than a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role, in Fortress's interest in pursuing or its attainment of the Thurso Mill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666</w:t>
      </w:r>
      <w:r>
        <w:rPr>
          <w:rFonts w:ascii="arial" w:eastAsia="arial" w:hAnsi="arial" w:cs="arial"/>
          <w:color w:val="000000"/>
          <w:sz w:val="20"/>
          <w:lang w:val="en-US" w:eastAsia="en-US" w:bidi="ar-SA"/>
        </w:rPr>
        <w:t>  The Sateri Employment Contract prohibited Mr. Vinall from participating in substantially all of the activities in which he engaged relative to Fortress between mid-to-late October 2009 and the date of his resignation. Those constraints disappeared upon his resignation.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667</w:t>
      </w:r>
      <w:r>
        <w:rPr>
          <w:rFonts w:ascii="arial" w:eastAsia="arial" w:hAnsi="arial" w:cs="arial"/>
          <w:color w:val="000000"/>
          <w:sz w:val="20"/>
          <w:lang w:val="en-US" w:eastAsia="en-US" w:bidi="ar-SA"/>
        </w:rPr>
        <w:t>  In any event, I would again observe that assessing the matter through an analytical model that springs from the faulty theory that Fortress's opportunity to acquire the Thurso Mill was the product of Mr. Vinall's breach of fiduciary duties and Fortress's wrongful assistance, or was the result of his contractually prohibited disclosures and activities, is ill-conceived.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668</w:t>
      </w:r>
      <w:r>
        <w:rPr>
          <w:rFonts w:ascii="arial" w:eastAsia="arial" w:hAnsi="arial" w:cs="arial"/>
          <w:color w:val="000000"/>
          <w:sz w:val="20"/>
          <w:lang w:val="en-US" w:eastAsia="en-US" w:bidi="ar-SA"/>
        </w:rPr>
        <w:t>  The plaintiffs' election for an equitable accounting is readily explained by the fact that they did not suffer any compensable loss in respect of Mr. Vinall's breaches of contract. Yet, it is not precisely clear what gain or benefit Mr. Vinall can be said to have obtained as a result of his contractual breaches. In closing submissions, the plaintiffs argued that one of the ways to assess the value to Fortress of the Thurso Mill acquisition was with reference to the compensation and related benefits that Messrs. Vinall and Wasilenkoff each received from Fortress in relation to that transaction. Although the context of the argument concerning Mr. Vinall's compensation was intended as a partial yardstick to measure Fortress's gain, no other quantification of Mr. Vinall's gain or benefit was asserted. I therefore take the plaintiffs' position to be that Mr. Vinall's ill-gotten gain stemming from his contractual breaches for which they seek disgorgement is reflected in his compensation with Fortress and, in particular, the receipt of his RSUs.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669</w:t>
      </w:r>
      <w:r>
        <w:rPr>
          <w:rFonts w:ascii="arial" w:eastAsia="arial" w:hAnsi="arial" w:cs="arial"/>
          <w:color w:val="000000"/>
          <w:sz w:val="20"/>
          <w:lang w:val="en-US" w:eastAsia="en-US" w:bidi="ar-SA"/>
        </w:rPr>
        <w:t>  The plaintiffs calculated Mr. Vinall's 2010 compensation to be worth more than $2.16 million, consisting of a salary, bonus and his RSUs when valued as at the date they were issued. I have accepted Mr. Vinall's evidence that he suffered large financial losses in relation to his RSUs, which vested variously in 2010 and 2012. They did not constitute a benefit or gain to him; in fact, the reverse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670</w:t>
      </w:r>
      <w:r>
        <w:rPr>
          <w:rFonts w:ascii="arial" w:eastAsia="arial" w:hAnsi="arial" w:cs="arial"/>
          <w:color w:val="000000"/>
          <w:sz w:val="20"/>
          <w:lang w:val="en-US" w:eastAsia="en-US" w:bidi="ar-SA"/>
        </w:rPr>
        <w:t>  Closer to the point, the notion that Mr. Vinall's negotiated employment compensation for services rendered is in the nature of a wrongfully-obtained gain available for disgorgement does not find support in the authorities placed before me. The repercussions of accepting such a proposition could be catastrophic for employees in Mr. Vinall's circumstances in a way that does not resonate with the applicable equitable paradigm.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671</w:t>
      </w:r>
      <w:r>
        <w:rPr>
          <w:rFonts w:ascii="arial" w:eastAsia="arial" w:hAnsi="arial" w:cs="arial"/>
          <w:color w:val="000000"/>
          <w:sz w:val="20"/>
          <w:lang w:val="en-US" w:eastAsia="en-US" w:bidi="ar-SA"/>
        </w:rPr>
        <w:t xml:space="preserve">  Unlike the defendants in </w:t>
      </w:r>
      <w:r>
        <w:rPr>
          <w:rFonts w:ascii="arial" w:eastAsia="arial" w:hAnsi="arial" w:cs="arial"/>
          <w:i/>
          <w:color w:val="000000"/>
          <w:sz w:val="20"/>
          <w:lang w:val="en-US" w:eastAsia="en-US" w:bidi="ar-SA"/>
        </w:rPr>
        <w:t>Blake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Jostens,</w:t>
      </w:r>
      <w:r>
        <w:rPr>
          <w:rFonts w:ascii="arial" w:eastAsia="arial" w:hAnsi="arial" w:cs="arial"/>
          <w:color w:val="000000"/>
          <w:sz w:val="20"/>
          <w:lang w:val="en-US" w:eastAsia="en-US" w:bidi="ar-SA"/>
        </w:rPr>
        <w:t xml:space="preserve"> as a result of his contractual breaches Mr. Vinall did not derive any profit or gain of the kind that would properly be the subject matter of an equitable accounting. Moreover, his breaches of contract, either singly or cumulatively, were not remotely sufficiently offensive or egregious to militate in favour of the exercise of my discretion to grant an equitable accounting. A demand for disgorgement from Mr. Vinall who has enjoyed no gain or profit, by plaintiffs who have suffered no harm or form of loss, can find no reward in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672</w:t>
      </w:r>
      <w:r>
        <w:rPr>
          <w:rFonts w:ascii="arial" w:eastAsia="arial" w:hAnsi="arial" w:cs="arial"/>
          <w:color w:val="000000"/>
          <w:sz w:val="20"/>
          <w:lang w:val="en-US" w:eastAsia="en-US" w:bidi="ar-SA"/>
        </w:rPr>
        <w:t>  In the circumstances, it would not be unjust to the plaintiffs to decline to order the exceptional remedy they seek. In contrast, it would be unduly harsh and manifestly unjust to Mr. Vinall to grant the remedy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673</w:t>
      </w:r>
      <w:r>
        <w:rPr>
          <w:rFonts w:ascii="arial" w:eastAsia="arial" w:hAnsi="arial" w:cs="arial"/>
          <w:color w:val="000000"/>
          <w:sz w:val="20"/>
          <w:lang w:val="en-US" w:eastAsia="en-US" w:bidi="ar-SA"/>
        </w:rPr>
        <w:t xml:space="preserve">  Finally, Mr. Vinall's conduct was not reprehensible in the sense of deserving of punishment by an award against him of punitive damages: see generally, </w:t>
      </w:r>
      <w:r>
        <w:rPr>
          <w:rFonts w:ascii="arial" w:eastAsia="arial" w:hAnsi="arial" w:cs="arial"/>
          <w:i/>
          <w:color w:val="000000"/>
          <w:sz w:val="20"/>
          <w:lang w:val="en-US" w:eastAsia="en-US" w:bidi="ar-SA"/>
        </w:rPr>
        <w:t>Vorvis v. Insurance Corporation of British Columbia</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674</w:t>
      </w:r>
      <w:r>
        <w:rPr>
          <w:rFonts w:ascii="arial" w:eastAsia="arial" w:hAnsi="arial" w:cs="arial"/>
          <w:color w:val="000000"/>
          <w:sz w:val="20"/>
          <w:lang w:val="en-US" w:eastAsia="en-US" w:bidi="ar-SA"/>
        </w:rPr>
        <w:t>  The plaintiffs' claims against Mr. Vinall grounded in breach of contract have succeeded in part. All other claims against him are dismissed. An order for an equitable accounting is denied. The plaintiffs' election for an accounting disentitles them to an award of damages. Even if that election had not been made, an award of nominal damages only would be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675</w:t>
      </w:r>
      <w:r>
        <w:rPr>
          <w:rFonts w:ascii="arial" w:eastAsia="arial" w:hAnsi="arial" w:cs="arial"/>
          <w:color w:val="000000"/>
          <w:sz w:val="20"/>
          <w:lang w:val="en-US" w:eastAsia="en-US" w:bidi="ar-SA"/>
        </w:rPr>
        <w:t>  The plaintiffs' claims against the Fortress defendants are dismissed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676</w:t>
      </w:r>
      <w:r>
        <w:rPr>
          <w:rFonts w:ascii="arial" w:eastAsia="arial" w:hAnsi="arial" w:cs="arial"/>
          <w:color w:val="000000"/>
          <w:sz w:val="20"/>
          <w:lang w:val="en-US" w:eastAsia="en-US" w:bidi="ar-SA"/>
        </w:rPr>
        <w:t>  If the parties are unable to reach an agreement on costs, they may file written submissions implementing a timetable of their choosing that incorporates a final deadline of June 16,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kind of logic would also allow for a backdoor to create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4" type="#_x0000_t75" style="width:401.25pt;height:490.5pt">
            <v:imagedata r:id="rId1063"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April 4, 2017</w:t>
      </w:r>
      <w:r>
        <w:rPr>
          <w:rFonts w:ascii="arial" w:eastAsia="arial" w:hAnsi="arial" w:cs="arial"/>
          <w:sz w:val="20"/>
          <w:lang w:val="en-US" w:eastAsia="en-US" w:bidi="ar-SA"/>
        </w:rPr>
        <w:cr/>
      </w:r>
    </w:p>
    <w:p>
      <w:pPr>
        <w:numPr>
          <w:numId w:val="13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Deletion of the last sentence of paragraph 428, namely "This kind of logic would also allow for a backdoor to create a fiduciary duty where one would not otherwise exist", as it is duplicated in paragraph 429; and</w:t>
      </w:r>
    </w:p>
    <w:p>
      <w:pPr>
        <w:numPr>
          <w:numId w:val="13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third line of paragraph 481, the second appearance of the word "as" ha been changed to "a".</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067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64"/>
          <w:headerReference w:type="default" r:id="rId1065"/>
          <w:footerReference w:type="even" r:id="rId1066"/>
          <w:footerReference w:type="default" r:id="rId1067"/>
          <w:headerReference w:type="first" r:id="rId1068"/>
          <w:footerReference w:type="first" r:id="rId10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70" w:history="1">
        <w:r>
          <w:rPr>
            <w:rFonts w:ascii="arial" w:eastAsia="arial" w:hAnsi="arial" w:cs="arial"/>
            <w:b/>
            <w:bCs/>
            <w:i/>
            <w:color w:val="0077CC"/>
            <w:kern w:val="32"/>
            <w:sz w:val="28"/>
            <w:szCs w:val="32"/>
            <w:u w:val="single"/>
            <w:shd w:val="clear" w:color="auto" w:fill="FFFFFF"/>
            <w:lang w:val="en-US" w:eastAsia="en-US" w:bidi="ar-SA"/>
          </w:rPr>
          <w:t>Bricker v. Danyk, [2015] B.C.J. No. 2825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19-23, 26-29 and November 2-4 and 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M125009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2825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71" w:history="1">
        <w:r>
          <w:rPr>
            <w:rFonts w:ascii="arial" w:eastAsia="arial" w:hAnsi="arial" w:cs="arial"/>
            <w:i/>
            <w:color w:val="0077CC"/>
            <w:sz w:val="20"/>
            <w:u w:val="single"/>
            <w:shd w:val="clear" w:color="auto" w:fill="FFFFFF"/>
            <w:lang w:val="en-US" w:eastAsia="en-US" w:bidi="ar-SA"/>
          </w:rPr>
          <w:t>2015 BCSC 2404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Alison Marie Bricker, Plaintiff, and Shawn Alex Danyk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6"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13" w:name="Keywords_43"/>
      <w:bookmarkEnd w:id="413"/>
      <w:r>
        <w:rPr>
          <w:rFonts w:ascii="arial" w:eastAsia="arial" w:hAnsi="arial" w:cs="arial"/>
          <w:b/>
          <w:color w:val="000000"/>
          <w:sz w:val="20"/>
          <w:lang w:val="en-US" w:eastAsia="en-US" w:bidi="ar-SA"/>
        </w:rPr>
        <w:t>Damages — Physical and psychological injuries — Physical injuries — Body injuries — Soft tissue — Psychological injuries — Depression — Post-traumatic stress disorder (PTSD) — Considerations impacting on award — Degree of impairment — Permanent total or partial disability — Action by plaintiff for personal injury damages allowed — Plaintiff, now age 42, was rear-ended by defendants' vehicle in 2011 — Medical evidence established soft tissue injuries causing neck and shoulder pain and headaches that was chronic and caused significant psychological issues, including PTSD and depression — Tinnitus and jaw pain was not attributable to accident — Plaintiff awarded $100,000 in non-pecuniary damages, $52,000 for past income loss, $170,000 for loss of future earning capacity, $15,000 for costs of future care, and $15,000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Employment status — Extent of incapacity — Cost of future care — Loss of earning capacity — Special damages — Post loss of income — Non-pecuniary loss — Action by plaintiff for personal injury damages allowed — Plaintiff, now age 42, was rear-ended by defendants' vehicle in 2011 — Medical evidence established soft tissue injuries causing neck and shoulder pain and headaches that was chronic and caused significant psychological issues, including PTSD and depression — Tinnitus and jaw pain was not attributable to accident — Plaintiff awarded $100,000 in non-pecuniary damages, $52,000 for past income loss, $170,000 for loss of future earning capacity, $15,000 for costs of future care, and $15,000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14" w:name="Case Summary_40"/>
            <w:bookmarkEnd w:id="4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Bricker, against the defendants, Danyk and the Crown, for damages for personal injuries. In January 2011, the plaintiff's vehicle was rear-ended by a large sheriff's truck owned and operated by the defendants. The plaintiff experienced neck stiffness and nausea in the hours after the accident. She sought treatment from her chiropractor and her physician the following day. In the weeks after the accident, the plaintiff experienced neck and shoulder pain, headaches and fatigue. She subsequently developed tinnitus and jaw pain. The plaintiff continued massage, physiotherapy, acupuncture and chiropractic treatments throughout 2011 and 2012. In 2013, she underwent surgery for a disc issue in her neck but her symptoms did not improve. The plaintiff, now age 42, worked as a corporate recruiter before starting her own CV-writing business. She had an active social life and no prior health issues. She attempted to teach following the accident but found it too demanding. She continued to experience persistent neck and shoulder pain and headaches, though the frequency of the headaches had diminished. At issue was the appropriate quantum of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15" w:name="Holdings of Court_35"/>
            <w:bookmarkEnd w:id="41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established the plaintiff suffered soft tissue injuries to her neck and back that continued to cause pain five years later. The medical evidence was uniform in stating the plaintiff's condition was chronic and unlikely to fully resolve. In addition, the evidence established the plaintiff suffered from major psychological issues, including PTSD and depression, caused by the accident that affected her social, recreational and employment pursuits. The evidence did not support a finding that the plaintiff's tinnitus and jaw issues were caused by the accident. The plaintiff was awarded damages totaling $352,000 comprised of $100,000 in non-pecuniary damages, $52,000 for past income loss, $170,000 for loss of future earning capacity, $15,000 for costs of future care, and $15,000 for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16" w:name="Counsel_45"/>
      <w:bookmarkEnd w:id="4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7"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J.M. Cameron, B.G. Souza.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A.P. Burnett.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17" w:name="Judgment_45"/>
      <w:bookmarkEnd w:id="417"/>
      <w:r>
        <w:pict>
          <v:line id="_x0000_s1248" style="position:absolute;z-index:2518077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18" w:name="R.A. SKOLROOD J._0"/>
            <w:bookmarkEnd w:id="418"/>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Alison Bricker, claims damages in respect of injuries sustained on January 31, 2011 when her vehicle was struck from behind by a large sheriff's truck driven by the defendant Shawn Danyk and owned by Her Majesty the Queen in Right of the Province of British Columbia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not disputed. The defendants admit that Ms. Bricker was injured in the accident but they take issue with the quantum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Pre-Accident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Bricker was born in 1973. She was 37 years old at the time of the accident, and 42 years old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Bricker was raised in Kitchener, Ontario where she lived with her parents and two brothers. She says that she comes from a close family. Her brothers now both live in Australia and her parents spend much of the year there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Bricker described an active and happy childhood with no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graduating high school, she attended Carleton University in Ottawa, originally with the intention of becoming a teacher. After graduating, her interests shifted to human resources and she enrolled at Sheridan College in Brampton, Ontario in the human resources management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the academic portion of that program, she obtained a practicum position with a company called Fasco Motors in Cambridge, Ontario. At the completion of the practicum, she stayed on with the company as a human resources assistant, reporting to the human resources manager. At some point her manager took a sick leave and Ms. Bricker says that she largely took over the management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later moved to a new position with the City of Brampton as a human resources advisor for the roads and transportation department. In that position, she dealt with a variety of human resources matters, including recruiting and hiring. Her starting salary was about $60,000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Eventually, due to a reorganization, the recruiting aspect was removed from her job so she decided to look elsewhere. She then worked at a couple of contract recruiting positions in Toronto which also paid about $60,000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2007, she met a man from Vancouver online and came for a visit. She says that she fell in love with the city. While the relationship did not work out, she nonetheless decided to move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Within a few weeks of arriving in 2007, she was hired as a corporate recruiter at Teligence Communications which operated a number of phone chat services. Her job involved recruiting and hiring people in the tech industry, such as programmers and software designers.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late 2007 and early 2008, the economy generally, and the tech industry in particular, went into decline as a result of which the number of available positions at Teligence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Bricker therefore reached out to friends and contacts in the recruiting world and obtained a short term contract with Air Canada through an external recruiter that Ms. Bricker had met while at Teligence. That position paid $55,000 per year. After that contract ended, Ms. Bricker obtained another short term contract as a recruiter for a high tech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early 2009, Ms. Bricker started her business, SkyHigh Resumes ("SkyHigh"). She says that she met a man at a grocery store who was a foreign-trained accountant who was having difficulty securing work in his field in Canada. Given her background in recruiting, she offered to help him with his resume. That experience led her to believe that she could pursue a business in resume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will deal with SkyHigh, both before and after the accident, in more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Bricker testified that throughout the time that she was in Ontario, and continuing when she moved to Vancouver, she was always a social and physically active person. When she came to Vancouver, she joined a fitness club and exercised regularly. She had an active social life. In 2010, for her birthday, she bought a dog that she loved to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says that she had no health issues that interfered with her social life or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Catherine Lewis has been involved in the recruiting business for many years. She met Ms. Bricker when the plaintiff was employed at Teligence. Ms. Lewis acted as an outside consultant to Teligence on recruiting matters and she worked with Ms. Bricker in that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Lewis described Ms. Bricker as a social, upbeat, intelligent and driven person who got up to speed on technical issues very quickly. When Ms. Bricker was laid off from Teligence in 2008, Ms. Lewis placed her into a recruiting position with Air Canada on a short-term contract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Andrew Herrington worked in the recruiting business up until the beginning of 2015 and in that capacity has had dealings with Ms. Bricker dating back to 2010. Mr. Herrington testified that, prior to the accident, Ms. Bricker was an outgoing, ambitious and professional person who was excited about her resume business and thinking about expanding that business.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noted, the accident occurred on January 31, 2011. Ms. Bricker was driving her 1988 Honda Accord hatchback and was headed to the dog store to buy her dog a chew stick.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was driving east on McLean Avenue in Port Coquitlam, where she was then living, and came to a yield sign at the intersection where McLean merges into Kingsway. She stopped to allow traffic on Kingsway to clear before intending to turn right onto Kingsway. While stopped, her car was struck from behind by the truck driven by Deputy Sheriff Danyk. The truck was transporting prisoners.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Bricker says that she had no advance warning but simply felt a huge "bang". She described the impact as significant and the sound as "massive". She says that she initially thought she had broken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a few moments, she got out of her car and spoke to the sheriff who was driving the truck. Ambulance and police arrived and she was asked if she wanted to go to the hospital. She declined as she did not know what to do with her dog and also did not feel badly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Deputy Sheriff Shawn Danyk, the driver of the other vehicle, also testified. He said that he was driving east on McLean behind a white Honda. The Honda came to the intersection where McLean merges into Kingsway. He saw the Honda move forward and he did a left shoulder check to look for traffic approaching along Kingsway. As he did, he moved forward and his truck "bumped" into the Honda.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Deputy Sheriff Danyk estimated that he was travelling at about two to three km/h when he struck the Honda, although he agreed in cross-examination that it could have been eight to ten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video of the accident was recorded by a camera mounted on the dashboard of the sheriff's truck. It shows the white Honda being struck from behind by the truck and propelled forward a number of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Like Ms. Bricker, Deputy Sheriff Danyk testified that after the impact, the parties got out of their vehicles and exchanged information. Emergency personnel attended, but Ms. Bricker was not taken to the hospital. Neither Deputy Sheriff Danyk, nor his partner who was also in the truck, were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Bricker says that after speaking to the emergency personnel, she drove home, iced her neck and went to bed. In the middle of the night, she woke up and the right side of her neck was swollen and stiff. She felt nauseous and dizzy.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next day she went to see her chiropractor, Dr. Robinson. Ms. Bricker had seen Dr. Robinson periodically prior to the accident and described him as her "regular maintenance chiropractor". She says he often helped her with shoulder stiffness from working on a keyboard.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Robinson did not treat her that day as her neck was too swollen. She then went to a walk-in clinic and followed that up the next day with a visit to her family doctor, Dr. Kang. She says that when she saw Dr. Kang she was very upset and was having difficulty with concentration and getting words out. She says she did not feel like herself. She felt nauseous and had pain in her neck. She had a ringing sensation in her ear but does not recall whether she told Dr. Kang about that problem.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Post-Accident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weeks following the accident, Ms. Bricker says that she experienced neck and shoulder pain, headaches and fatigue. She also felt "foggy" and had difficulty getting words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late 2011 and early 2012, Ms. Bricker began experiencing ringing in her ears (tinnitus) and jaw pain. It is interesting to note that in virtually all of the medical reports, it is recorded that she first started experiencing these issues approximately nine or ten months after the accident. However, there is a notation in some early records suggesting that she complained of ringing in her ears immediately after the accident. On her own evidence, however, this did not become a problem for her until well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August 2011, Ms. Bricker obtained a part-time teaching position at a local career college. She described the position as providing practical, hands-on instruction on how to find a job. Ms. Bricker says that she enjoyed teaching but had to stop after about three months as she found it too physically demanding.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While Ms. Bricker initially believed that her condition would improve with time, by the summer of 2012 she was continuing to experience symptoms which caused her to become anxious and depressed. At that time she started seeing a psychologist, Dr. Guest,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Throughout 2011 and 2012, Ms. Bricker sought treatment in a variety of forms including massage, physiotherapy, acupuncture and chiropractic treatments. Some of the treatments provided a measure of relief for her while others resulted in no noticeable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June 2013, she had surgery to deal with a disc issue in her neck that was causing numbness in her arms. Ms. Bricker acknowledges that this issue was not related to the accident but notes that the surgery did not improve her continuing neck and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late 2013, Ms. Bricker went to Victoria for a month to receive treatment for her tinnitus. She says that the treatment has helped relieve some of the tinnitus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terms of her current condition, Ms. Bricker says that her jaw and facial pain have improved but she continues to experience persistent, regular neck and shoulder pain. She still has regular headaches but the frequency has diminished. Ms. Bricker says that she continues to feel depressed and anxious and often has difficulty focussing. She thinks about the accident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According to Ms. Bricker, the accident has had a significant impact on her enjoyment of life. Many of the friends that she had before the accident have fallen away and she says she rarely socializes now. She is worried that due to her condition, she may never marry or have children. She is no longer the energetic, optimistic person she was before the accident. She is also not as physically active as she was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will address the impacts on her business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Lewis testified that she first saw Ms. Bricker again about two years after the accident. She said that Ms. Bricker had gained weight, looked tired and seemed somewhat disconnected cognitively.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said that she has seen Ms. Bricker perhaps three or four times since the accident, most of which were in the last year. According to Ms. Lewis, she would not be comfortable putting Ms. Bricker forward for human resource or recruiting positions given her current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Herrington testified that since the accident, he has seen Ms. Bricker in person two or three times and has spoken to her on the phone a number of times. He describes her as a changed person who comes off as unhappy, anxious and distracted. He said that if he was still working as a recruiter, he would not be comfortable putting Ms. Bricker forward to a client as a candidate for employment given her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SkyHigh Resumes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noted, Ms. Bricker started SkyHigh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says that throughout 2009 and 2010, she worked at developing her business. She established a website, initially on her own but later with professional assistance. She recognized that recruiters would be a useful source of referrals so she worked at expanding her recruiting contacts. For example, in late 2010 she organized a social event to bring together recruiters with people for whom she had written resumes. She says it was a very successful event and that she planned to host similar events in the future. Mr. Herrington attended the event and confirmed that it was very well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she initially met clients in coffee shops, in 2010 she obtained office space on West Broadway in Vancouver. She would typically go to the office three days a week and interview her clients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Bricker estimated that in 2009, she made between $13,000-15,000 from the business. In 2010, that increased to about $29,000. In the early period in which the business was just starting up, she also worked for a short period of time selling cars, which did not work out, and then she worked as a makeup and skin care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Bricker testified that since the accident, she has continued to operate SkyHigh to the best of her ability, however she currently is only able to devote approximately 15-17 hours per week to her business due to her health issues. In terms of client numbers, she says that she can maybe do two resumes per week compared to the four or five that she would do if healthy. In June 2012, she closed her office in Vancouver and since then has worked solely from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problems that she experiences include continuing pain in her neck and shoulders which limits her ability to work on her computer. Her emotional and cognitive issues also affect her ability to work, including meeting deadlines and following up with clients. She testified that she has had numerous client complaints because of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Despite these problems, it is useful to note that throughout the period since the accident, Ms. Bricker has maintained and improved her website and has created a second site to promote her services in Alberta. Evidence led at trial indicated a continuing growth in traffic on her website suggesting a growing interest in her services. Further, despite her evidence about a number of client complaints, she also has had numerous positive reviews, many of which are posted on her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Bricker's income tax returns were entered into evidence and they disclose the following incomes for the years 2007-2013: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2007 $46,908 ($41,343 employment income and $5,565 in EI);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2008 $32,982 ($23,368 employment income, $9,600 in EI and $14 in commission income);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2009 $11,713.55 ($4,209.23 in employment income, $1,392 in EI and $6,112.32 in net business income on gross business income of $12,600);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2010 $13,089.18 (net business income on gross business income of $29,000);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2011 $16,454.31 ($5,678.84 in employment income plus $10,775.47 in net business income on gross business income of $18,912);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2012 $13,451.62 (net business income on gross business income of $20,393.47);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2013 $27,835.88 (net business income on gross business income of $34,777.73).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Bricker has not yet filed her income tax returns for 2014 and 2015. Her evidence was that she has provided some information to her accountant but she has not been able to afford to finalize the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Bricker did however provide estimates of her gross 2014 and 2015 revenues to Mr. Milne for the purposes of his expert report (see below). These estimates are based on her review of information obtained through the electronic payment services she uses for receiving payments from clients. Ms. Bricker estimates that her gross revenues were approximately $34,000 for 2014 and $22,000 for 2015, to the date of the trial. She did not produce any documents to support these estimates.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Tim Cunningham testified about the resume writing business generally. He is a competitor of Ms. Bricker in Vancouver and operates under the name Fast and Focused Resumes. He has never met Ms. Bricker.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According to Mr. Cunningham, the most challenging aspect of writing resumes is conducting the personal interview which is used to draw out the client's experiences and achievements. He said that it is essential to have a good working knowledge of the attributes that hiring managers look for in a variety of industries.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Cunningham testified that he has accreditation as a Certified Professional Resume Writer. The only higher accreditation is Certified Master Resume Writer, which very few people have. One of those people is another Vancouver competitor who operates a business called Vancouver Resume Services. Ms. Bricker has neither accreditation.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According to Mr. Cunningham, he expects to gross about $50,000-60,000 this year in his business, although he said his net income averages about $2,500 per month. He testified that some people make up to $100,000 by focussing their business on writing resumes for senior executives.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Ms. Bricker led evidence from a number of medical experts. While I have read the experts' reports and considered their </w:t>
      </w:r>
      <w:r>
        <w:rPr>
          <w:rFonts w:ascii="arial" w:eastAsia="arial" w:hAnsi="arial" w:cs="arial"/>
          <w:i/>
          <w:color w:val="000000"/>
          <w:sz w:val="20"/>
          <w:lang w:val="en-US" w:eastAsia="en-US" w:bidi="ar-SA"/>
        </w:rPr>
        <w:t>vive voce</w:t>
      </w:r>
      <w:r>
        <w:rPr>
          <w:rFonts w:ascii="arial" w:eastAsia="arial" w:hAnsi="arial" w:cs="arial"/>
          <w:color w:val="000000"/>
          <w:sz w:val="20"/>
          <w:lang w:val="en-US" w:eastAsia="en-US" w:bidi="ar-SA"/>
        </w:rPr>
        <w:t xml:space="preserve"> testimony, I will not review the medical evidence in detail. I will however highlight some of the key findings and opinions of the medical experts.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Cheryl Guest is a registered psychologist who has treated Ms. Bricker for psychological issues resulting from the accident and who prepared a medical-legal report at the request of Ms. Bricker's counsel. Her report, dated September 10, 2013, is based both on her treatment sessions with Ms. Bricker and on a psychological assessment performed on August 13, 2013. Dr. Guest also treated Ms. Bricker a number of times after August 13,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Guest diagnosed the plaintiff as suffering from the following psychological conditions, based on the DSM-5 criteria, that in her opinion were caused by the accident:</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Depressive Disorder, Single Episode-moderate to severe without psychotic features;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 ("PTSD")-with dissociative symptoms, moderate to severe;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Somatic Symptom Disorder-with predominant pain, persistent, moderate to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was Dr. Guest's opinion that these conditions, combined with Ms. Bricker's residual physical injuries and limitations, have "significantly impacted her quality of life and resulted in an ongoing functional impairment to social, occupational, activities of daily living and recreational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According to Dr. Guest, Ms. Bricker requires extended and intense psychological and pharmacological treatment for her condition, including regular psychological counselling for a period of 10-12 months followed by periodic maintenance treatments.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Koo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David Koo is a specialist in physical medicine and rehabilitation (physiatrist) who examined Ms. Bricker on December 3, 2012 at the request of her counsel. The results of Dr. Koo's assessment are set out in a report dated December 20,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Based on his review of available medical information and his assessment of Ms. Bricker, Dr. Koo opined that the accident resulted in or significantly contributed to the following conditions: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traumatic brain injury (concussion) with chronic post-concussive syndrome;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Whiplash soft tissue injury to the neck and back with chronic sequelae of:</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Probable C7-T1 facet injury, right side worse than left;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pain of right masseter and temporalis, left trapezius and scalene muscles;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musculoligamentous strain of mid-thoracic interspinous ligaments;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Temporomandibular joint (TMJ) disorder;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Tinnitus;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headaches;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sleep disruption;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Impaired cognition, emotional and psychological state, multifactorially related to the above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was his opinion that given the duration of her soft tissue pain, despite various therapies and attempts on Ms. Bricker's part to remain active, the condition is chronic and unlikely to fully resolve.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Kang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Maria Kang was Ms. Bricker's family doctor from 2007 until Dr. Kang moved to Halifax in 2013. She said that Ms. Bricker had no pre-existing medical issues and was generally a healthy and active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Kang prepared a report dated September 18, 2013 in which she describes Ms. Bricker's initial complaints after the accident, the treatments provided and recommended and the progression of Ms. Bricker's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Kang first saw Ms. Bricker on February 3, 2011 after the January 31 accident. At that time, Ms. Bricker complained of the following:</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back pain;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distress/depression;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Insomnia;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noted, Dr. Kang's report then tracks Ms. Bricker's treatments and progression through until July 2013 when Dr. Kang again left for Halifax. Dr. Kang notes that Ms. Bricker did not initially complain of ear or jaw issues but these problems emerged in January 2012 and were investigated through various referrals.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Based on her treatment history with Ms. Bricker, Dr. Kang provided the following prognosis, which she characterizes as guarded: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will likely continue to suffer neck, back and shoulder pain in the future. She is at risk of reinjuring these areas in the future and must exercise caution to avoid doing so. She may continue to suffer associated symptoms in future including headaches and insomnia. Her neck, back and shoulder pain will likely continue to impact her work, personal household and leisure activities. She is at risk for recurrent depression, anxiety, and emotional difficulties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her testimony, Dr. Kang agreed that, with respect to Ms. Bricker's physical complaints, her neck was the main issue and was much more significant than her shoulder and back complaints.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Bean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Graham Bean is a neuropsychologist who also practices as a clinical psychologist. He conducted a neuropsychological assessment of Ms. Bricker on March 4-5, 2013 at the request of her counsel, the results of which are set out in a report dated March 25,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part of his assessment, Dr. Bean had Ms. Bricker undergo a number of neuropsychological tests, the results of which indicated a general cognitive ability in the average range. According to Dr. Bean, Ms. Bricker's cognitive profile is consistent with someone who suffers from pain,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From a psychological perspective, Dr. Bean diagnosed Ms. Bricker as suffering from a Major Depressive Episode as well as from PTSD, both of which, in his opinion, developed as a direct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Of note, it was Dr. Bean's opinion that the cognitive issues complained of by Ms. Bricker, specifically the problems with attention, concentration and memory, are related to her ongoing issues with pain, anxiety and low mood rather than the result of an mild traumatic brain injury ("MTBI"). That said, he also suggested that the plaintiff's cognitive issues be re-examined after the other complaints have been treated in order to determine whether there are other factors contributing to those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Longridge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Neil Longridge is a specialist in the field of otolaryngology (ENT) who examined the plaintiff at the request of her counsel on March 20, 2013 and the results of his assessment are set out in a report dated June 26, 2013. Dr. Longridge also prepared a rebuttal report dated March 3, 2015 in response to a report obtained by the defendants from another ENT specialist, Dr. David.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Longridge indicates in his report that the plaintiff complained of tinnitus beginning about nine months after the accident. He states that, in general, where tinnitus comes on within six months of an accident or other trauma, in the absence of any other satisfactory explanation, it is probable that the accident caused the condition. If tinnitus develops more than six months after an accident, then the accident may be a "possible"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Ms. Bricker's case, Dr. Longridge reviewed various medical records and determined that she had in fact first complained of tinnitus about a week after the accident. The condition seemed to diminish but then returned in a more significant way some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was Dr. Longridge's opinion that given the initial occurrence shortly after the accident and the absence of any other reasonable explanation, the accident was the probable cause of her ongoing tinnitus complaints.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Mehta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Sujay Mehta is a dentist with particular expertise in the area of facial pain. He examined Ms. Bricker on September 4, 2012 at the request of her counsel and he prepared a report dated November 28, 2012. Dr. Mehta subsequently prepared a rebuttal report dated January 25, 2015 in response to the defendants' dental expert, Dr. Goldstein.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Mehta was consulted in connection with Ms. Bricker's complaints of jaw pain. In his report, he notes that the term TMJ disorder is often used to describe a number of different jaw related problems and that in Ms. Bricker's case, her issue is not a joint problem but a muscle one. Dr. Mehta diagnosed the plaintiff as suffering from a myalgia to the muscles of mastication particularly the masseter muscle. In lay terms, those are the muscles that control one's chewing. He considered the jaw pain to be related to the other pain symptoms complained of by Ms. Bricker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Mehta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history presented to me, it is my opinion that the motor vehicle accident of 31st January 2011 is most likely responsible for the multiple pains to the head and neck region which along with anxiety and sleep disturbance led to the current complaints of masticatory muscle myalgia and chronic headache although jaw muscle pains were not clinically documented until about one year following the MVC.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Mehta described Ms. Bricker as a "complex pain patient" who would benefit from a multi-disciplinary approach to pain management.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Robert Miller is a psychiatrist who assessed Ms. Bricker on October 23, 2014 at the request of her counsel. The results of that assessment are set out in his report dated November 6,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was Dr. Miller's opinion that Ms. Bricker met the diagnostic criteria for both PTSD and a Major Depressive Disorder. He did not believe that she met the diagnostic criteria for a traumatic brain injury and thought that her cognitive complaints related to her pain, anxiety and depression. It was Dr. Miller's opinion that Ms. Bricker would benefit from a further 8-20 sessions of cognitive behavioural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Miller also opined that there is a direct causal connection between the accident and some of the plaintiff's psychiatric symptoms in that they are connected to her ongoing pain and physical disability. He also suggested however that some of her symptoms are also related to the fact that she has not taken or has been unable to tolerate standard pharmacological treatment for depression.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Dana Ranahan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Dana Ranahan is a physiotherapist who assessed Ms. Bricker on September 19, 2012 at the request of her counsel and prepared a report dated October 24, 2012. Ms. Ranahan was not a treating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Ranahan described Ms. Bricker as displaying moderate restrictions in her mobility, strength and function primarily in relation to her neck, shoulders and jaw. She also noted that Ms. Bricker has a very high self-perception of pain and disability.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Dost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Rehan Dost is a neurologist who examined Ms. Bricker at the request of the defendant on May 12, 2014. Dr. Dost prepared a report of the same date as well as an addendum report dated July 12,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was Dr. Dost's opinion that Ms. Bricker was suffering from chronic headaches associated with whiplash. With respect to her cognitive issues, he was of the view that she did not suffer a brain injury of any severity. Rather, it was his opinion, consistent with Dr. Bean, that Ms. Bricker's cognitive complaints were related to psychological issues, chronic pain and sleep alteration. Dr. Dost also stated that in his view there was no neurological basis for Ms. Bricker's complaints of tinnitus and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Dost, in both his initial report and in his addendum, opined that Ms. Bricker's disc issues which resulted in surgery in June 2013 were unrelated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David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Etyan David is an ENT specialist with a particular interest in inner ear disorders causing dizziness, hearing loss and tinnitus. He examined Ms. Bricker on June 27, 2014 at the request of the defendant and prepared a report dated July 29, 2014. Based on his examination and the history taken from Ms. Bricker, as well as his review of relevant medical records, it was Dr. David's opinion that there was insufficient evidence to establish inner ear trauma as a cause of Ms. Bricker's complaints of tinnitus and dizziness. Dr. David notes, however, that TMJ dysfunction can result in tinnitus-like symptoms and sometimes patients confuse the two given the close proximity of the TMJ to the 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David agreed that factors such as stress and anxiety can affect tinnitus.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Levin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Alexander Levin is a psychiatrist who examined Ms. Bricker on April 9, 2014 at the request of the defendant. Dr. Levin produced a report dated May 7, 2014. Based on his examination of Ms. Bricker and his review of other medical records, it was Dr. Levin's opinion that Ms. Bricker's symptoms of depression and anxiety did not meet the threshold for a diagnosis of either a Major Depressive Disorder or PTSD. Specifically, he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I would like to reiterate that from a psychiatric perspective as a result of the subject MVA, Ms. Bricker did not develop any new, not existent before, psychiatric disorder or clinically significant psychiatric condition that would require any type of psychopharmacological or psychotherapeutic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Levin's opinion was based in large measure on his view that Ms. Bricker's symptoms, as she reported to him and as are reflected in the medical records, do not reflect the degree of severity or incapacity necessary to meet the diagnostic criteria for either a Major Depressive Disorder or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He went on to suggest that Ms. Bricker's "transient" symptoms of depression and anxiety were likely caused by situational issues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Levin did agree however that the physical effects of the accident likely had an adverse impact on Ms. Bricker's psychological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Goldstein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Larry Goldstein is an oral and maxillofacial surgeon who examined Ms. Bricker on November 24, 2014 at the request of the defendant. Dr. Goldstein prepared a report dated December 17, 2014. The focus of Dr. Goldstein's assessment was Ms. Bricker's complaints of TMJ and facial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Based on his examination of Ms. Bricker, it was Dr. Goldstein's opinion that her TMJ discs were functioning normally. With respect to Ms. Bricker's tinnitus, Dr. Goldstein said that while the TMJ structures are in close proximity to the ear, there is no physical connection between them and therefore no plausible mechanism relating the two causally. In terms of her complaints of facial pain, it was his view that, given that her TMJs are normal, the pain was likely referred muscle pain from stiff muscles or pain from some other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Based on the history taken from Ms. Bricker and his review of the medical records, it was Dr. Goldstein's view that it was very unlikely that the accident caused her facial pain, given the absence of any trauma to the face. However, he suggested that her major depressive episodes, anxiety, PTSD and her general pain syndrome is causing or contributing to her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Economic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Gordon Milne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Gordon Milne is a chartered accountant who prepared a report dated July 26, 2015 setting out past and future income loss calculations for Ms. Bricker based upon certain assumptions provided by her counsel as well as on a review of financial information provided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 central assumption relied on by Mr. Milne, provided by Ms. Bricker's counsel, is that Ms. Bricker's business revenues through SkyHigh would have increased by 33 1/3% each year, from the approximately $29,000 the business earned in 2010, to a maximum amount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For the purpose of calculating past income loss from the date of the accident to the date of trial, Mr. Milne projected income using the above assumption for each of the years 2011-2015, deducted the actual revenues earned in those years and then made a further deduction for allowable business expenses. On this basis, Mr. Milne calculated a gross past income loss of $162,841 which he then reduced to $124,847 to account for applicable income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With respect to future losses, Mr. Milne again assumed that SkyHigh's revenues would have reached the level of $100,000 per year. He was then asked to assume that due to the injuries sustained in the accident, Ms. Bricker would only be able to function at 50% capacity which Mr. Milne interpreted to mean that she would only earn $50,000 annually in revenue. Again factoring in allowable expenses, Mr. Milne calculated an annual income loss of $46,509. He then calculated the present value of that annual loss to age 65 and age 68, which came out to $878,555 and $936,598,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an alternative approach, Mr. Milne assumed, at counsel's request, that Ms. Bricker, rather than continuing with her resume business, would have returned to employment in the human resources field and would have had an annual earning capacity between $80,000 to $85,000. As with the first scenario, he was also asked to assume that she would only be able to work at a 50% capacity. Mr. Milne calculated the present value of Ms. Bricker's income loss under this scenario to age 65 and age 68 at $779,213 and $830,693,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Milne acknowledged in his report that there are various contingencies that might affect Ms. Bricker's economic losses, including the environment in which her business operates and other economic factors on a local, provincial and federal level. Those contingencies were not factored into his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Bricker submits that she was a healthy, active person prior to the accident with a developing business that held great promise. She says that the physical and psychological impacts of the accident have had a devastating impact on her, both in terms of her enjoyment of life and on her ability to pursue her chosen field of employment. She seeks a significant award for non-pecuniary damages, past loss of income and loss of future earning capacity. She also seeks damages for the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defendants acknowledge that Ms. Bricker was injured in the accident but take issue with the magnitude, duration and impacts of the injuries she alleges. In particular, they submit that her TMJ/facial pain issues were not caused by the accident and that the evidence does not establish that she suffered any form of brain injury or that she suffers from PTSD or a Major Depressive Disorder. They submit that the damages claimed by Ms. Bricker are excessive and they propose more modest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principles governing the causation analysis are well known. The plaintiff must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hyperlink r:id="rId44"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see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As is also noted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9, the "but for" test must be applied in a robust common sense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Here, Ms. Bricker submits that all of her symptoms were caused directly by the accident. The defendants again accept that Ms. Bricker injured her neck in the accident but say that she has failed to prove a causal connection between the accident and her jaw complaints. While acknowledging that she has experienced emotional and psychological issues relating to her pain, they deny that she suffers from PTSD or a Major Depressive Disorder.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 as to the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evidence establishes that Ms. Bricker suffered soft tissue injuries to her neck and back as a result of the accident that continue to cause her problems almost five years after the accident. The evidence is uniform that her condition is chronic and unlikely to fully resolve. The evidence also establishes that her complaints of headaches are related to these issues. On this point, I accept Dr. Dost's evidence that Ms. Bricker suffers from chronic headaches associated with whiplash.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terms of her cognitive complaints, the experts were divided as to whether Ms. Bricker suffered an MTBI. On balance, I accept the evidence of Dr. Bean, Dr. Miller and Dr. Dost that her complaints are not caused by a brain injury but rather are related to her ongoing symptoms of pain,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experts are also divided about whether Ms. Bricker's psychological issues rise to the level of PTSD and/or a Major Depressive Disorder. Dr. Guest and Dr. Miller say yes whereas Dr. Levin says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It is useful at this point to address Ms. Bricker's submission that the court should place little weight on Dr. Levin's opinion which she submits constitutes advocacy rather than expert opinion. She points in particular to numerous places in Dr. Levin's report where he appears to editorialize about answers given by Ms. Bricker during his interview of her in a manner that suggests a pre-determined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Much of the editorializing complained of by Ms. Bricker is directed at questioning whether Ms. Bricker's complaints are sufficiently serious to meet the diagnostic criteria for PTSD and Major Depressive Disorder and, in this regard, Dr. Levin raises valid issues. However, I agree with Ms. Bricker that the overall focus and tenor of his report, as well as his evidence at trial, crosses the line of what is proper for an expert witness and strays into advocacy.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Without going into great detail about his evidence, some excerpts from his report are illustrative:</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p. 4 Dr. Levin suggests that Ms. Bricker has not reported any neurobehavioral or neurocognitive symptoms that "would even remotely be suggestive of any underlying concussive brain injury";</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p. 4 of Appendix A, where he records the results of his interview of Ms. Bricker, Dr. Levin refers to the "significant discrepancy" between her report to him and chiropractic records of past treatments;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p. 5 of Appendix A, he editorializes that the fact that Ms. Bricker enjoys watching National Geographic television programs involving sharks is inconsistent with someone complaining of anxiety;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p. 5 of Appendix A, he again editorializes that Ms. Bricker's description of her range of interests is "clearly not suggestive" of someone suffering from a major depressive disorder or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While these are but a few examples, they reflect the argumentative nature of his report. I agree with Ms. Bricker that Dr. Levin's evidence in its entirety lacks the degree of objectivity expected of an expert witness. For that reason, I attach no weight to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contrast, I found Dr. Miller to be an objective and professional witness who has considerable expertise in the area of forensic psychiatry and I accept his diagnoses of Ms. Bricker's psychological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 would add, however, that in assessing Ms. Bricker's claim for damages, the issue for the court is not so much the label or diagnosis attached to a particular condition, but rather the extent to which the condition has affected a plaintiff in his or her social, recreational and employment pursuits (see </w:t>
      </w:r>
      <w:r>
        <w:rPr>
          <w:rFonts w:ascii="arial" w:eastAsia="arial" w:hAnsi="arial" w:cs="arial"/>
          <w:i/>
          <w:color w:val="000000"/>
          <w:sz w:val="20"/>
          <w:lang w:val="en-US" w:eastAsia="en-US" w:bidi="ar-SA"/>
        </w:rPr>
        <w:t>Bagnato v. Viscount</w:t>
      </w:r>
      <w:r>
        <w:rPr>
          <w:rFonts w:ascii="arial" w:eastAsia="arial" w:hAnsi="arial" w:cs="arial"/>
          <w:color w:val="000000"/>
          <w:sz w:val="20"/>
          <w:lang w:val="en-US" w:eastAsia="en-US" w:bidi="ar-SA"/>
        </w:rPr>
        <w:t xml:space="preserve">, </w:t>
      </w:r>
      <w:hyperlink r:id="rId1074" w:history="1">
        <w:r>
          <w:rPr>
            <w:rFonts w:ascii="arial" w:eastAsia="arial" w:hAnsi="arial" w:cs="arial"/>
            <w:i/>
            <w:color w:val="0077CC"/>
            <w:sz w:val="20"/>
            <w:u w:val="single"/>
            <w:shd w:val="clear" w:color="auto" w:fill="FFFFFF"/>
            <w:lang w:val="en-US" w:eastAsia="en-US" w:bidi="ar-SA"/>
          </w:rPr>
          <w:t>1995 CanLII 418</w:t>
        </w:r>
      </w:hyperlink>
      <w:r>
        <w:rPr>
          <w:rFonts w:ascii="arial" w:eastAsia="arial" w:hAnsi="arial" w:cs="arial"/>
          <w:color w:val="000000"/>
          <w:sz w:val="20"/>
          <w:lang w:val="en-US" w:eastAsia="en-US" w:bidi="ar-SA"/>
        </w:rPr>
        <w:t xml:space="preserve">, </w:t>
      </w:r>
      <w:hyperlink r:id="rId1074" w:history="1">
        <w:r>
          <w:rPr>
            <w:rFonts w:ascii="arial" w:eastAsia="arial" w:hAnsi="arial" w:cs="arial"/>
            <w:i/>
            <w:color w:val="0077CC"/>
            <w:sz w:val="20"/>
            <w:u w:val="single"/>
            <w:shd w:val="clear" w:color="auto" w:fill="FFFFFF"/>
            <w:lang w:val="en-US" w:eastAsia="en-US" w:bidi="ar-SA"/>
          </w:rPr>
          <w:t>[1995] B.C.J. No. 2752</w:t>
        </w:r>
      </w:hyperlink>
      <w:r>
        <w:rPr>
          <w:rFonts w:ascii="arial" w:eastAsia="arial" w:hAnsi="arial" w:cs="arial"/>
          <w:color w:val="000000"/>
          <w:sz w:val="20"/>
          <w:lang w:val="en-US" w:eastAsia="en-US" w:bidi="ar-SA"/>
        </w:rPr>
        <w:t xml:space="preserve"> at paras. 28-29, 28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With respect to Ms. Bricker's complaints of jaw pain and tinnitus, the evidence established that there was no direct trauma to her jaw or to her ear as a result of the accident that would cause either condition and I am unable to find that those conditions were caused by the accident. However, the evidence of Dr. Mehta, Dr. David and Dr. Goldstein is consistent that those symptoms may be exacerbated by her other complaints of neck and shoulder pain and related anxiety and depression, which were caused by the accident. Her ear and facial symptoms have, however, largely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summary, Ms. Bricker suffered soft tissue injuries to her neck and shoulder in the accident that in turn led to her experiencing headaches, PTSD, major depression and related cognitive complaints. She has also experienced facial pain and tinnitus which were not caused by the accident but which have been exacerbated by her other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It is worth noting that the medical evidence relied on by Ms. Bricker is all relatively dated. The most current expert report presented is that of Dr. Miller which is dated November 6, 2014, other than rebuttal reports prepared by Drs. Longridge and Mehta earlier this year, which were not based on a current examination of Ms. Bricker.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make this point because there is something of a disconnect between the evidence of the various medical experts and Ms. Bricker's evidence at trial, particularly about her condition and activities currently and over the past year or so. It is apparent on the evidence that Ms. Bricker's condition was at its worse following the accident and through until the middle of 2013. While she continues to complain of various symptoms, there has been improvement over the past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This is particularly evident from the steps taken by Ms. Bricker in connection with her business which include updating her website and making efforts to expand her business into Alberta. She also went to Alberta for a number of months earlier in 2015 during which she took steps to promote her business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Bricker's evidence about why, despite all of the steps she is taking to expand and promote her business, she is still only working at 40-50% of her former capacity was vague. I will return to this point below when addressing her claims for past and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also observe that that Ms. Bricker's evidence about the impacts of the accident on her enjoyment of life was similarly vague. While she spoke of social isolation, there was no clear evidence about why she no longer sees the friends that she made after moving to Vancouver. None of those people were called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collateral witnesses who did testify, Ms. Lewis and Mr. Herrington, knew her in a professional capacity and have had relatively minimal contact with her in recent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Bricker spoke about problems in her relationship with her family, but it became apparent during her evidence that many of those problems pre-dated the accident and are exacerbated by the fact that her other family members have relocated to Australia.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terms of her activities, she has recently bought a new dog which she walks regularly. She has also had minimal treatment for any of her complaints in recent months. This supports the view that her condition has continued to improve.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Non-pecuniary damages are awarded to compensate an injured person for pain, suffering, loss of enjoyment of life and loss of amenities. The principles governing the assessment of such damages are well known and have been discussed in numerous cases: see </w:t>
      </w:r>
      <w:r>
        <w:rPr>
          <w:rFonts w:ascii="arial" w:eastAsia="arial" w:hAnsi="arial" w:cs="arial"/>
          <w:i/>
          <w:color w:val="000000"/>
          <w:sz w:val="20"/>
          <w:lang w:val="en-US" w:eastAsia="en-US" w:bidi="ar-SA"/>
        </w:rPr>
        <w:t>Stapley v. Hejset,</w:t>
      </w:r>
      <w:r>
        <w:rPr>
          <w:rFonts w:ascii="arial" w:eastAsia="arial" w:hAnsi="arial" w:cs="arial"/>
          <w:color w:val="000000"/>
          <w:sz w:val="20"/>
          <w:lang w:val="en-US" w:eastAsia="en-US" w:bidi="ar-SA"/>
        </w:rPr>
        <w:t xml:space="preserve"> </w:t>
      </w:r>
      <w:hyperlink r:id="rId107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1076"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Awards of non-pecuniary damages in other cases provide a useful guide to the court, however the specific circumstances of each individual plaintiff must be considered as any award of damages is intended to compensate that individual for the pain and suffering experienced by them: see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1077"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189. Moreover, the compensation award must be fair and reasonable to both parties: see </w:t>
      </w:r>
      <w:r>
        <w:rPr>
          <w:rFonts w:ascii="arial" w:eastAsia="arial" w:hAnsi="arial" w:cs="arial"/>
          <w:i/>
          <w:color w:val="000000"/>
          <w:sz w:val="20"/>
          <w:lang w:val="en-US" w:eastAsia="en-US" w:bidi="ar-SA"/>
        </w:rPr>
        <w:t>Miller v. Lawlor,</w:t>
      </w:r>
      <w:r>
        <w:rPr>
          <w:rFonts w:ascii="arial" w:eastAsia="arial" w:hAnsi="arial" w:cs="arial"/>
          <w:color w:val="000000"/>
          <w:sz w:val="20"/>
          <w:lang w:val="en-US" w:eastAsia="en-US" w:bidi="ar-SA"/>
        </w:rPr>
        <w:t xml:space="preserve"> </w:t>
      </w:r>
      <w:hyperlink r:id="rId1078" w:history="1">
        <w:r>
          <w:rPr>
            <w:rFonts w:ascii="arial" w:eastAsia="arial" w:hAnsi="arial" w:cs="arial"/>
            <w:i/>
            <w:color w:val="0077CC"/>
            <w:sz w:val="20"/>
            <w:u w:val="single"/>
            <w:shd w:val="clear" w:color="auto" w:fill="FFFFFF"/>
            <w:lang w:val="en-US" w:eastAsia="en-US" w:bidi="ar-SA"/>
          </w:rPr>
          <w:t>2012 BCSC 387</w:t>
        </w:r>
      </w:hyperlink>
      <w:r>
        <w:rPr>
          <w:rFonts w:ascii="arial" w:eastAsia="arial" w:hAnsi="arial" w:cs="arial"/>
          <w:color w:val="000000"/>
          <w:sz w:val="20"/>
          <w:lang w:val="en-US" w:eastAsia="en-US" w:bidi="ar-SA"/>
        </w:rPr>
        <w:t xml:space="preserve"> at para. 109 citing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07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1079"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Bricker again submits that the accident has had a significant impact on her enjoyment of life. She says that she is a different person than she was before the accident. She seeks an award of non-pecuniary damages in the amount of $130,000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Ms. Bricker cites </w:t>
      </w:r>
      <w:r>
        <w:rPr>
          <w:rFonts w:ascii="arial" w:eastAsia="arial" w:hAnsi="arial" w:cs="arial"/>
          <w:i/>
          <w:color w:val="000000"/>
          <w:sz w:val="20"/>
          <w:lang w:val="en-US" w:eastAsia="en-US" w:bidi="ar-SA"/>
        </w:rPr>
        <w:t>Kam v. Van Keith,</w:t>
      </w:r>
      <w:r>
        <w:rPr>
          <w:rFonts w:ascii="arial" w:eastAsia="arial" w:hAnsi="arial" w:cs="arial"/>
          <w:color w:val="000000"/>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2015 BCSC 1519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Hosseinzadeh v. Leung,</w:t>
      </w:r>
      <w:r>
        <w:rPr>
          <w:rFonts w:ascii="arial" w:eastAsia="arial" w:hAnsi="arial" w:cs="arial"/>
          <w:color w:val="000000"/>
          <w:sz w:val="20"/>
          <w:lang w:val="en-US" w:eastAsia="en-US" w:bidi="ar-SA"/>
        </w:rPr>
        <w:t xml:space="preserve"> </w:t>
      </w:r>
      <w:hyperlink r:id="rId1081" w:history="1">
        <w:r>
          <w:rPr>
            <w:rFonts w:ascii="arial" w:eastAsia="arial" w:hAnsi="arial" w:cs="arial"/>
            <w:i/>
            <w:color w:val="0077CC"/>
            <w:sz w:val="20"/>
            <w:u w:val="single"/>
            <w:shd w:val="clear" w:color="auto" w:fill="FFFFFF"/>
            <w:lang w:val="en-US" w:eastAsia="en-US" w:bidi="ar-SA"/>
          </w:rPr>
          <w:t>2014 BCSC 2260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1082"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Sekihara v. Gill,</w:t>
      </w:r>
      <w:r>
        <w:rPr>
          <w:rFonts w:ascii="arial" w:eastAsia="arial" w:hAnsi="arial" w:cs="arial"/>
          <w:color w:val="000000"/>
          <w:sz w:val="20"/>
          <w:lang w:val="en-US" w:eastAsia="en-US" w:bidi="ar-SA"/>
        </w:rPr>
        <w:t xml:space="preserve"> </w:t>
      </w:r>
      <w:hyperlink r:id="rId1083" w:history="1">
        <w:r>
          <w:rPr>
            <w:rFonts w:ascii="arial" w:eastAsia="arial" w:hAnsi="arial" w:cs="arial"/>
            <w:i/>
            <w:color w:val="0077CC"/>
            <w:sz w:val="20"/>
            <w:u w:val="single"/>
            <w:shd w:val="clear" w:color="auto" w:fill="FFFFFF"/>
            <w:lang w:val="en-US" w:eastAsia="en-US" w:bidi="ar-SA"/>
          </w:rPr>
          <w:t>2013 BCSC 1387</w:t>
        </w:r>
      </w:hyperlink>
      <w:r>
        <w:rPr>
          <w:rFonts w:ascii="arial" w:eastAsia="arial" w:hAnsi="arial" w:cs="arial"/>
          <w:color w:val="000000"/>
          <w:sz w:val="20"/>
          <w:lang w:val="en-US" w:eastAsia="en-US" w:bidi="ar-SA"/>
        </w:rPr>
        <w:t>, as cases in which the injuries sustained and the resulting impacts are similar to those in this case. The range of non-pecuniary damages awarded in those cases is $125,000-130,000.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defendants submit that non-pecuniary damages in the range of $35,000-75,000 are more appropriate. They say that Ms. Bricker's complaints have improved and that her level of activity, including running her business, expanding her business in Alberta, driving, hiking and walking her dog daily, speaks to a better vocational, recreational and functional picture that the one painted by Ms. Bricker.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They cite in particular </w:t>
      </w:r>
      <w:r>
        <w:rPr>
          <w:rFonts w:ascii="arial" w:eastAsia="arial" w:hAnsi="arial" w:cs="arial"/>
          <w:i/>
          <w:color w:val="000000"/>
          <w:sz w:val="20"/>
          <w:lang w:val="en-US" w:eastAsia="en-US" w:bidi="ar-SA"/>
        </w:rPr>
        <w:t>Rozendaal v. Landingin</w:t>
      </w:r>
      <w:r>
        <w:rPr>
          <w:rFonts w:ascii="arial" w:eastAsia="arial" w:hAnsi="arial" w:cs="arial"/>
          <w:color w:val="000000"/>
          <w:sz w:val="20"/>
          <w:lang w:val="en-US" w:eastAsia="en-US" w:bidi="ar-SA"/>
        </w:rPr>
        <w:t xml:space="preserve">, </w:t>
      </w:r>
      <w:hyperlink r:id="rId1084" w:history="1">
        <w:r>
          <w:rPr>
            <w:rFonts w:ascii="arial" w:eastAsia="arial" w:hAnsi="arial" w:cs="arial"/>
            <w:i/>
            <w:color w:val="0077CC"/>
            <w:sz w:val="20"/>
            <w:u w:val="single"/>
            <w:shd w:val="clear" w:color="auto" w:fill="FFFFFF"/>
            <w:lang w:val="en-US" w:eastAsia="en-US" w:bidi="ar-SA"/>
          </w:rPr>
          <w:t>2013 BCSC 24</w:t>
        </w:r>
      </w:hyperlink>
      <w:r>
        <w:rPr>
          <w:rFonts w:ascii="arial" w:eastAsia="arial" w:hAnsi="arial" w:cs="arial"/>
          <w:color w:val="000000"/>
          <w:sz w:val="20"/>
          <w:lang w:val="en-US" w:eastAsia="en-US" w:bidi="ar-SA"/>
        </w:rPr>
        <w:t>, where the court awarded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There is no doubt that Ms. Bricker has been negatively affected by the accident and that it has significantly impacted on her enjoyment of life. That said, I agree with the defendants that, at least recently, her level of activity and functioning has shown considerable improvement. In the circumstances, I find that a reasonable award of non-pecuniary damages is $100,000.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will deal with these two heads of damage together because Ms. Bricker's claim under each head is premised on the same assumption that but for the accident, SkyHigh's revenues would have increased at a rate of 33 1/3% each year to a maximum of $100,000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While the underlying premise for the two claims is similar, the burden of proof is different for each. This point was recently confirmed by the Court of Appeal in </w:t>
      </w:r>
      <w:r>
        <w:rPr>
          <w:rFonts w:ascii="arial" w:eastAsia="arial" w:hAnsi="arial" w:cs="arial"/>
          <w:i/>
          <w:color w:val="000000"/>
          <w:sz w:val="20"/>
          <w:lang w:val="en-US" w:eastAsia="en-US" w:bidi="ar-SA"/>
        </w:rPr>
        <w:t>Ostrikoff v. Oliveira,</w:t>
      </w:r>
      <w:r>
        <w:rPr>
          <w:rFonts w:ascii="arial" w:eastAsia="arial" w:hAnsi="arial" w:cs="arial"/>
          <w:color w:val="000000"/>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2015 BCCA 351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Ostrikoff</w:t>
      </w:r>
      <w:r>
        <w:rPr>
          <w:rFonts w:ascii="arial" w:eastAsia="arial" w:hAnsi="arial" w:cs="arial"/>
          <w:color w:val="000000"/>
          <w:sz w:val="20"/>
          <w:lang w:val="en-US" w:eastAsia="en-US" w:bidi="ar-SA"/>
        </w:rPr>
        <w:t>] where Madam Justice Saunders said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task for the plaintiff at trial in respect to past loss of earning capacity is to prove the loss on a balance of probabilities, as contrasted with the task in claiming for future loss of earning capacity, which requires the plaintiff to establish a real and substantial possibility of the future event: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27-29.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While actual lost income will sometimes be the most accurate measure of the damages suffered under these heads, that is not always the case given that the claims for income loss, both past and future, are in fact claims for loss of capacity to earn. The Court of Appeal made this point in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1086"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 citing its earlier decision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087"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in many cases the actual lost income will be the most reliable measure of the value of the loss of capacity to earn income, this is not necessarily so. A hard and fast rule that actual lost income is the only measure would result in the erosion of the distinction made by this Court in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it is not the actual lost income which is compensable but the lost capacity i.e. the damage to the asset. The measure may vary where the circumstances require; evidence of the value of the loss may take many forms (see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As was held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hyperlink r:id="rId216"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the overall fairness and reasonableness of the award must be considered taking into account all the evidence. An award for loss of earning capacity requires the assessment of damages, not calculation according to some mathematical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Ostrikoff</w:t>
      </w:r>
      <w:r>
        <w:rPr>
          <w:rFonts w:ascii="arial" w:eastAsia="arial" w:hAnsi="arial" w:cs="arial"/>
          <w:color w:val="000000"/>
          <w:sz w:val="20"/>
          <w:lang w:val="en-US" w:eastAsia="en-US" w:bidi="ar-SA"/>
        </w:rPr>
        <w:t>, referred to above, provides some useful instruction for the present case given certain factual similarities. There, the plaintiff prior to the accident had operated a U-brew business, a shoe repair business and a motorcycle repair business. He also had designed and built a motorcycle prototype that he hoped to bring into production. By 2008, the year before the accident, he had closed the U-brew and shoe repair businesses and was concentrating on the motorcycle business. His subsequent claim for past and future income loss was based largely on projected income that he anticipated he would have earned from the motorcycle business but for the accident. As the trial judge found, the assessment of his claims was complicated by the fact that much of his previous earnings were from several separate businesses, with no evidence as to the segregation of revenues and expenses in those businesses, and the fact that his motorcycle business was relatively new and had little in the way of an established earnings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Despite these challenges, based on his review of the evidence, the trial judge awarded the plaintiff $95,000 in past income loss and $325,000 for loss of future earning capacity. In arriving at these figures, the trial judge compared the plaintiff's actual net income earned after the accident to a projected net income that would have been earned but for the accident. On appeal, both awards were set aside and the matter was remitted to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dealing with the past income claim, Madam Justice Saunders said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remains true that it is for the plaintiff to prove a claim for past loss of earning capacity on a balance of probabilities, and that an award must keep in touch with the evidence before the court. It seems to me that the judge himself, in saying a projection of increased income would be speculation, recognized that past income capacity loss predicated on increasing earnings was not proved to the requisite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Madam Justice Saunders took a similar view of the award of damages for loss of future earning capacity. In her view, that award could not be sustained given that it was based on an entirely speculative projected future income stream. In addition, Madam Justice Saunders held that the trial judge did not adequately consider the contingencies, both positive and negative, that might impact on the plaintiff's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key factual similarity between </w:t>
      </w:r>
      <w:r>
        <w:rPr>
          <w:rFonts w:ascii="arial" w:eastAsia="arial" w:hAnsi="arial" w:cs="arial"/>
          <w:i/>
          <w:color w:val="000000"/>
          <w:sz w:val="20"/>
          <w:lang w:val="en-US" w:eastAsia="en-US" w:bidi="ar-SA"/>
        </w:rPr>
        <w:t>Ostrikoff</w:t>
      </w:r>
      <w:r>
        <w:rPr>
          <w:rFonts w:ascii="arial" w:eastAsia="arial" w:hAnsi="arial" w:cs="arial"/>
          <w:color w:val="000000"/>
          <w:sz w:val="20"/>
          <w:lang w:val="en-US" w:eastAsia="en-US" w:bidi="ar-SA"/>
        </w:rPr>
        <w:t xml:space="preserve"> and the present case is that the plaintiffs' income loss claims, both past and future, are based in large part on projections about revenues from businesses that were relatively new and where there was a very short earnings history preceding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As I read </w:t>
      </w:r>
      <w:r>
        <w:rPr>
          <w:rFonts w:ascii="arial" w:eastAsia="arial" w:hAnsi="arial" w:cs="arial"/>
          <w:i/>
          <w:color w:val="000000"/>
          <w:sz w:val="20"/>
          <w:lang w:val="en-US" w:eastAsia="en-US" w:bidi="ar-SA"/>
        </w:rPr>
        <w:t>Ostrikoff</w:t>
      </w:r>
      <w:r>
        <w:rPr>
          <w:rFonts w:ascii="arial" w:eastAsia="arial" w:hAnsi="arial" w:cs="arial"/>
          <w:color w:val="000000"/>
          <w:sz w:val="20"/>
          <w:lang w:val="en-US" w:eastAsia="en-US" w:bidi="ar-SA"/>
        </w:rPr>
        <w:t xml:space="preserve">, the Court of Appeal did not take issue with the general approach adopted by the trial judge, </w:t>
      </w:r>
      <w:hyperlink r:id="rId1088" w:history="1">
        <w:r>
          <w:rPr>
            <w:rFonts w:ascii="arial" w:eastAsia="arial" w:hAnsi="arial" w:cs="arial"/>
            <w:i/>
            <w:color w:val="0077CC"/>
            <w:sz w:val="20"/>
            <w:u w:val="single"/>
            <w:shd w:val="clear" w:color="auto" w:fill="FFFFFF"/>
            <w:lang w:val="en-US" w:eastAsia="en-US" w:bidi="ar-SA"/>
          </w:rPr>
          <w:t>[2014] B.C.J. No. 549</w:t>
        </w:r>
      </w:hyperlink>
      <w:r>
        <w:rPr>
          <w:rFonts w:ascii="arial" w:eastAsia="arial" w:hAnsi="arial" w:cs="arial"/>
          <w:color w:val="000000"/>
          <w:sz w:val="20"/>
          <w:lang w:val="en-US" w:eastAsia="en-US" w:bidi="ar-SA"/>
        </w:rPr>
        <w:t>, of looking at projected revenues that might have been achieved but for the accident, but held that such projections must be firmly rooted in the evidence and not based on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question then becomes, what evidence must be led by a plaintiff to establish, on a balance of probabilities, that but for an accident, a new business would have continued to grow and increase its revenues? While each case will necessarily turn on its own facts, where the operation and success of the business is inextricably tied to the injured plaintiff, there are a number of factors that the court may consider when assessing the strength of the plaintiff's claim, including:</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education and training as it relates to the business in issue;</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employment history;</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earning history, both before the creation of the business and through the business;</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(or absence) of a business plan setting out how the plaintiff intended to develop the business;</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steps taken to implement the business plan;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performance of similar businesses;</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market conditions that might impact the business, both positively and negatively, and</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existing and anticipated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This is by no means an exhaustive list and the presence or absence of one or more factors will not be determinative. The point is that the court must assess the evidence as a whole to determine whether the plaintiff has met his or her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the present case, there are a number of factors, both positive and negative, that inform the assessment of whether Ms. Bricker, through SkyHigh, would have achieved the measure of success which forms the underpinning of her income loss claims. The positive factors include the following:</w:t>
      </w:r>
      <w:r>
        <w:rPr>
          <w:rFonts w:ascii="arial" w:eastAsia="arial" w:hAnsi="arial" w:cs="arial"/>
          <w:sz w:val="20"/>
          <w:lang w:val="en-US" w:eastAsia="en-US" w:bidi="ar-SA"/>
        </w:rPr>
        <w:cr/>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Ms. Bricker was by all accounts an ambitious and energetic person who saw a market for resume writing services and who started SkyHigh to pursue that opportunity;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Cunningham's evidence supports the existence of such a market, in which he currently earns gross revenues of between $50,000-60,000, although I note that his evidence was in the nature of an estimate of what he expects to earn this year with no corroborative evidence;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Bricker's skills were well perceived by professional peers like Ms. Lewis and Mr. Herrington;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Bricker has developed a very professional website and evidence concerning visits to that site indicate a growing interest in her services;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2015, she added a new domain name for the purpose of attracting Alberta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Factors that weigh against Ms. Bricker's position include:</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 somewhat sporadic work history. Apart from approximately three years with the City of Brampton, her employment prior to SkyHigh consisted of short term contract positions;</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highest annual earnings were in 2007 when she earned approximately $47,000, comprised of approximately $41,000 in employment income with the balance made up of EI benefits;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2010, the one full year that SkyHigh was in business before the accident, gross business revenues were $29,000. SkyHigh surpassed that amount in 2013 when it earned approximately $35,000 in gross revenues;</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closest competitors in Vancouver, Mr. Cunningham and the operator of Vancouver Resume Services, both have professional certifications in resume writing, which Ms. Bricker does not have;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Ms. Bricker has done an admirable job in promoting her business, largely through her website, she did not produce a business plan or any market survey data that would support a projected three-fold increase in revenues to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Most difficult, to my mind, is the fact that Ms. Bricker did not adequately explain why she is unable to work at a higher level of output than she currently claims. Her evidence was that she currently works to 40-50% of her capacity and handles on average two clients per week, compared to the four or five she was able to deal with prior to the accident. However, she did not clearly explain the reason for that, whether it is attributable to her pain issues, her psychological issues,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She similarly did not explain how it is that SkyHigh was able to earn approximately $35,000 gross in 2013, with her working at less than 50% capacity, compared to the $29,000 earned in 2010 when she was at full capacity. For example, there was no evidence of what work she has actually done, such as evidence of specific resumes that she has prepared in recent months and years, and no evidence of specific work that she has foregone, other than some general phone records indicating the volume of phone calls received on her work line that she did not answer and which she says indicate missed client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Looking at the evidence as a whole, there is no basis on which the court can conclude that the assumption underlying Mr. Milne's opinion evidence, of an annual 33 1/3% increase in revenues to a maximum of $100,000, is in any way realistic. As was the case in </w:t>
      </w:r>
      <w:r>
        <w:rPr>
          <w:rFonts w:ascii="arial" w:eastAsia="arial" w:hAnsi="arial" w:cs="arial"/>
          <w:i/>
          <w:color w:val="000000"/>
          <w:sz w:val="20"/>
          <w:lang w:val="en-US" w:eastAsia="en-US" w:bidi="ar-SA"/>
        </w:rPr>
        <w:t>Ostrikoff,</w:t>
      </w:r>
      <w:r>
        <w:rPr>
          <w:rFonts w:ascii="arial" w:eastAsia="arial" w:hAnsi="arial" w:cs="arial"/>
          <w:color w:val="000000"/>
          <w:sz w:val="20"/>
          <w:lang w:val="en-US" w:eastAsia="en-US" w:bidi="ar-SA"/>
        </w:rPr>
        <w:t xml:space="preserve"> it is speculation not grounded in the evidence. Thus, this assumption is not a valid basis for assessing either Ms. Bricker's claim for past income loss or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That said, with respect to the past loss claim, I am satisfied that Ms. Bricker's injuries sustained in the accident interfered with her capacity to work and earn income from the date of the accident to the date of trial. In assessing that loss, I accept that SkyHigh's revenues would have increased over what it earned in 2010, based on the fact that the business was becoming more established and that it had developed a prominent web presence. Again, however, I do not accept that revenues would have reached the level of $100,000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my view, based on the steps taken by Ms. Bricker to develop the business, and based on Mr. Cunningham's evidence of his annual revenues, it is reasonable to assume that SkyHigh would have reached the level of $51,556 projected by Mr. Milne for 2012. That is at the low end of the range indicated by Mr. Cunningham but reflects the fact that Mr. Cunningham has a professional certification that Ms. Bricker lacks and his business has been established for a longer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also accept Mr. Milne's calculations of SkyHigh's actual revenues for 2011 and 2012 as well as his estimate of expenses. I recognize that there are various difficulties and inconsistencies in the manner in which Ms. Bricker tracked and recorded expenses, but I accept that Mr. Milne has exercised his professional judgment based on the available information and that judgment was not seriously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therefore accept Mr. Milne's past income loss figures for 2011 and 2012. For the years 2013 and 2014, rather than continuing to project an increase in revenues, a rounded up figure of $52,000 is appropriate for projecting SkyHigh's likely revenues but for the accident. Applying SkyHigh's actual revenues in those years, as estimated by Ms. Bricker, and deducting estimated expenses, results in a loss of approximately $9,800 in 2013 and approximately $8,000 in 2014. I pause here to note that I am using rounded numbers, keeping in mind that the process of awarding damages for income loss involves an assessment rather than a mathematical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2015, again using the $52,000 figure, total projected revenues to the date of trial would be $39,000 and actual revenues, as estimated by Ms. Bricker, are approximately $22,000. Subtracting Mr. Milne's estimate of expenses incurred, results in a 2015 loss to the date of trial of approximately $7,600.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Based on the above, Ms. Bricker's total lost income from the date of the accident to the date of trial (through SkyHigh) is approximately $68,000. Adjusted for income tax, the loss is approximately $52,000, and I award this amount for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Turning to the future loss claim, the Court of Appeal has on numerous occasions set out the principles that will govern a claim for loss of earning capacity.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1089"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the Court, citing its earlier decision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09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described the approach to be taken by the trial judge, </w:t>
      </w:r>
      <w:hyperlink r:id="rId1091" w:history="1">
        <w:r>
          <w:rPr>
            <w:rFonts w:ascii="arial" w:eastAsia="arial" w:hAnsi="arial" w:cs="arial"/>
            <w:i/>
            <w:color w:val="0077CC"/>
            <w:sz w:val="20"/>
            <w:u w:val="single"/>
            <w:shd w:val="clear" w:color="auto" w:fill="FFFFFF"/>
            <w:lang w:val="en-US" w:eastAsia="en-US" w:bidi="ar-SA"/>
          </w:rPr>
          <w:t>[2008] B.C.J. No. 1563</w:t>
        </w:r>
      </w:hyperlink>
      <w:r>
        <w:rPr>
          <w:rFonts w:ascii="arial" w:eastAsia="arial" w:hAnsi="arial" w:cs="arial"/>
          <w:color w:val="000000"/>
          <w:sz w:val="20"/>
          <w:lang w:val="en-US" w:eastAsia="en-US" w:bidi="ar-SA"/>
        </w:rPr>
        <w:t>, as follows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this Court held that a trial judge must </w:t>
      </w: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xml:space="preserve"> address the question of whether the plaintiff had proven a real and substantial possibility that his earning capacity had been impaired. If the plaintiff discharges that burden of proof, then the judge must turn to the assessment of damages. The assessment may be based on an earnings approach...or the capital asset approach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earnings approach is generally appropriate where the plaintiff has some earnings history and where the court can reasonably estimate what his or her likely future earning capacity will be. This approach typically involves an assessment of the plaintiff's estimated annual income loss multiplied by the remaining years of work and then discounted to reflect current value, or alternatively,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[1995] 3 W.W.R. 728</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100 B.C.L.R. (2d) 260</w:t>
        </w:r>
      </w:hyperlink>
      <w:r>
        <w:rPr>
          <w:rFonts w:ascii="arial" w:eastAsia="arial" w:hAnsi="arial" w:cs="arial"/>
          <w:color w:val="000000"/>
          <w:sz w:val="20"/>
          <w:lang w:val="en-US" w:eastAsia="en-US" w:bidi="ar-SA"/>
        </w:rPr>
        <w:t xml:space="preserve"> at para. 43 (C.A.)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092"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While there is a more mathematical component to this approach, the assessment of damages is still a matter of judgment not mere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capital asset approach, which is typically used in cases in which the plaintiff has no clear earnings history, involves consideration of a number of factors such as whether the plaintiff:</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rendered less capable overall of earning income from all types of employment;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less marketable or attractive as a potential employee;</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lost the ability to take advantage of all job opportunities that might otherwise have been open;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(1985), </w:t>
      </w:r>
      <w:hyperlink r:id="rId94" w:history="1">
        <w:r>
          <w:rPr>
            <w:rFonts w:ascii="arial" w:eastAsia="arial" w:hAnsi="arial" w:cs="arial"/>
            <w:i/>
            <w:color w:val="0077CC"/>
            <w:sz w:val="20"/>
            <w:u w:val="single"/>
            <w:shd w:val="clear" w:color="auto" w:fill="FFFFFF"/>
            <w:lang w:val="en-US" w:eastAsia="en-US" w:bidi="ar-SA"/>
          </w:rPr>
          <w:t>(1997), 26 B.C.L.R. (3d) 353</w:t>
        </w:r>
      </w:hyperlink>
      <w:r>
        <w:rPr>
          <w:rFonts w:ascii="arial" w:eastAsia="arial" w:hAnsi="arial" w:cs="arial"/>
          <w:color w:val="000000"/>
          <w:sz w:val="20"/>
          <w:lang w:val="en-US" w:eastAsia="en-US" w:bidi="ar-SA"/>
        </w:rPr>
        <w:t xml:space="preserve"> at para. 8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While the principles are well established, their application is rarely straight-forward, particularly since the assessment of a claim for loss of future capacity by its very nature requires the court to peer into the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As with the claim for past income loss, I am satisfied on the evidence that Ms. Bricker's injuries sustained in the accident have impaired her ability to earn income going forward. Specifically, I find that she has met the "real and substantial possibility" test established in </w:t>
      </w:r>
      <w:r>
        <w:rPr>
          <w:rFonts w:ascii="arial" w:eastAsia="arial" w:hAnsi="arial" w:cs="arial"/>
          <w:i/>
          <w:color w:val="000000"/>
          <w:sz w:val="20"/>
          <w:lang w:val="en-US" w:eastAsia="en-US" w:bidi="ar-SA"/>
        </w:rPr>
        <w:t>Morgan, Perren</w:t>
      </w:r>
      <w:r>
        <w:rPr>
          <w:rFonts w:ascii="arial" w:eastAsia="arial" w:hAnsi="arial" w:cs="arial"/>
          <w:color w:val="000000"/>
          <w:sz w:val="20"/>
          <w:lang w:val="en-US" w:eastAsia="en-US" w:bidi="ar-SA"/>
        </w:rPr>
        <w:t xml:space="preserve"> and similar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challenge, as it is in most cases of this type, is quantifying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As a starting point, I do not accept Ms. Bricker's alternate scenario that she might have given up on the resume business and returned to a position in corporate recruiting or in human resources. She herself dismissed that possibility in her evidence and, in any event, her work history is not consistent with that scenario, again given that the majority of her experience in this area is in the form of short term contract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Instead, the more reasonable assumption is that she will continue to operate SkyHigh and pursue the business that she has worked hard to develop and maintain.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As I found in connection with the past loss claim, that business is capable of generating annual revenues in the range of $52,000. Ms. Bricker has shown that she is capable of generating approximately $35,000 as she did in 2013 and 2014. Obviously, there are contingencies, positive and negative, that might affect both of those figures. Changes in the economy, improvement or worsening of Ms. Bricker's health, the addition or loss of competitors are all factors that may impact SkyHigh's fortunes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With specific reference to Ms. Bricker's health, it is difficult to project the trajectory of her condition over the balance of her working life, particularly given the various treatment recommendations that have been made. However, the evidence is largely uniform that the pain in her neck and shoulders is a chronic condition and, according to Dr. Miller, while her psychological problems may improve with treatment, it is unlikely that she will return to the same level of function as she had prior to the accident. Thus, it is reasonable to assume that Ms. Bricker will continue to experience some degree of income loss for the balance of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the circumstances, it is reasonable to use the upper figure of $52,000 to reflect SkyHigh's anticipated revenues but for the accident, and $35,000 as the likely revenues given Ms. Bricker's conditions. Factoring in expenses, Ms. Bricker's annual net income loss is approximately $9000.00. Using Mr. Milne's multiplier to age 65, results in a future loss amount of $170,010. I award Ms. Bricker $170,000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 seeks an award of damages for the cost of future care in the amount of $70,000. She relies on the recommendations of various physicians who have suggested that she would benefit from botox treatments for her headaches and facial pain, massage therapy, chiropractic treatment and psychological counselling. The figure of $70,000 is based on an annual cost of $3,500 to age 68, using Mr. Milne's present day value multiplier.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defendants submit that there is no basis for awarding future care costs for that length of time and they say that a more reasonable award is $10,000, acknowledging that this is something of an arbitrary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It is clear on the evidence that Ms. Bricker's principal complaints involve her chronic neck and shoulder pain and her ongoing anxiety and depression. It is also clear on the evidence that these conditions are 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Mehta in his evidence said that given the complexity of Ms. Bricker's problems, she is in need of a multi-disciplinary treatment plan. While perhaps straying somewhat beyond his expertise, Dr. Mehta's recommendation makes sense and is consistent with Dr. Koo's recommendations. Dr. Miller recommends 8-20 sessions of cognitive behavioural therapy. Dr. Bean makes a similar recommendation. As noted by the defendants, none of the experts recommend treatment for the length of time sought by Ms. Bricker.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While there was minimal evidence of the cost of the different treatments, based on the nature of the recommendations and the anticipated duration, I find that a reasonable award for cost of future care is $15,000.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Bricker presented a list of special damages totalling $20,849.00, comprised of the cost of different treatments, prescription medicines, mileage charges for driving to and from appointments and various miscellaneous costs. Upon review of the list at trial, counsel for Ms. Bricker conceded that a number of the expenses could not be recovered including, for example, the cost of her new dog, related veterinary care and interest on unpaid treatment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defendants took issue with a number of the items claimed, including anything related to her complaints of facial pain and tinnitus, which they say are unrelated to the accident. They submit that Ms. Bricker should not be entitled to claim damages for chiropractic treatments given her evidence that she routinely saw a chiropractor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While I have found that the tinnitus and facial pain were not caused directly by the accident, I have also found that those symptoms are related to and exacerbated by the injuries sustained in the accident. Accordingly, at least some of the treatments may be claimed as special damages in this action. I reject the defendants' position on the chiropractic treatments. While Ms. Bricker acknowledged seeing a chiropractor periodically before the accident for routine "maintenance," her evidence was clear that after the accident the chiropractic treatments were directed at her injuries sustained in the accident. The cost of those treatments is therefore a valid special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The defendants submit further that Ms. Bricker should not be able to claim mileage charges as those costs are offset by savings realized by her driving less. On this point, the defendants cite </w:t>
      </w:r>
      <w:r>
        <w:rPr>
          <w:rFonts w:ascii="arial" w:eastAsia="arial" w:hAnsi="arial" w:cs="arial"/>
          <w:i/>
          <w:color w:val="000000"/>
          <w:sz w:val="20"/>
          <w:lang w:val="en-US" w:eastAsia="en-US" w:bidi="ar-SA"/>
        </w:rPr>
        <w:t>Bilinski v. Smith</w:t>
      </w:r>
      <w:r>
        <w:rPr>
          <w:rFonts w:ascii="arial" w:eastAsia="arial" w:hAnsi="arial" w:cs="arial"/>
          <w:color w:val="000000"/>
          <w:sz w:val="20"/>
          <w:lang w:val="en-US" w:eastAsia="en-US" w:bidi="ar-SA"/>
        </w:rPr>
        <w:t xml:space="preserve">, </w:t>
      </w:r>
      <w:hyperlink r:id="rId1093" w:history="1">
        <w:r>
          <w:rPr>
            <w:rFonts w:ascii="arial" w:eastAsia="arial" w:hAnsi="arial" w:cs="arial"/>
            <w:i/>
            <w:color w:val="0077CC"/>
            <w:sz w:val="20"/>
            <w:u w:val="single"/>
            <w:shd w:val="clear" w:color="auto" w:fill="FFFFFF"/>
            <w:lang w:val="en-US" w:eastAsia="en-US" w:bidi="ar-SA"/>
          </w:rPr>
          <w:t>1996 CanLII 2821</w:t>
        </w:r>
      </w:hyperlink>
      <w:r>
        <w:rPr>
          <w:rFonts w:ascii="arial" w:eastAsia="arial" w:hAnsi="arial" w:cs="arial"/>
          <w:color w:val="000000"/>
          <w:sz w:val="20"/>
          <w:lang w:val="en-US" w:eastAsia="en-US" w:bidi="ar-SA"/>
        </w:rPr>
        <w:t xml:space="preserve">, </w:t>
      </w:r>
      <w:hyperlink r:id="rId1093" w:history="1">
        <w:r>
          <w:rPr>
            <w:rFonts w:ascii="arial" w:eastAsia="arial" w:hAnsi="arial" w:cs="arial"/>
            <w:i/>
            <w:color w:val="0077CC"/>
            <w:sz w:val="20"/>
            <w:u w:val="single"/>
            <w:shd w:val="clear" w:color="auto" w:fill="FFFFFF"/>
            <w:lang w:val="en-US" w:eastAsia="en-US" w:bidi="ar-SA"/>
          </w:rPr>
          <w:t>[1996] B.C.J. No. 1024</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Bilinski</w:t>
      </w:r>
      <w:r>
        <w:rPr>
          <w:rFonts w:ascii="arial" w:eastAsia="arial" w:hAnsi="arial" w:cs="arial"/>
          <w:color w:val="000000"/>
          <w:sz w:val="20"/>
          <w:lang w:val="en-US" w:eastAsia="en-US" w:bidi="ar-SA"/>
        </w:rPr>
        <w:t>] where Madam Justice Satanove accepted the defendant's argument that the plaintiff's mileage charges were more than offset by the savings realized by the plaintiff from not travelling to and from work on the days that she attended medical appointments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Bilinski</w:t>
      </w:r>
      <w:r>
        <w:rPr>
          <w:rFonts w:ascii="arial" w:eastAsia="arial" w:hAnsi="arial" w:cs="arial"/>
          <w:color w:val="000000"/>
          <w:sz w:val="20"/>
          <w:lang w:val="en-US" w:eastAsia="en-US" w:bidi="ar-SA"/>
        </w:rPr>
        <w:t xml:space="preserve"> was considered by Madam Justice Adair in </w:t>
      </w:r>
      <w:r>
        <w:rPr>
          <w:rFonts w:ascii="arial" w:eastAsia="arial" w:hAnsi="arial" w:cs="arial"/>
          <w:i/>
          <w:color w:val="000000"/>
          <w:sz w:val="20"/>
          <w:lang w:val="en-US" w:eastAsia="en-US" w:bidi="ar-SA"/>
        </w:rPr>
        <w:t>Harris v. Xu</w:t>
      </w:r>
      <w:r>
        <w:rPr>
          <w:rFonts w:ascii="arial" w:eastAsia="arial" w:hAnsi="arial" w:cs="arial"/>
          <w:color w:val="000000"/>
          <w:sz w:val="20"/>
          <w:lang w:val="en-US" w:eastAsia="en-US" w:bidi="ar-SA"/>
        </w:rPr>
        <w:t xml:space="preserve">, </w:t>
      </w:r>
      <w:hyperlink r:id="rId1094" w:history="1">
        <w:r>
          <w:rPr>
            <w:rFonts w:ascii="arial" w:eastAsia="arial" w:hAnsi="arial" w:cs="arial"/>
            <w:i/>
            <w:color w:val="0077CC"/>
            <w:sz w:val="20"/>
            <w:u w:val="single"/>
            <w:shd w:val="clear" w:color="auto" w:fill="FFFFFF"/>
            <w:lang w:val="en-US" w:eastAsia="en-US" w:bidi="ar-SA"/>
          </w:rPr>
          <w:t>2013 BCSC 1257</w:t>
        </w:r>
      </w:hyperlink>
      <w:r>
        <w:rPr>
          <w:rFonts w:ascii="arial" w:eastAsia="arial" w:hAnsi="arial" w:cs="arial"/>
          <w:color w:val="000000"/>
          <w:sz w:val="20"/>
          <w:lang w:val="en-US" w:eastAsia="en-US" w:bidi="ar-SA"/>
        </w:rPr>
        <w:t>, where she acknowledged the offset principle but held in that case that it did not result in a complete nullification of the mileage claim (at para. 153). Ms. Bricker makes a similar point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issue is complicated by the fact that Ms. Bricker did not travel to her office every day and there is no way on the evidence to determine whether the dates for which she claims mileage from travel to medical appointments coincide with days that she otherwise would have gone to her office. Moreover, as of June 2013, she no longer had her office in Vancouver. Accordingly, a complete offset as proposed by the defendants is not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That said, absent an agreement between the parties, there is no evidence before the court to substantiate the distances claimed. This, combined with the fact that some offset is appropriate pursuant to the </w:t>
      </w:r>
      <w:r>
        <w:rPr>
          <w:rFonts w:ascii="arial" w:eastAsia="arial" w:hAnsi="arial" w:cs="arial"/>
          <w:i/>
          <w:color w:val="000000"/>
          <w:sz w:val="20"/>
          <w:lang w:val="en-US" w:eastAsia="en-US" w:bidi="ar-SA"/>
        </w:rPr>
        <w:t>Bilinski</w:t>
      </w:r>
      <w:r>
        <w:rPr>
          <w:rFonts w:ascii="arial" w:eastAsia="arial" w:hAnsi="arial" w:cs="arial"/>
          <w:color w:val="000000"/>
          <w:sz w:val="20"/>
          <w:lang w:val="en-US" w:eastAsia="en-US" w:bidi="ar-SA"/>
        </w:rPr>
        <w:t xml:space="preserve"> principle, leads me to conclude that the mileage claim should be reduced by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Taking this deduction into account as well as the deduction of other questionable items, I conclude that the claim for special damages should be allowed in the amount of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summary, Ms. Bricker is entitled to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2928"/>
        <w:gridCol w:w="1150"/>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2300"/>
        <w:gridCol w:w="1046"/>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3137"/>
        <w:gridCol w:w="125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capacity</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2614"/>
        <w:gridCol w:w="1046"/>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2091"/>
        <w:gridCol w:w="1046"/>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 $352,000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Subject to any matters that I am unaware of, Ms. Bricker is entitled to her costs at Scale B. If the parties cannot agree, they may arrange through Supreme Court Scheduling to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9"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95"/>
          <w:headerReference w:type="default" r:id="rId1096"/>
          <w:footerReference w:type="even" r:id="rId1097"/>
          <w:footerReference w:type="default" r:id="rId1098"/>
          <w:headerReference w:type="first" r:id="rId1099"/>
          <w:footerReference w:type="first" r:id="rId11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01" w:history="1">
        <w:r>
          <w:rPr>
            <w:rFonts w:ascii="arial" w:eastAsia="arial" w:hAnsi="arial" w:cs="arial"/>
            <w:b/>
            <w:bCs/>
            <w:i/>
            <w:color w:val="0077CC"/>
            <w:kern w:val="32"/>
            <w:sz w:val="28"/>
            <w:szCs w:val="32"/>
            <w:u w:val="single"/>
            <w:shd w:val="clear" w:color="auto" w:fill="FFFFFF"/>
            <w:lang w:val="en-US" w:eastAsia="en-US" w:bidi="ar-SA"/>
          </w:rPr>
          <w:t>Clayton v. Lower Nicola Indian Band, [2011] B.C.J. No. 764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R.M.L. Blair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15 and 20,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S-S-86527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764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525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993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 A.C.W.S. (3d) 387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Veronica Gail Clayton also known as Teri Clayton, Plaintiff, and Lower Nicola Indian Band, Aaron Sam and Yvonne Basil, Defendants, and Don Moses,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0"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19" w:name="Keywords_44"/>
      <w:bookmarkEnd w:id="419"/>
      <w:r>
        <w:rPr>
          <w:rFonts w:ascii="arial" w:eastAsia="arial" w:hAnsi="arial" w:cs="arial"/>
          <w:b/>
          <w:color w:val="000000"/>
          <w:sz w:val="20"/>
          <w:lang w:val="en-US" w:eastAsia="en-US" w:bidi="ar-SA"/>
        </w:rPr>
        <w:t>Aboriginal law — Communities and governance — Self-governance — Councils — Powers — Practice and procedure — Courts — Jurisdiction — Motion by third party to strike third party notice filed by defendant dismissed — Plaintiff filed wrongful dismissal claim after having employment terminated by defendant Band Council — Third party was Chief at the time and entered settlement agreement with plaintiff, which defendant now refused to be bound by — Defendant claimed damages and indemnification from third party on basis he acted without authority and breached fiduciary duty — Pleadings disclosed cause of action — Defendant was not simply seeking to challenge third party's decision as Chief and third party claim interwoven with plaintiff's claim, so court had jurisdiction.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Parties — Third party procedure — Striking out or setting aside — Pleadings — Striking out pleadings or allegations — Grounds — Failure to disclose a cause of action or defence — Lack of jurisdiction — Motion by third party to strike third party notice filed by defendant dismissed — Plaintiff filed wrongful dismissal claim after having employment terminated by defendant Band Council — Third party was Chief at the time and entered settlement agreement with plaintiff, which defendant now refused to be bound by — Defendant claimed damages and indemnification from third party on basis he acted without authority and breached fiduciary duty — Pleadings disclosed cause of action — Defendant was not simply seeking to challenge third party's decision as Chief and third party claim interwoven with plaintiff's claim, so court had jurisdiction.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profession — Barristers or solicitors — Disqualification or removal — Relationship with client — Conflict of interest — Duty to former client — Motion by third party to have defendant's firm removed as counsel on record dismissed — Third party used to be Chief for defendant Band Council and claimed he gave instructions to lawyer for firm at that time — Third party never retained counsel, was never in contact with firm after tenure as Chief and contact was short-term, indirect and impersonal — Third party did not have client or near-client relationship with lawyer.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Professions — Legal — Barristers and solicitors — Motion by third party to have defendant's firm removed as counsel on record dismissed — Third party used to be Chief for defendant Band Council and claimed he gave instructions to lawyer for firm at that time — Third party never retained counsel, was never in contact with firm after tenure as Chief and contact was short-term, indirect and impersonal — Third party did not have client or near-client relationship with lawyer.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Fiduciary duty — Motion by third party to strike third party notice filed by defendant dismissed — Plaintiff filed wrongful dismissal claim after having employment terminated by defendant Band Council — Third party was Chief at the time and entered settlement agreement with plaintiff, which defendant now refused to be bound by — Defendant claimed damages and indemnification from third party on basis he acted without authority and breached fiduciary duty — Pleadings disclosed cause of action — Defendant was not simply seeking to challenge third party's decision as Chief and third party claim interwoven with plaintiff's claim, so court had jurisdiction.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20" w:name="Case Summary_41"/>
            <w:bookmarkEnd w:id="4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third party to strike the third party notice issued by the defendant or to remove the defendant's firm as counsel on record. The defendant Band Council terminated the plaintiff's employment and the plaintiff commenced a wrongful dismissal action. The third party was the defendant's Chief at that time and commenced settlement discussions with the plaintiff, then unilaterally changed the quorum in order to have the settlement approved. The defendant refused to be bound by the settlement and the plaintiff had amended her claim to seek enforcement of the settlement. The defendant commenced the third party claim seeking damages and indemnification for legal costs on the basis the third party did not have authority to bind the defendant and breached his fiduciary duty. The third party argued challenges to his decisions as Chief had to be brought in Federal Court, so the third party claim was an abuse of process and did not disclose a cause of action. The third party argued that there was a conflict of interest, because he had instructed a lawyer working for the firm representing the defendant when he was the Chief.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21" w:name="Holdings of Court_36"/>
            <w:bookmarkEnd w:id="421"/>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third party claim involved private law considerations, for which it sought damages and indemnification. This was not a collateral attack as the defendant was not simply seeking to set aside the third party's decisions as Chief. This court had jurisdiction. Furthermore, it was appropriate for this court to hear the third party claim, given that it was interwoven with the main action. It was not plain and obvious that the third party claim had no chance of success. The third party was never in contact with the lawyer after his tenure as Chief, never retained him and dealt with him only in his role for the defendant. The contact between the defendant and the third party was short-term, indirect and impersonal. The third party did not have a client or near-client relationship with the lawyer.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22" w:name="Legislation Cited_34"/>
      <w:bookmarkEnd w:id="4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1"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Federal Courts Act, </w:t>
      </w:r>
      <w:hyperlink r:id="rId1102" w:history="1">
        <w:r>
          <w:rPr>
            <w:rFonts w:ascii="arial" w:eastAsia="arial" w:hAnsi="arial" w:cs="arial"/>
            <w:i/>
            <w:color w:val="0077CC"/>
            <w:sz w:val="20"/>
            <w:u w:val="single"/>
            <w:shd w:val="clear" w:color="auto" w:fill="FFFFFF"/>
            <w:lang w:val="en-US" w:eastAsia="en-US" w:bidi="ar-SA"/>
          </w:rPr>
          <w:t>R.S.C. 1985, c. F-7, s. 18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Indian Act, </w:t>
      </w:r>
      <w:hyperlink r:id="rId1103" w:history="1">
        <w:r>
          <w:rPr>
            <w:rFonts w:ascii="arial" w:eastAsia="arial" w:hAnsi="arial" w:cs="arial"/>
            <w:i/>
            <w:color w:val="0077CC"/>
            <w:sz w:val="20"/>
            <w:u w:val="single"/>
            <w:shd w:val="clear" w:color="auto" w:fill="FFFFFF"/>
            <w:lang w:val="en-US" w:eastAsia="en-US" w:bidi="ar-SA"/>
          </w:rPr>
          <w:t>R.S.C. 1985, c. I-5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9-5(1)(a), Rule 9-5(1)(b), Rule 9-5(1)(d)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23" w:name="Counsel_46"/>
      <w:bookmarkEnd w:id="4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2"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(appearing only on April 15, 2011): B. Hardwick.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Lower Nicola Indian Band: R.W.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appeared on behalf of the Defendant, Aaron Sam and the now deceased, Yvonne Basil.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D.E. Gruber.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4" w:name="Judgment_46"/>
      <w:bookmarkEnd w:id="424"/>
      <w:r>
        <w:pict>
          <v:line id="_x0000_s1253"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25" w:name="R.M.L. BLAIR J."/>
            <w:bookmarkEnd w:id="425"/>
            <w:r>
              <w:rPr>
                <w:rFonts w:ascii="arial" w:eastAsia="arial" w:hAnsi="arial" w:cs="arial"/>
                <w:b/>
                <w:color w:val="000000"/>
                <w:sz w:val="30"/>
                <w:lang w:val="en-US" w:eastAsia="en-US" w:bidi="ar-SA"/>
              </w:rPr>
              <w:t>R.M.L. BLAIR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third party, Don Moses, seeks an order that the third party notice filed by the defendant, the Lower Nicola Indian Band ("LNIB"), be struck out or set aside on the basis that it fails to disclose a reasonable claim or is otherwise an abuse of this court's process as it involves the judicial review of decisions by Mr. Moses which can only be heard by the Federal Court. In the alternative, Mr. Moses seeks an order removing the law firm of Heenan Blaikie as solicitors for the LNIB in respect to the third party claim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preliminary comments, I note that this one-day Chambers application commenced on April 15, 2011. The application did not finish on schedule and counsel required another half day on April 21, 2011 to complete their submissions. Counsel, at the commencement of the application, advised that an examination for discovery of Mr. Moses was scheduled for April 28, 2011 and that it would assist the parties if I delivered my reasons for judgment prior to the date set for the discovery of Mr. Moses. Counsel noted that the discovery would only proceed as scheduled pursuant to a previous court direction if I denied both the application to dismiss the third party notice and the application to remove Heenan Blaikie as solicitors for the LNIB with respect to the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These reasons respond to the application brought by Mr. Moses, but they do so with brevity, the result of having to assist counsel in pursuing this action within court directed time constraints. Were a greater period available in which to consider the applications, I anticipate that these reasons would have been longer, more reflective perhaps of the comprehensive submissions articulated by counsel, the considerable amount of affidavit material filed, and the approximately fifty authorities which counsel delivered in support of their respective positions. Although these reasons are brief in the overall context of the applications, I have considered all the material filed and my conclusions would have been the same regardless of the length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result, for the reasons which follow, I dismiss the applications brought by Mr. Moses to strike the third party claim and direct that the judicial review of the decisions made by Mr. Moses be heard by the Federal Court, and to remove Heenan Blaikie as solicitors for the LNIB with respect to the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LNIB and the plaintiff, Veronica Clayton, on January 14, 2008, entered into a contract which named Ms. Clayton as the LNIB's executive director a position she occupied until on or about January 8, 2010 when the LNIB terminated her employment contract. On March 2, 2010, Ms. Clayton commenced an action for wrongful dismissal and defamation against the LNIB, Mr. Sam and Ms. Basil. The LNIB says Ms. Clayton was dismissed for just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LNIB is governed by a band council consisting of a chief and seven councillors. The third party, Mr. Moses, was the chief from 2007 to October 1, 2010, and the defendants, Aaron Sam and the now deceased Yvonne Basil were councillors in 2009. After by-elections in October 2009, the band council appeared divided into two factions, with one faction of five members, including Mr. Sam, and Ms. Basil opposed to Mr. Moses and the other faction including Mr. Moses, Connie Joe and Harold Joe.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development of the factions led to considerable discord within the band's council as exemplified in how the band dealt with Ms. Clayton's dismissal. The councillors opposing Mr. Moses terminated Ms. Clayton's employment and they also took action to suspend Mr. Moses resulting in a Federal Court action which led in June 2010 to the reinstatement of Mr. Moses as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Following his reinstatement, Mr. Moses entered into discussions with Ms. Clayton in an effort to resolve her action against the LNIB and he ascertained that she required $100,000 to settle. Mr. Moses attempted to convene a council meeting in August and September 2010 to pass a resolution providing for the resolution of Ms. Clayton's claim by entering into a settlement agreement which provided that the LNIB would pay her $100,000. The five councillors opposed to Mr. Moses declined to attend the meetings which Mr. Moses attempted to convene and he, therefore, lacked the quorum of five members of the band council required to address the settlement resolution. Mr. Moses, purporting to act within the Band's Chief and Council Policy &amp; Guidelines, unilaterally reduced the quorum from five to three members of the band council and with councillors Connie Joe and Harold Joe, together with himself, Mr. Moses on September 30, 2010 attained his quorum of three which purported to pass the band council resolution approving the settlement agreement with Ms. Clayton.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following day, October 1, 2010, his last day as chief, Mr. Moses, acting on behalf of the LNIB, entered into the settlement agreement with Ms. Clayton which required the LNIB to pay her $100,000. Following Mr. Moses' departure from office, the LNIB refused to be bound by the separation agreement and Ms. Clayton subsequently amended her claim to sue upon the agreement. On December 17, 2010, the LNIB filed the third party notice against Mr. Moses claiming that he lacked the authority to enter into the settlement agreement with Ms. Clayton on behalf of the LNIB, that he breached his fiduciary duty in attempting to bind the LNIB to the settlement agreement, and sought indemnification and damages from Mr. Moses.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by Mr. Moses that LNIB's Third Party Notice be heard in Federal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its third party notice under the heading relief sought, the LNIB seeks:</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it is entitled to contribution and indemnity from Mr. Moses for any judgment, damages, awards, liquidated sum or costs which the LNIB is required to pay Ms. Clayton under the terms of the purported settlement agreement executed by Mr. Moses;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fiduciary duty;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indemnification for all actual legal fees and disbursement incurred by the LNIB in defending the action brought by Ms. Clayton to enforce the purported settlement agreement or alternatively costs of the third party proceedings;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post-judgment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to this court seems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its third party notice, the LNIB asserts that the grounds for its claim against Mr. Moses are that:</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LNIB's Chief and Council Policy and Guidelines provides that a quorum of the council shall be five members in good standing;</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Moses lacked the authority to reduce the quorum from five members of the LNIB to three members;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LNIB chief and council did not authorize Mr. Moses to make any settlement offer or enter into any settlement agreement with the plaintiff, Ms. Clayton;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Moses did not have authority, actual, ostensible or apparent, to enter into the purported settlement agreement with the plaintiff, Ms. Clayton, on behalf of the LNIB;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finds Mr. Moses did have ostensible or apparent authority to enter into the purported settlement agreement with the plaintiff, Ms. Clayton, on behalf of the LNIB, then Mr. Moses:</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exceeded his authority in entering the agreement; and</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breached his fiduciary duty to the LNIB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Mr. Moses asserts that the third party claim is flawed as it challenges his exercise of jurisdiction or powers and should have been brought before the Federal Court for judicial review to first determine the legality of his decisions. Further, Mr. Moses asserts that the third party claim constitutes an impermissible collateral attack and must be struck as an abuse of process pursuant to Rule 9-5(1)(d) of the </w:t>
      </w:r>
      <w:r>
        <w:rPr>
          <w:rFonts w:ascii="arial" w:eastAsia="arial" w:hAnsi="arial" w:cs="arial"/>
          <w:i/>
          <w:color w:val="000000"/>
          <w:sz w:val="20"/>
          <w:lang w:val="en-US" w:eastAsia="en-US" w:bidi="ar-SA"/>
        </w:rPr>
        <w:t>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Mr. Moses submits that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w:t>
      </w:r>
      <w:hyperlink r:id="rId1104" w:history="1">
        <w:r>
          <w:rPr>
            <w:rFonts w:ascii="arial" w:eastAsia="arial" w:hAnsi="arial" w:cs="arial"/>
            <w:i/>
            <w:color w:val="0077CC"/>
            <w:sz w:val="20"/>
            <w:u w:val="single"/>
            <w:shd w:val="clear" w:color="auto" w:fill="FFFFFF"/>
            <w:lang w:val="en-US" w:eastAsia="en-US" w:bidi="ar-SA"/>
          </w:rPr>
          <w:t>R.S.C. 1985, c. F-7</w:t>
        </w:r>
      </w:hyperlink>
      <w:r>
        <w:rPr>
          <w:rFonts w:ascii="arial" w:eastAsia="arial" w:hAnsi="arial" w:cs="arial"/>
          <w:color w:val="000000"/>
          <w:sz w:val="20"/>
          <w:lang w:val="en-US" w:eastAsia="en-US" w:bidi="ar-SA"/>
        </w:rPr>
        <w:t xml:space="preserve"> at s. 18 gives the Federal Court exclusive jurisdiction to review the decisions of "any federal board, commission or other tribunal". Mr. Moses says that as the chief of an Indian Band he is considered to be a federal board, commission or other tribunal, a position consistent with the decision in </w:t>
      </w:r>
      <w:r>
        <w:rPr>
          <w:rFonts w:ascii="arial" w:eastAsia="arial" w:hAnsi="arial" w:cs="arial"/>
          <w:i/>
          <w:color w:val="000000"/>
          <w:sz w:val="20"/>
          <w:lang w:val="en-US" w:eastAsia="en-US" w:bidi="ar-SA"/>
        </w:rPr>
        <w:t>Whitefish v. Saskatchewan (Ministry of Indian Affairs and Northern Development,</w:t>
      </w:r>
      <w:r>
        <w:rPr>
          <w:rFonts w:ascii="arial" w:eastAsia="arial" w:hAnsi="arial" w:cs="arial"/>
          <w:color w:val="000000"/>
          <w:sz w:val="20"/>
          <w:lang w:val="en-US" w:eastAsia="en-US" w:bidi="ar-SA"/>
        </w:rPr>
        <w:t xml:space="preserve"> </w:t>
      </w:r>
      <w:hyperlink r:id="rId1105" w:history="1">
        <w:r>
          <w:rPr>
            <w:rFonts w:ascii="arial" w:eastAsia="arial" w:hAnsi="arial" w:cs="arial"/>
            <w:i/>
            <w:color w:val="0077CC"/>
            <w:sz w:val="20"/>
            <w:u w:val="single"/>
            <w:shd w:val="clear" w:color="auto" w:fill="FFFFFF"/>
            <w:lang w:val="en-US" w:eastAsia="en-US" w:bidi="ar-SA"/>
          </w:rPr>
          <w:t>[1985] S.J. No. 464</w:t>
        </w:r>
      </w:hyperlink>
      <w:r>
        <w:rPr>
          <w:rFonts w:ascii="arial" w:eastAsia="arial" w:hAnsi="arial" w:cs="arial"/>
          <w:color w:val="000000"/>
          <w:sz w:val="20"/>
          <w:lang w:val="en-US" w:eastAsia="en-US" w:bidi="ar-SA"/>
        </w:rPr>
        <w:t xml:space="preserve">. Hrabinsky J. found in </w:t>
      </w:r>
      <w:r>
        <w:rPr>
          <w:rFonts w:ascii="arial" w:eastAsia="arial" w:hAnsi="arial" w:cs="arial"/>
          <w:i/>
          <w:color w:val="000000"/>
          <w:sz w:val="20"/>
          <w:lang w:val="en-US" w:eastAsia="en-US" w:bidi="ar-SA"/>
        </w:rPr>
        <w:t>Whitefish</w:t>
      </w:r>
      <w:r>
        <w:rPr>
          <w:rFonts w:ascii="arial" w:eastAsia="arial" w:hAnsi="arial" w:cs="arial"/>
          <w:color w:val="000000"/>
          <w:sz w:val="20"/>
          <w:lang w:val="en-US" w:eastAsia="en-US" w:bidi="ar-SA"/>
        </w:rPr>
        <w:t xml:space="preserve"> that the chief of an Indian Band was a person exercising or purporting to exercise jurisdiction or powers conferred by or under an Act of Parliament, namely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w:t>
      </w:r>
      <w:hyperlink r:id="rId1103" w:history="1">
        <w:r>
          <w:rPr>
            <w:rFonts w:ascii="arial" w:eastAsia="arial" w:hAnsi="arial" w:cs="arial"/>
            <w:i/>
            <w:color w:val="0077CC"/>
            <w:sz w:val="20"/>
            <w:u w:val="single"/>
            <w:shd w:val="clear" w:color="auto" w:fill="FFFFFF"/>
            <w:lang w:val="en-US" w:eastAsia="en-US" w:bidi="ar-SA"/>
          </w:rPr>
          <w:t>R.S.C. 1985, c. I-5</w:t>
        </w:r>
      </w:hyperlink>
      <w:r>
        <w:rPr>
          <w:rFonts w:ascii="arial" w:eastAsia="arial" w:hAnsi="arial" w:cs="arial"/>
          <w:color w:val="000000"/>
          <w:sz w:val="20"/>
          <w:lang w:val="en-US" w:eastAsia="en-US" w:bidi="ar-SA"/>
        </w:rPr>
        <w:t xml:space="preserve"> and that the matter, therefore, fell within the exclusive original jurisdiction of the Federal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Counsel for the LNIB expressed doubt that the chief of an Indian Band falls within the description of federal board, commission or other tribunal, but did not pursue the matter. I am content that for the purposes of this application Mr. Moses comes within the description of federal board, commission or other tribunal as used in s. 18 of the </w:t>
      </w:r>
      <w:r>
        <w:rPr>
          <w:rFonts w:ascii="arial" w:eastAsia="arial" w:hAnsi="arial" w:cs="arial"/>
          <w:i/>
          <w:color w:val="000000"/>
          <w:sz w:val="20"/>
          <w:lang w:val="en-US" w:eastAsia="en-US" w:bidi="ar-SA"/>
        </w:rPr>
        <w:t>Federal Courts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As I understand his position, Mr. Moses submits that the third party claim amounts to a collateral attack and an abuse of process as the LNIB is attempting to use Ms. Clayton's civil action brought in provincial superior court to collaterally challenge decisions he made as a federal board, commission or other tribunal and that a challenge to these particular decisions had to be pursued first by way of a review by the Federal Court: </w:t>
      </w:r>
      <w:r>
        <w:rPr>
          <w:rFonts w:ascii="arial" w:eastAsia="arial" w:hAnsi="arial" w:cs="arial"/>
          <w:i/>
          <w:color w:val="000000"/>
          <w:sz w:val="20"/>
          <w:lang w:val="en-US" w:eastAsia="en-US" w:bidi="ar-SA"/>
        </w:rPr>
        <w:t>Stephen v. HMTQ,</w:t>
      </w:r>
      <w:r>
        <w:rPr>
          <w:rFonts w:ascii="arial" w:eastAsia="arial" w:hAnsi="arial" w:cs="arial"/>
          <w:color w:val="000000"/>
          <w:sz w:val="20"/>
          <w:lang w:val="en-US" w:eastAsia="en-US" w:bidi="ar-SA"/>
        </w:rPr>
        <w:t xml:space="preserve"> </w:t>
      </w:r>
      <w:hyperlink r:id="rId1106" w:history="1">
        <w:r>
          <w:rPr>
            <w:rFonts w:ascii="arial" w:eastAsia="arial" w:hAnsi="arial" w:cs="arial"/>
            <w:i/>
            <w:color w:val="0077CC"/>
            <w:sz w:val="20"/>
            <w:u w:val="single"/>
            <w:shd w:val="clear" w:color="auto" w:fill="FFFFFF"/>
            <w:lang w:val="en-US" w:eastAsia="en-US" w:bidi="ar-SA"/>
          </w:rPr>
          <w:t>2008 BCSC 1656</w:t>
        </w:r>
      </w:hyperlink>
      <w:r>
        <w:rPr>
          <w:rFonts w:ascii="arial" w:eastAsia="arial" w:hAnsi="arial" w:cs="arial"/>
          <w:color w:val="000000"/>
          <w:sz w:val="20"/>
          <w:lang w:val="en-US" w:eastAsia="en-US" w:bidi="ar-SA"/>
        </w:rPr>
        <w:t>. Mr. Moses submits that the Supreme Court of British Columbia, a provincial superior court, can only entertain LNIB's claim for damages after the Federal Court on judicial review quashes the decisions made by Mr. Moses.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LNIB disputed Mr. Moses' submission that the Federal Court had exclusive jurisdiction to review the decisions he made as chief as referred to in the third-party claim, and that the LNIB could only seek damages from him in the Supreme Court of British Columbia if after judicial review the Federal Court quashed his decisions. The LNIB relied in its response to the position taken by Mr. Moses on the decision in </w:t>
      </w:r>
      <w:r>
        <w:rPr>
          <w:rFonts w:ascii="arial" w:eastAsia="arial" w:hAnsi="arial" w:cs="arial"/>
          <w:i/>
          <w:color w:val="000000"/>
          <w:sz w:val="20"/>
          <w:lang w:val="en-US" w:eastAsia="en-US" w:bidi="ar-SA"/>
        </w:rPr>
        <w:t>Canada (Attorney General) v. TeleZone Inc.</w:t>
      </w:r>
      <w:r>
        <w:rPr>
          <w:rFonts w:ascii="arial" w:eastAsia="arial" w:hAnsi="arial" w:cs="arial"/>
          <w:color w:val="000000"/>
          <w:sz w:val="20"/>
          <w:lang w:val="en-US" w:eastAsia="en-US" w:bidi="ar-SA"/>
        </w:rPr>
        <w:t xml:space="preserve">, </w:t>
      </w:r>
      <w:hyperlink r:id="rId1107" w:history="1">
        <w:r>
          <w:rPr>
            <w:rFonts w:ascii="arial" w:eastAsia="arial" w:hAnsi="arial" w:cs="arial"/>
            <w:i/>
            <w:color w:val="0077CC"/>
            <w:sz w:val="20"/>
            <w:u w:val="single"/>
            <w:shd w:val="clear" w:color="auto" w:fill="FFFFFF"/>
            <w:lang w:val="en-US" w:eastAsia="en-US" w:bidi="ar-SA"/>
          </w:rPr>
          <w:t>2010 SCC 62</w:t>
        </w:r>
      </w:hyperlink>
      <w:r>
        <w:rPr>
          <w:rFonts w:ascii="arial" w:eastAsia="arial" w:hAnsi="arial" w:cs="arial"/>
          <w:color w:val="000000"/>
          <w:sz w:val="20"/>
          <w:lang w:val="en-US" w:eastAsia="en-US" w:bidi="ar-SA"/>
        </w:rPr>
        <w:t>. I will devote considerable attention in the reasons to that case as I conclude it has a significant effect on the application brought by Mr. Moses.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TeleZone Inc</w:t>
      </w:r>
      <w:r>
        <w:rPr>
          <w:rFonts w:ascii="arial" w:eastAsia="arial" w:hAnsi="arial" w:cs="arial"/>
          <w:color w:val="000000"/>
          <w:sz w:val="20"/>
          <w:lang w:val="en-US" w:eastAsia="en-US" w:bidi="ar-SA"/>
        </w:rPr>
        <w:t xml:space="preserve">. claimed it was wronged by the decision of the Minister of Industry Canada to reject TeleZone's application for a licence to provide telecommunications services.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sought compensation in the Ontario Superior Court of Justice against the Federal Crown for its claimed losses of $250 million, pleading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in the alternative, unjust enrichment arising out of monies it had thrown away on the application to obtain the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Attorney General of Canada (the "Crown") applied to strike TeleZone's action in the Ontario Superior Court asserting that TeleZone first had to bring an action in Federal Court because its action involved an attack on a decision made by Industry Canada, a federal administrative board or tribunal. The Crown submitted that pursuant to s. 18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TeleZone had to apply for a judicial review by the Federal Court of Industry Canada's decision and obtain an order from the Federal Court overturning Industry Canada's decision. The Crown submitted that only after obtaining a Federal Court order quashing Industry Canada's decision could TeleZone, bring an action in the Ontario Superior Court for damages against Industry Canada, the second action being required as the Federal Court had no jurisdiction to award the damages sought by TeleZone.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Crown's submission was consistent with what is referred to as the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Principle" founded on the decision in </w:t>
      </w:r>
      <w:r>
        <w:rPr>
          <w:rFonts w:ascii="arial" w:eastAsia="arial" w:hAnsi="arial" w:cs="arial"/>
          <w:i/>
          <w:color w:val="000000"/>
          <w:sz w:val="20"/>
          <w:lang w:val="en-US" w:eastAsia="en-US" w:bidi="ar-SA"/>
        </w:rPr>
        <w:t>Canada v. Grenier,</w:t>
      </w:r>
      <w:r>
        <w:rPr>
          <w:rFonts w:ascii="arial" w:eastAsia="arial" w:hAnsi="arial" w:cs="arial"/>
          <w:color w:val="000000"/>
          <w:sz w:val="20"/>
          <w:lang w:val="en-US" w:eastAsia="en-US" w:bidi="ar-SA"/>
        </w:rPr>
        <w:t xml:space="preserve"> </w:t>
      </w:r>
      <w:hyperlink r:id="rId1108" w:history="1">
        <w:r>
          <w:rPr>
            <w:rFonts w:ascii="arial" w:eastAsia="arial" w:hAnsi="arial" w:cs="arial"/>
            <w:i/>
            <w:color w:val="0077CC"/>
            <w:sz w:val="20"/>
            <w:u w:val="single"/>
            <w:shd w:val="clear" w:color="auto" w:fill="FFFFFF"/>
            <w:lang w:val="en-US" w:eastAsia="en-US" w:bidi="ar-SA"/>
          </w:rPr>
          <w:t>2005 FCA 348</w:t>
        </w:r>
      </w:hyperlink>
      <w:r>
        <w:rPr>
          <w:rFonts w:ascii="arial" w:eastAsia="arial" w:hAnsi="arial" w:cs="arial"/>
          <w:color w:val="000000"/>
          <w:sz w:val="20"/>
          <w:lang w:val="en-US" w:eastAsia="en-US" w:bidi="ar-SA"/>
        </w:rPr>
        <w:t xml:space="preserve"> in which the Federal Court of Appeal held that under s. 18 of the </w:t>
      </w:r>
      <w:r>
        <w:rPr>
          <w:rFonts w:ascii="arial" w:eastAsia="arial" w:hAnsi="arial" w:cs="arial"/>
          <w:i/>
          <w:color w:val="000000"/>
          <w:sz w:val="20"/>
          <w:lang w:val="en-US" w:eastAsia="en-US" w:bidi="ar-SA"/>
        </w:rPr>
        <w:t>Federal Court Act</w:t>
      </w:r>
      <w:r>
        <w:rPr>
          <w:rFonts w:ascii="arial" w:eastAsia="arial" w:hAnsi="arial" w:cs="arial"/>
          <w:color w:val="000000"/>
          <w:sz w:val="20"/>
          <w:lang w:val="en-US" w:eastAsia="en-US" w:bidi="ar-SA"/>
        </w:rPr>
        <w:t xml:space="preserve"> the Federal Court had exclusive judicial review jurisdiction in relation to decisions of all federal boards, commissions or other tribunals, and that unless and until a claimant such as TeleZone obtained from the Federal Court an order quashing the minister's decision it could not proceed with a claim for compensation in a provincial superior court as to do so would amount to an impermissible collateral attack on the minister's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Morawetz J. in the Ontario Superior Court, </w:t>
      </w:r>
      <w:hyperlink r:id="rId1109" w:history="1">
        <w:r>
          <w:rPr>
            <w:rFonts w:ascii="arial" w:eastAsia="arial" w:hAnsi="arial" w:cs="arial"/>
            <w:i/>
            <w:color w:val="0077CC"/>
            <w:sz w:val="20"/>
            <w:u w:val="single"/>
            <w:shd w:val="clear" w:color="auto" w:fill="FFFFFF"/>
            <w:lang w:val="en-US" w:eastAsia="en-US" w:bidi="ar-SA"/>
          </w:rPr>
          <w:t>[2007] O.J. No. 4766</w:t>
        </w:r>
      </w:hyperlink>
      <w:r>
        <w:rPr>
          <w:rFonts w:ascii="arial" w:eastAsia="arial" w:hAnsi="arial" w:cs="arial"/>
          <w:color w:val="000000"/>
          <w:sz w:val="20"/>
          <w:lang w:val="en-US" w:eastAsia="en-US" w:bidi="ar-SA"/>
        </w:rPr>
        <w:t xml:space="preserve">, dismissed the Crown's application, a decision upheld by the Ontario Court of Appeal in </w:t>
      </w:r>
      <w:r>
        <w:rPr>
          <w:rFonts w:ascii="arial" w:eastAsia="arial" w:hAnsi="arial" w:cs="arial"/>
          <w:i/>
          <w:color w:val="000000"/>
          <w:sz w:val="20"/>
          <w:lang w:val="en-US" w:eastAsia="en-US" w:bidi="ar-SA"/>
        </w:rPr>
        <w:t>TeleZone Inc. v. Canada (Attorney General),</w:t>
      </w:r>
      <w:r>
        <w:rPr>
          <w:rFonts w:ascii="arial" w:eastAsia="arial" w:hAnsi="arial" w:cs="arial"/>
          <w:color w:val="000000"/>
          <w:sz w:val="20"/>
          <w:lang w:val="en-US" w:eastAsia="en-US" w:bidi="ar-SA"/>
        </w:rPr>
        <w:t xml:space="preserve"> </w:t>
      </w:r>
      <w:hyperlink r:id="rId1110" w:history="1">
        <w:r>
          <w:rPr>
            <w:rFonts w:ascii="arial" w:eastAsia="arial" w:hAnsi="arial" w:cs="arial"/>
            <w:i/>
            <w:color w:val="0077CC"/>
            <w:sz w:val="20"/>
            <w:u w:val="single"/>
            <w:shd w:val="clear" w:color="auto" w:fill="FFFFFF"/>
            <w:lang w:val="en-US" w:eastAsia="en-US" w:bidi="ar-SA"/>
          </w:rPr>
          <w:t>2008 ONCA 892</w:t>
        </w:r>
      </w:hyperlink>
      <w:r>
        <w:rPr>
          <w:rFonts w:ascii="arial" w:eastAsia="arial" w:hAnsi="arial" w:cs="arial"/>
          <w:color w:val="000000"/>
          <w:sz w:val="20"/>
          <w:lang w:val="en-US" w:eastAsia="en-US" w:bidi="ar-SA"/>
        </w:rPr>
        <w:t xml:space="preserve"> in which it dismissed the Crown's appeal, affirming Morawetz J.'s decision that TeleZone's claims could proceed in the Superior Court of Justice. Those decisions led to the Crown's appeal to the Supreme Court of Canada in which the Crown again submitted that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first had to obtain an order from the Federal Court quashing the decision of the Minister of Industry Canada and that TeleZone's claim amounted to an impermissible collateral attack on the minister's order due to the Federal Court's exclusive jurisdiction over judicial review of decisions such as that reached by the Minister of Industry Canada. As noted by LNIB's counsel, the Crown's position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reflects that advanced by Mr. Moses in the application before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expressly overruled the decision in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when it dismissed the Crown's appeal. Binnie J., writing for the court, concluded at para. 81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Superior Court of Ontario has jurisdiction over the parties and the subject matter, and has the power to grant the remedy of damages. There is nothing in the Federal Courts Act to prevent the Ontario Superior Court from adjudicating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Binnie J., at para. 3, expressed the court's concern about the bottleneck effect on private law claims for damages arising from government decisions which were being held back by the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Principle.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The definition of "federal board, commission or other tribunal" in the Act is sweeping. It means "any body, person or persons having, exercising or purporting to exercise jurisdiction or powers conferred by or under an Act of Parliament or by or under an order made pursuant to a prerogative of the Crown" (s. 2), with certain exceptions, not relevant here, e.g., decisions of Tax Court judges. The federal decision makers that are included run the gamut from the Prime Minister and major boards and agencies to the local border guard and customs official and everybody in between. The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principle would shield the Crown from private law damages involving any of these people or entities in respect of losses caused by unlawful government decision making without first passing through the Federal Court. Such a bottleneck was manifestly not the intention of Parliament when it enacted the judicial review provisions of the Federal Courts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principle would undermine s. 17 of the same Act granting concurrent jurisdiction to the provincial superior courts "in all cases in which relief is claimed against the Crown" as well as the grant of concurrent jurisdiction to the superior courts in s. 21 of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1111"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xml:space="preserve">, to deal with tort claims. A central issue in some (but not all) damages claims against the federal Crown will be the "lawfulness" of the government decision said to have caused the loss.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would deny the provincial superior courts the jurisdiction to deal with that central issue in a damages claim pending before them. Adoption of the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principle would relegate the provincial superior courts in such matters to a subordinate and contingent jurisdiction -- not concurrent, i.e., subordinate to the Federal Court's decision on judicial review and contingent on the Federal Court being willing to grant a discretionary order on judicial review in favour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The Ontario Court of Appeal rejected the Attorney General's position, and in my respectful opinion, it was correct to do so.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is based on what, in my respectful view, is an exaggerated view of the legal effect of the grant of judicial review jurisdiction to the Federal Court in s. 18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which is best understood as a reservation or subtraction from the more comprehensive grant of concurrent jurisdiction in s. 17 "in all cases in which relief is claimed against the [federal] Crown". The arguments of the Attorney General, lacking any support in the express statutory language of s. 18, are necessarily based on suggested inferences and implications, but it is well established that inferences and implications are not enough to oust the jurisdiction of the provincial superior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Binnie J. later in his reasons referred to the situation created by the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Principle, writing in his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This appeal is fundamentally about access to justice. People who claim to be injured by government action should have whatever redress the legal system permits through procedures that minimize unnecessary cost and complexity. The Court's approach should be practical and pragmatic with that objective in mind.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If a claimant seeks to set aside the order of a federal decision maker, it will have to proceed by judicial review, as the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court held. However, if the claimant is content to let the order stand and instead seeks compensation for alleged losses (as here), there is no principled reason why it should be forced to detour to the Federal Court for the extra step of a judicial review application (itself sometimes a costly undertaking) when that is not the relief it seeks. Access to justice requires that the claimant be permitted to pursue its chosen remedy directly and, to the greatest extent possible, without procedural detours.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 do not interpret Parliament's intent, as expressed in the text, context and purposes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to require an awkward and duplicative two-court procedure with respect to all damages claims that directly or indirectly challenge the validity or lawfulness of federal decisions. Such an outcome would have to be compelled by clear and explicit statutory language. Neither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nor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do so, in my opinion. With respect, not only is such language absent, but the reasonable inferences from both statutes, especially the concurrent jurisdiction in all cases where relief is claimed against the Crown granted to the provincial superior courts, leads to the opposite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Binnie J., at para. 24, wrote that judicial review was directed at the legality, reasonableness, and fairness of procedures employed and actions taken by government decision makers with a view to enforcing the rule of law with the overall objective of good governance. He described these public purposes as fundamentally different from those underlying contract and tort cases primarily designed to right private wrongs with compensation or other relief. He noted at para. 26 that the process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in judicial reviews involves a summary procedure with a 30-day time limit, no pre-hearing discovery, no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and the Federal Court cannot order damages. I take from his conclusions that a procedure effective for judicial review is not necessarily effective for a claimant seeking compensation as a result of a government decision. At para. 56, Binnie J. also noted that the grant of relief on a judicial review is discretionary and can be denied even if the applicant establishes valid grounds for the court's intervention. The approach differs in a common law action for damages where, if the elements of the claim are established, compensation ought generally to follow as a matter of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At para. 27, Binnie J. addressed the question of whether there was a practical benefit to the litigant found in the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Principle in situations such as that encountered by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or the LNIB.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 question must therefore be asked: What is the practical benefit to a litigant who wants compensation rather than a reversal of a government decision, to undergo the Grenier two-court procedure? TeleZone, for example, would acquire no practical benefit from a judicial review application. Its primary complaint is for damages arising from the breach of an alleged tendering contract. It no longer seeks the benefit of the contract (or the PCS licence). It seeks compensation for substantial costs thrown away and lost profits. The Crown does not argue that the tendering contract (if it was made) was ultra vires, or that the alleged breach (if it occurred) was mandated by statutory authority. The argument, instead, is that TeleZone's claim constitutes a collateral attack on the ministerial order under the Radiocommunication Act that failed to award it a PCS licence. But in TeleZone's circumstances, judicial review of the Minister's decision would not address the claimed harm and would seem to offer little except added cost and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Binnie J., at para. 42, wrote that any derogation from the jurisdiction of the provincial superior courts in favour of the Federal Court or otherwise required clear and explicit statutory language to this effect and concluded that no such language was found in the applicable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At paras. 63 to 67 inclusive, Binnie J. concluded that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there were three reasons why the Crown's collateral attack argument ought not succeed in the circumstances: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doctrine of collateral attack may be raised by the Attorney General in the provincial superior court as a defence if it is deemed to be appropriate, but the availability of the defence argument does not justify inserting the Federal Court into every claim for damages predicated on an allegation that the government's decision that caused the loss was invalid or unlawful;</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specific object of TeleZone's action was not to invalidate or render inoperative the government's decision, but to recover damages for losses suffered as a result of the Minister's decision;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collateral attack is implicated in situations where a claimant asserting a civil claim for damages needs to attack a law or order that the defendant is advancing as justification for the actions on which the plaintiff's claim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Binnie J. in his conclusions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Where a plaintiff's pleading alleges the elements of a private cause of action, I think the provincial superior court should not in general decline jurisdiction on the basis that the claim looks like a case that should be pursued on judicial review. If the plaintiff has a valid cause of action for damages, he or she is normally entitled to pursue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In the U.K., a similar position has been expressed by the House of Lords in </w:t>
      </w:r>
      <w:r>
        <w:rPr>
          <w:rFonts w:ascii="arial" w:eastAsia="arial" w:hAnsi="arial" w:cs="arial"/>
          <w:i/>
          <w:color w:val="000000"/>
          <w:sz w:val="20"/>
          <w:lang w:val="en-US" w:eastAsia="en-US" w:bidi="ar-SA"/>
        </w:rPr>
        <w:t>Roy v. Kensington and Chelsea and Westminster Family Practitioner Committee</w:t>
      </w:r>
      <w:r>
        <w:rPr>
          <w:rFonts w:ascii="arial" w:eastAsia="arial" w:hAnsi="arial" w:cs="arial"/>
          <w:color w:val="000000"/>
          <w:sz w:val="20"/>
          <w:lang w:val="en-US" w:eastAsia="en-US" w:bidi="ar-SA"/>
        </w:rPr>
        <w:t xml:space="preserve">, [1992] 1 A.C. 624,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Bridge, at pp. 628-29: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a litigant asserts his entitlement to a subsisting right in private law, whether by way of claim or defence, the circumstance that the existence and extent of the private right asserted may incidentally involve the examination of a public law issue cannot prevent the litigant from seeking to establish his right by action commenced by writ or originating summons, any more than it can prevent him from setting up his private law right in proceedings brought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continued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To this discussion, I would add a minor </w:t>
      </w:r>
      <w:r>
        <w:rPr>
          <w:rFonts w:ascii="arial" w:eastAsia="arial" w:hAnsi="arial" w:cs="arial"/>
          <w:i/>
          <w:color w:val="000000"/>
          <w:sz w:val="20"/>
          <w:lang w:val="en-US" w:eastAsia="en-US" w:bidi="ar-SA"/>
        </w:rPr>
        <w:t>caveat</w:t>
      </w:r>
      <w:r>
        <w:rPr>
          <w:rFonts w:ascii="arial" w:eastAsia="arial" w:hAnsi="arial" w:cs="arial"/>
          <w:color w:val="000000"/>
          <w:sz w:val="20"/>
          <w:lang w:val="en-US" w:eastAsia="en-US" w:bidi="ar-SA"/>
        </w:rPr>
        <w:t>. There is always a residual discretion in the inherent jurisdiction of the provincial superior court (as well as in the Federal Court under s. 50(1) of its Act), to stay the damages claim because in its essential character, it is a claim for judicial review with only a thin pretence to a private wrong. Generally speaking the fundamental issue will always be whether the claimant has pleaded a reasonable private cause of action for damages. If so, he or she should generally be allowed to get on with it.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Application to the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TeleZone is not attempting to nullify or set aside the Minister's order. Its case is that the Minister, in deciding not to issue a licence to TeleZone, acted in breach of his contractual and equitable duties or in breach of a duty of care. TeleZone does not say that the Minister's decision should be quashed. On the contrary, TeleZone's causes of action in contract, tort and equity are predicated on the finality of that decision excluding TeleZone from participation in the telecommunications market, thereby (it says) causing it financial loss. Nor does TeleZone seek to deprive the Minister's decision of any legal effect. It does not challenge the licences issued to its competitors. It does not seek to undo what was done. It complains about what was not done, namely fulfilment by Industry Canada of its alleged contractual and equitable duties and its duty of care towards TeleZone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To the extent that TeleZone's claim can be characterized as a collateral attack on the Minister's order (i.e., because the order failed to include TeleZone), I conclude, for the reasons discussed, that the grant of concurrent jurisdiction to determine claims against the Crown to the provincial superior courts negates any inference the Crown seeks to draw that Parliament intended the detour to the Federal Court advocated by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The TeleZone claim as pleaded is dominated by private law considerations. In a different case, on different facts, the Attorney General is free to raise "collateral attack" as a defence and the superior court will consider and deal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have considered the decision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and concluded that it is applicable to the situation in the instant case. The LNIB has responded to Ms. Clayton's claim brought against it in this superior provincial court by filing a third party claim against Mr. Moses who, as chief of an Indian Band, comes within the description of federal board, commission or other tribunal as used in s. 18 of the </w:t>
      </w:r>
      <w:r>
        <w:rPr>
          <w:rFonts w:ascii="arial" w:eastAsia="arial" w:hAnsi="arial" w:cs="arial"/>
          <w:i/>
          <w:color w:val="000000"/>
          <w:sz w:val="20"/>
          <w:lang w:val="en-US" w:eastAsia="en-US" w:bidi="ar-SA"/>
        </w:rPr>
        <w:t>Federal Courts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LNIB's claim involves private law considerations in which it seeks compensation and indemnification from Mr. Moses for any damages awarded Ms. Clayton in her action against the LNIB. I do not find it to be a collateral attack as asserted by Mr. Moses. As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the LNIB does not seek to set aside or quash decisions made by Mr. Moses in entering the settlement agreement with Ms. Clayton in 2010, rather LNIB's claim against Mr. Moses is founded on the LNIB's allegation that in entering into the settlement agreement Mr. Moses acted without apparent or actual authority and breached his fiduciary duty to the LNIB for which if Ms. Clayton is successful in her claim against the LNIB, the latter looks to Mr. Moses for indemnification and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circumstances also lend themselves to having this action heard in it is entirety by the British Columbia Supreme Court, given what appears to be an inevitable evidentiary overlap between Ms. Clayton's action against the LNIB and the latter's claims against Mr. Moses.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am not satisfied that Mr. Moses has established that the third party claim is in its essential character a claim for judicial review with only a thin pretence to a private wrong. I find that the LNIB has pleaded a reasonable private cause of action for damages and should be permitted to "get on with it" to use Binnie J.'s expression found in para. 78 of </w:t>
      </w:r>
      <w:r>
        <w:rPr>
          <w:rFonts w:ascii="arial" w:eastAsia="arial" w:hAnsi="arial" w:cs="arial"/>
          <w:i/>
          <w:color w:val="000000"/>
          <w:sz w:val="20"/>
          <w:lang w:val="en-US" w:eastAsia="en-US" w:bidi="ar-SA"/>
        </w:rPr>
        <w:t>TeleZone.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conclude that in applying the reasoning and conclusions expressed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that the Supreme Court of British Columbia has the jurisdiction to hear the LNIB's third party claim against Mr. Moses.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to Strike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his notice of application, Mr. Moses seeks an order pursuant to Rule 9-5(1)(a)(b) and (d)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that the third party notice and the claim of the LNIB be struck out or set aside as it fails to disclose a reasonable claim, or is unnecessary, scandalous, frivolous or vexatious or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initial argument, Mr. Moses dealt only with Rule 9-5(1)(d) in addressing his position that the third party claim was a matter which lay within the exclusive jurisdiction of the Federal Court, an assertion that I have rejected. In his reply argument, Mr. Moses submitted that given the concessions found in LNIB's argument that it was unnecessary to argue the questions raised under Rule 9-5(1)(a) and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Given that Mr. Moses did not withdraw his application for relief under Rule 9-5(1)(a) and (b), I feel bound to at least address the assertions brought by Mr. Moses under Rule 9-5(1)(a) and (b). In order to accede to this part of the application brought by Mr. Moses, I must be satisfied that it is plain and obvious that the claims found in the third party notice cannot succeed. That is, I must be satisfied that the outcome of the claim at trial is "beyond reasonable doubt", and does not disclose a question to be tried on the basis of the pleadings as they stand or as they might be amended (</w:t>
      </w:r>
      <w:r>
        <w:rPr>
          <w:rFonts w:ascii="arial" w:eastAsia="arial" w:hAnsi="arial" w:cs="arial"/>
          <w:i/>
          <w:color w:val="000000"/>
          <w:sz w:val="20"/>
          <w:lang w:val="en-US" w:eastAsia="en-US" w:bidi="ar-SA"/>
        </w:rPr>
        <w:t xml:space="preserve">Kripps v. Touche Ross &amp; Co., </w:t>
      </w:r>
      <w:hyperlink r:id="rId55" w:history="1">
        <w:r>
          <w:rPr>
            <w:rFonts w:ascii="arial" w:eastAsia="arial" w:hAnsi="arial" w:cs="arial"/>
            <w:i/>
            <w:color w:val="0077CC"/>
            <w:sz w:val="20"/>
            <w:u w:val="single"/>
            <w:shd w:val="clear" w:color="auto" w:fill="FFFFFF"/>
            <w:lang w:val="en-US" w:eastAsia="en-US" w:bidi="ar-SA"/>
          </w:rPr>
          <w:t>15 B.C.A.C. 184</w:t>
        </w:r>
      </w:hyperlink>
      <w:r>
        <w:rPr>
          <w:rFonts w:ascii="arial" w:eastAsia="arial" w:hAnsi="arial" w:cs="arial"/>
          <w:color w:val="000000"/>
          <w:sz w:val="20"/>
          <w:lang w:val="en-US" w:eastAsia="en-US" w:bidi="ar-SA"/>
        </w:rPr>
        <w:t xml:space="preserve"> at p. 4), or do not disclose a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LNIB claims compensation and indemnification from Mr. Moses if in the result Ms. Clayton is successful in her claim against the LNIB based on the settlement agreement she entered into with Mr. Moses, the latter purportedly acting on behalf of the LNIB. The LNIB asserts that its claim against Mr. Moses arises from a breach by Mr. Moses of his fiduciary obligation to the LNIB.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Given the pleadings as they stand, I am unable to say that it is plain and obvious that the claims brought by the LNIB against Mr. Moses cannot succeed or, put another way, the outcome of the claim at trial is beyond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dismiss the application brought by Mr. Moses to strike the third party claim pursuant to Rule 9-5(1) (a) and (b) of the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that Heenan Blaikie be Removed as Solicitors for the LNIB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Moses also applies for an order removing the law firm of Heenan Blaikie as solicitors of record in respect of the third party claim, asserting that during his tenure as chief of the LNIB he dealt with and gave instructions to Dean Crawford, a lawyer with Heenan Blaikie which in or about March 2010 had been retained by the LNIB to act in connection with the action commenced by Ms. Clayton.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Moses asserts that it is wrong for Heenan Blaikie to act against him in the third party claim as it was he who communicated with Mr. Crawford with instructions regarding Ms. Clayton's claim between March and October 2010, and that at no point did Mr. Crawford advise him that he was in jeopardy of being sued by the LNIB. Had Mr. Crawford so advised him, Mr. Moses attests that he would have acted differently and would not likely have shared his information and opinions with Mr. Crawford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However, as Mr. Crawford noted, he was unaware that Mr. Moses was going to execute the settlement agreement with Ms. Clayton on October 1, 2010, which gave rise to the LNIB's third party claim against Mr. Moses. October 1st was also Mr. Moses' last day as chief, and I am unaware of evidence suggesting that Mr. Crawford and Mr. Moses were in contact on or after October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MacDonald Estate v. Martin,</w:t>
      </w:r>
      <w:r>
        <w:rPr>
          <w:rFonts w:ascii="arial" w:eastAsia="arial" w:hAnsi="arial" w:cs="arial"/>
          <w:color w:val="000000"/>
          <w:sz w:val="20"/>
          <w:lang w:val="en-US" w:eastAsia="en-US" w:bidi="ar-SA"/>
        </w:rPr>
        <w:t xml:space="preserve"> </w:t>
      </w:r>
      <w:hyperlink r:id="rId1112" w:history="1">
        <w:r>
          <w:rPr>
            <w:rFonts w:ascii="arial" w:eastAsia="arial" w:hAnsi="arial" w:cs="arial"/>
            <w:i/>
            <w:color w:val="0077CC"/>
            <w:sz w:val="20"/>
            <w:u w:val="single"/>
            <w:shd w:val="clear" w:color="auto" w:fill="FFFFFF"/>
            <w:lang w:val="en-US" w:eastAsia="en-US" w:bidi="ar-SA"/>
          </w:rPr>
          <w:t>[1990] 3 S.C.R. 1235</w:t>
        </w:r>
      </w:hyperlink>
      <w:r>
        <w:rPr>
          <w:rFonts w:ascii="arial" w:eastAsia="arial" w:hAnsi="arial" w:cs="arial"/>
          <w:color w:val="000000"/>
          <w:sz w:val="20"/>
          <w:lang w:val="en-US" w:eastAsia="en-US" w:bidi="ar-SA"/>
        </w:rPr>
        <w:t>, the court, in determining whether a conflict of interest existed as a result of a previous solicitor client relationship, had to ascertain whether the lawyer received confidential information attributable to the solicitor client relationship relative to the matter at hand and is there a risk that the confidential information will be used to the client's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situation involving Mr. Moses and Mr. Crawford, the initial question is whether there was any solicitor client relationship between those individuals or whether Mr. Moses occupied the position described as a "near client" of Heenan Blaikie. Mr. Crawford deposed that the LNIB in March 2010 retained Heenan Blaikie to act on it is behalf and that upon being retained he took instruction from the LNIB's chief and council. At no time did Mr. Crawford consider that he had been retained by Mr. Moses, although he communicated by email and occasionally by telephone with Mr. Moses, but never in fact met with Mr. Moses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Crawford ensured that when communicating with Mr. Moses he advised the band councillors of those communications, particularly when the communications dealt with a subject he knew required the involvement and approval of the whole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CLS Catering Services Ltd. v. Mahil,</w:t>
      </w:r>
      <w:r>
        <w:rPr>
          <w:rFonts w:ascii="arial" w:eastAsia="arial" w:hAnsi="arial" w:cs="arial"/>
          <w:color w:val="000000"/>
          <w:sz w:val="20"/>
          <w:lang w:val="en-US" w:eastAsia="en-US" w:bidi="ar-SA"/>
        </w:rPr>
        <w:t xml:space="preserve"> </w:t>
      </w:r>
      <w:hyperlink r:id="rId1113" w:history="1">
        <w:r>
          <w:rPr>
            <w:rFonts w:ascii="arial" w:eastAsia="arial" w:hAnsi="arial" w:cs="arial"/>
            <w:i/>
            <w:color w:val="0077CC"/>
            <w:sz w:val="20"/>
            <w:u w:val="single"/>
            <w:shd w:val="clear" w:color="auto" w:fill="FFFFFF"/>
            <w:lang w:val="en-US" w:eastAsia="en-US" w:bidi="ar-SA"/>
          </w:rPr>
          <w:t>2010 BCSC 1441</w:t>
        </w:r>
      </w:hyperlink>
      <w:r>
        <w:rPr>
          <w:rFonts w:ascii="arial" w:eastAsia="arial" w:hAnsi="arial" w:cs="arial"/>
          <w:color w:val="000000"/>
          <w:sz w:val="20"/>
          <w:lang w:val="en-US" w:eastAsia="en-US" w:bidi="ar-SA"/>
        </w:rPr>
        <w:t xml:space="preserve">, the defendant Mahil sought to have Borden Ladner Gervais ("BLG") precluded from representing CLS for whom Mr. Mahil formerly worked as its controller. Mr. Mahil asserted that BLG had represented him in his personal business, and during his involvement with BLG in its capacity as the solicitors for CLS he developed a near-client relationship with lawyers with BLG to whom he had confided personal information. Madam Justice Bruce held that Mr. Mahil could not expect lawyers with BLG to keep information he had given them from their client, the plaintiff CLS, adopting the reasoning of Neilson J., as she then was, in </w:t>
      </w:r>
      <w:r>
        <w:rPr>
          <w:rFonts w:ascii="arial" w:eastAsia="arial" w:hAnsi="arial" w:cs="arial"/>
          <w:i/>
          <w:color w:val="000000"/>
          <w:sz w:val="20"/>
          <w:lang w:val="en-US" w:eastAsia="en-US" w:bidi="ar-SA"/>
        </w:rPr>
        <w:t>Milverton Capital Corp. v. Thermo Tech Technologies Inc.,</w:t>
      </w:r>
      <w:r>
        <w:rPr>
          <w:rFonts w:ascii="arial" w:eastAsia="arial" w:hAnsi="arial" w:cs="arial"/>
          <w:color w:val="000000"/>
          <w:sz w:val="20"/>
          <w:lang w:val="en-US" w:eastAsia="en-US" w:bidi="ar-SA"/>
        </w:rPr>
        <w:t xml:space="preserve"> </w:t>
      </w:r>
      <w:hyperlink r:id="rId1114" w:history="1">
        <w:r>
          <w:rPr>
            <w:rFonts w:ascii="arial" w:eastAsia="arial" w:hAnsi="arial" w:cs="arial"/>
            <w:i/>
            <w:color w:val="0077CC"/>
            <w:sz w:val="20"/>
            <w:u w:val="single"/>
            <w:shd w:val="clear" w:color="auto" w:fill="FFFFFF"/>
            <w:lang w:val="en-US" w:eastAsia="en-US" w:bidi="ar-SA"/>
          </w:rPr>
          <w:t>2002 BCSC 773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Milverton Capital Corp.</w:t>
      </w:r>
      <w:r>
        <w:rPr>
          <w:rFonts w:ascii="arial" w:eastAsia="arial" w:hAnsi="arial" w:cs="arial"/>
          <w:color w:val="000000"/>
          <w:sz w:val="20"/>
          <w:lang w:val="en-US" w:eastAsia="en-US" w:bidi="ar-SA"/>
        </w:rPr>
        <w:t xml:space="preserve"> involved applications brought in two actions for a declaration that the law firm, Clark, Wilson, be restrained from acting for parties in the actions because of a conflict of interest. Neilson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 acting as a solicitor for a corporation necessarily involves taking instructions from its representatives. Where, as here, the instructing representative is a director or officer of the corporation, he owes a fiduciary duty to the company. Similarly, the corporate solicitors stand in a fiduciary relationship to their client. In these circumstances, Mr. Branconnier could have little reasonable expectation that his communications to Clark, Wilson in the course of corporate matters would be kept confidential from the Thermo Tech Group: </w:t>
      </w:r>
      <w:r>
        <w:rPr>
          <w:rFonts w:ascii="arial" w:eastAsia="arial" w:hAnsi="arial" w:cs="arial"/>
          <w:i/>
          <w:color w:val="000000"/>
          <w:sz w:val="20"/>
          <w:lang w:val="en-US" w:eastAsia="en-US" w:bidi="ar-SA"/>
        </w:rPr>
        <w:t>Gainers Inc. v. Pocklington</w:t>
      </w:r>
      <w:r>
        <w:rPr>
          <w:rFonts w:ascii="arial" w:eastAsia="arial" w:hAnsi="arial" w:cs="arial"/>
          <w:color w:val="000000"/>
          <w:sz w:val="20"/>
          <w:lang w:val="en-US" w:eastAsia="en-US" w:bidi="ar-SA"/>
        </w:rPr>
        <w:t xml:space="preserve"> </w:t>
      </w:r>
      <w:hyperlink r:id="rId1115" w:history="1">
        <w:r>
          <w:rPr>
            <w:rFonts w:ascii="arial" w:eastAsia="arial" w:hAnsi="arial" w:cs="arial"/>
            <w:i/>
            <w:color w:val="0077CC"/>
            <w:sz w:val="20"/>
            <w:u w:val="single"/>
            <w:shd w:val="clear" w:color="auto" w:fill="FFFFFF"/>
            <w:lang w:val="en-US" w:eastAsia="en-US" w:bidi="ar-SA"/>
          </w:rPr>
          <w:t>(1995), 125 D.L.R. (4th) 50</w:t>
        </w:r>
      </w:hyperlink>
      <w:r>
        <w:rPr>
          <w:rFonts w:ascii="arial" w:eastAsia="arial" w:hAnsi="arial" w:cs="arial"/>
          <w:color w:val="000000"/>
          <w:sz w:val="20"/>
          <w:lang w:val="en-US" w:eastAsia="en-US" w:bidi="ar-SA"/>
        </w:rPr>
        <w:t xml:space="preserve"> (Alta. C.A.) at pp. 58-60, leave to appeal dismissed (1995), </w:t>
      </w:r>
      <w:hyperlink r:id="rId1116" w:history="1">
        <w:r>
          <w:rPr>
            <w:rFonts w:ascii="arial" w:eastAsia="arial" w:hAnsi="arial" w:cs="arial"/>
            <w:i/>
            <w:color w:val="0077CC"/>
            <w:sz w:val="20"/>
            <w:u w:val="single"/>
            <w:shd w:val="clear" w:color="auto" w:fill="FFFFFF"/>
            <w:lang w:val="en-US" w:eastAsia="en-US" w:bidi="ar-SA"/>
          </w:rPr>
          <w:t>[1995] S.C.C.A. No. 353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Neilson J. concluded that in cases where corporate solicitors have developed a close relationship with an instructing corporate representative, it may be wrong to permit the solicitors to use confidential information disclosed by that individual against him.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As well, in </w:t>
      </w:r>
      <w:r>
        <w:rPr>
          <w:rFonts w:ascii="arial" w:eastAsia="arial" w:hAnsi="arial" w:cs="arial"/>
          <w:i/>
          <w:color w:val="000000"/>
          <w:sz w:val="20"/>
          <w:lang w:val="en-US" w:eastAsia="en-US" w:bidi="ar-SA"/>
        </w:rPr>
        <w:t>Gainers Inc. v. Pocklington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57 Coté J.A. observed: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sometimes a company shareholder might seek legal advice about his personal position and his shareholding from the same law firm which also acts for the company. That can pose serious dangers of a conflict for the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Coté J.A. continued at p. 58 to make it clear that a fact-specific inquiry is required in such circumstances, to ensure that the corporate solicitors did not develop such a close relationship with an instructing corporate representative that it would be wrong to permit the solicitors to use confidences from that individual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Neilson J. found the onus to prove a near-client relationship lay with the client,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In considering the facts here in the context of these authorities, the onus is on Mr. Branconnier to establish that a solicitor/client relationship or a relationship as a "near client" based on confidential communications, developed between him and Clark, Wilson in the course of his dealings with them as a representative of the Thermo Tech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have reviewed the material describing the relationship between Mr. Moses and Mr. Crawford and conclude that their relationship did not include a solicitor client relationship. Although Mr. Moses dealt with Mr. Crawford from time to time, he did so as the band chief and, therefore, a member of the band council. His position required that he deal with Mr. Crawford as counsel for the LNIB, although on the evidence Mr. Moses did not necessarily concur with the advice proffered, stating in his affidavit sworn March 3, 2011 that he disagreed with the advice provided by Heenan Blaikie with respect to Ms. Clayton's claim. I am unable to find that Mr. Moses was part of the "team" formulating LNIB's approach to Ms. Clayton's claim. Mr. Moses is no neophyte when it comes to the legal system, this instant action being just the latest in a number of litigation matters which over the years required him to retain solicitors to act on his behalf. Nor am I able to find that Mr. Moses shared any confidential information with Mr. Crawford.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Further, I find that Mr. Moses has failed to establish that he had a near-client relationship between himself and Mr. Crawford or other legal counsel forming part of the Heenan Blaikie law firm. The contact between Messrs. Moses and Crawford was relatively short-term covering just part of 2010, it was indirect in the sense that there was no personal meetings between them, and that at no time do they appear to have had any discussions of a personal nature. I conclude their relationship was so limited as to render it impossible to conclude there existed a near-client relationship between Mr. Crawford and Mr. Moses as asserted by Mr. Moses.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dismiss the application brought by Mr. Moses to remove Heenan Blaikie as counsel with respect to the LNIB's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dismiss the applications brought by Mr. Moses to strike the third party notice and to remove Heenan Blaikie as counsel for the LNIB with respect to the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LNIB has been successful in this application and barring further submissions from counsel to be brought within 60 days of the filing of these reasons, the LNIB will have it is costs pursuant to Appendix B Scale B of the </w:t>
      </w:r>
      <w:r>
        <w:rPr>
          <w:rFonts w:ascii="arial" w:eastAsia="arial" w:hAnsi="arial" w:cs="arial"/>
          <w:i/>
          <w:color w:val="000000"/>
          <w:sz w:val="20"/>
          <w:lang w:val="en-US" w:eastAsia="en-US" w:bidi="ar-SA"/>
        </w:rPr>
        <w:t>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R.M.L. BLAIR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4"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17"/>
          <w:headerReference w:type="default" r:id="rId1118"/>
          <w:footerReference w:type="even" r:id="rId1119"/>
          <w:footerReference w:type="default" r:id="rId1120"/>
          <w:headerReference w:type="first" r:id="rId1121"/>
          <w:footerReference w:type="first" r:id="rId11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23" w:history="1">
        <w:r>
          <w:rPr>
            <w:rFonts w:ascii="arial" w:eastAsia="arial" w:hAnsi="arial" w:cs="arial"/>
            <w:b/>
            <w:bCs/>
            <w:i/>
            <w:color w:val="0077CC"/>
            <w:kern w:val="32"/>
            <w:sz w:val="28"/>
            <w:szCs w:val="32"/>
            <w:u w:val="single"/>
            <w:shd w:val="clear" w:color="auto" w:fill="FFFFFF"/>
            <w:lang w:val="en-US" w:eastAsia="en-US" w:bidi="ar-SA"/>
          </w:rPr>
          <w:t>Eaton v. Regan, [2005] B.C.J. No. 240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005243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548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B.C.T.C. 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Kenneth Eaton, plaintiff, and Randie Hayle Regan,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5"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26" w:name="Keywords_45"/>
      <w:bookmarkEnd w:id="426"/>
      <w:r>
        <w:rPr>
          <w:rFonts w:ascii="arial" w:eastAsia="arial" w:hAnsi="arial" w:cs="arial"/>
          <w:b/>
          <w:color w:val="000000"/>
          <w:sz w:val="20"/>
          <w:lang w:val="en-US" w:eastAsia="en-US" w:bidi="ar-SA"/>
        </w:rPr>
        <w:t xml:space="preserve">Damages — General damages — Categories of — Loss of enjoyment of life — For personal injuries — Considerations — Extent of incapacity — For personal injuries — Cost of future care — Loss of earning capacity — Loss of housekeeping ability — Non-pecuniary damages, including pain and suffering — Retroactive loss of income — Special damages — Limits on compensatory damages — Duty to mitigate — Physical injuries — Body injuries — Back — Neck — Head injuries — Headaches — Psychological injuries — Depression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27" w:name="Case Summary_42"/>
            <w:bookmarkEnd w:id="4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Eaton, against the defendant, Regan, to determine the quantum of Eaton's damages. Eaton was injured in 1998 when the vehicle he was driving in was struck by Regan's vehicle. Regan admitted liability for Eaton's loss and damages. Eaton suffered mild to moderate soft tissue injuries to his back, neck, and shoulders. These continued to cause him pain. He had a decreased interest in social and sexual activities. He also suffered from some reactive depression. He returned to work as a radiator mechanic in 1999 but subsequently missed some days of work and required assistance from co-workers for heavy tasks. He also submitted that he was unable to do as much housework as he previously did. Regan submitted that this case was not appropriate for determination under Rule 18A. He further submitted that Eaton had failed to mitigate his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28" w:name="Holdings of Court_37"/>
            <w:bookmarkEnd w:id="42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Eaton was awarded damages of $53,902. The necessary findings of fact to assess the quantum of damages could be made and it would have been unjust not to proceed under Rule 18A. Regan had not proved that Eaton failed to mitigate his damages. Eaton was awarded $37,500 in non-pecuniary damages for pain, suffering, and interference with his daily activities, including his recreational, family, and social pursuits. A past wage loss claim of $3,819 was allowed. Eaton was awarded $10,000 for loss of earning capacity. As a result of his injuries he required more assistance and had less strength and stamina at work. The loss of housekeeping capacity was compensated through his award of non-pecuniary damages. Eaton had not established that there were related future care costs and so no award was made under this head of damages. Eaton was also awarded $2,684 in special damages representing the acquisition of a special bed.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29" w:name="Legislation Cited_35"/>
      <w:bookmarkEnd w:id="4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6"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30" w:name="Counsel_47"/>
      <w:bookmarkEnd w:id="4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7"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Mr. Eaton: G.R.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F.D. Corbett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31" w:name="Judgment_47"/>
      <w:bookmarkEnd w:id="431"/>
      <w:r>
        <w:pict>
          <v:line id="_x0000_s1258" style="position:absolute;z-index:2518599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2" w:name="JOYCE J."/>
            <w:bookmarkEnd w:id="432"/>
            <w:r>
              <w:rPr>
                <w:rFonts w:ascii="arial" w:eastAsia="arial" w:hAnsi="arial" w:cs="arial"/>
                <w:b/>
                <w:color w:val="000000"/>
                <w:sz w:val="30"/>
                <w:lang w:val="en-US" w:eastAsia="en-US" w:bidi="ar-SA"/>
              </w:rPr>
              <w:t>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8, 1998 Mr. Eaton was injured when the pick-up truck he was driving was struck by the defendant's vehicle when the defendant, who was coming towards him, suddenly and without warning turned left directly in front of him. The defendant admits liability for Mr. Eaton's loss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Eaton brings this application under Rule 18A to determine the quantum of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SUITABILITY FOR DISPOSITION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submits this case is not appropriate for determination under Rule 18A. He submits there are differences in the evidence of the plaintiff's witnesses which he would wish to explore through cross-examination although he has not put forward any evidence that contradicts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my opinion this court is in a position to make the necessary findings of fact to assess the quantum of damages. In my view it is not unjust to determine the matter under Rule 18A. I consider it would be unjust not to do so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has conducted a lengthy examination for discovery of the plaintiff. He has had the plaintiff's medical reports for a long time and could have sought an independent medical examination or sought to cross-examine the doctors on their reports but has not done so. The defendant agreed at a pre-trial conference held on August 13, 2004 that the case was appropriate for summary trial. The only change since that event is that the plaintiff delivered a work evaluation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There is no conflict in the evidence in the sense that the plaintiff's evidence conflicts with that of the defendant. The defendant has not provided any evidence. The conflict alleged by the defendant is that there is some difference of opinion between the plaintiff's doctors. The court must determine what evidence it accepts and the plaintiff runs the risk that if there is a difference of opinion or difference in degree Mr. Eaton runs the risk that the less favourable evidence may be accepted (Elyk v. John Doe, </w:t>
      </w:r>
      <w:hyperlink r:id="rId1124" w:history="1">
        <w:r>
          <w:rPr>
            <w:rFonts w:ascii="arial" w:eastAsia="arial" w:hAnsi="arial" w:cs="arial"/>
            <w:i/>
            <w:color w:val="0077CC"/>
            <w:sz w:val="20"/>
            <w:u w:val="single"/>
            <w:shd w:val="clear" w:color="auto" w:fill="FFFFFF"/>
            <w:lang w:val="en-US" w:eastAsia="en-US" w:bidi="ar-SA"/>
          </w:rPr>
          <w:t>[1996] B.C.J. No. 535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also submits that the report of the plaintiff's family doctor, Dr. Malo, is inadmissible on the grounds that he has shown himself to be an advocate for the plaintiff. In my opinion the report is not argumentative nor can it be characterized as a submission in the guise of expert evidence. I conclude it is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INJURIES ALLEGED AND COURSE OF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Eaton alleges that he suffered soft tissue injuries to his back, neck and shoulders resulting in chronic pain. He also struck his head on something in his vehicle causing pain and subsequent headaches. He also complains of depression and anxiety about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Eaton went to Dr. Malo, on December 11, 1998 complaining of pain in his neck, back and shoulders as well as headaches and pain in his forehead. Dr. Malo prescribed a muscle relaxant, advised the plaintiff to stay off work and take some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lump on Mr. Eaton's forehead resolved in about a week but the pain in his neck, back and shoulders persisted. Mr. Eaton began physiotherapy on December 16, 1998 and had 11 treatments over a six-week period ending January 22,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Eaton returned to his job as a radiator mechanic in late January 1999. The physical activity at work made his symptoms somewhat worse as a result of which he received some further physiotherapy. Mr. Eaton has been able to continue with his regular employment although there have been occasional days or parts of days when he has missed work because of pain due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Eaton deposes that he continues to experience back and neck pain on an almost daily basis. He says he has a diminished capacity to participate in recreational activities and to perform household tasks. He developed depression for which he took antidepressant medication and attended counselling. Mr. Eaton also complains that he suffers "flashbacks" and at times becomes nervous when driving. He also complains that his social interests and sexual drive have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Eaton's wife has provided an affidavit in which she deposed that "there has been a drastic change in Ken's physical capabilities since his motor vehicle accident". She said that before the accident he regularly worked around the house cutting the grass, gardening, painting, moving wood piles, etc. She said that since the accident he requires assistance with everyday tasks and has to hire outside help to perform heavy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Mrs. Eaton also deposed that since the accident her husband has become much less social and outgoing and has become depressed resulting in his being "grumpy" and causing problems with interpersonal relationships within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manager at the shop where Mr. Eaton works provided an affidavit in which he deposed that there has been a drastic change in Mr. Eaton's physical capabilities at work since the accident and that he now requires assistance with the heavy tasks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Eaton sought treatment from Dr. Malo, his family physician. Dr. Malo sent Mr. Eaton to Dr. Bass, a specialist in physical medicine. Dr. Malo also sent Mr. Eaton to a neurologist regarding elevated levels of lead in his body, apparently caused by continual exposure to lead in the course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also provided a functional capacity evaluation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following extracts from the reports provide a synopsis of the experts' findings and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Malo - report dated November 25,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seen on July 6, 2001 for WCB due to the lead level that he had due to his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November 13, 2001 he was seen for follow-up regarding Dr. Shtybel's report regarding the lead toxicity and leading towards depression. The decision was to start him on Celexa, which is an antidepressant. We also recommended some counselling for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diagnosis of Dr. Bass was the same as mine, which was mainly soft tissue injury in the cervicothoracic and lower lumbar area, which is taking a long time to settle. Dr. Bass felt that one of the reasons that the patient was taking a long time to settle was one of his depression. However I have to oppose that myself as I would have to say that his depression has done very well and at this point in time I do believe that the patient is no longer depressed and that there is some confusion with his imperfect demeanour. I am wondering, which I will discuss later, if his depression is not due to the chronic pain that he has developed as a result of the motor vehicle accident. Dr. Bass is also in the belief that the physical findings of this patient are a direct result of his motor vehicle accident and I agree with him.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resume, Mr. Ken Eaton is now a 53-year-old man who on December 9, 1998 was involved in a motor vehicle accident. As a result of this motor vehicle accident he has been left with chronic back and neck pain. His current status is one of a great ache in his neck and pain. ... I do believe that this patient will not be able to continue with heavy physical demands of his work until the age of 65.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prior to the motor vehicle accident this gentleman had never seeked (sic) medical advice for depression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prognosis for this gentleman is unfortunately much more guarded than Dr. Bass. I do not believe that after five years we could have any significant improvement of his discomfort and physical limitations.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Bass - Report dated June 30,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DIAGNOSIS: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Fibroligamentous strain cervical spine.</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Fibroligamentous strain lumbar spine.</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Fibroligamentous strain thoracic region and evidence of bilateral rotator cuff problems, not related to this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 has made a slow and partial recovery from a mishap that occurred in December 1998. He did incredibly well with Dr. Malo's prescription of therapy at Summit Rehabilitation but unfortunately he has gone downhill a little since treatment was stopped and he is back into fulltime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feeling at this stage is that this is a man who has a fairly high pain threshold, doesn't seem to complain a great deal, and such patients are often as difficult to treat as those who are somewhat hypochondriacal.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man's case, I would strongly recommend that he should continue at work, and that some after hours treatment should be arranged for him a couple of times a week.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outlook at the present time is still uncertain because he has deteriorated slightly since returning to work.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Bass - Report dated August 7,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back at work, and has been so since I last saw him in 1999, is able to cope, is sleeping well, is a little short tempered, and his weight remains approximately the same but social interests and sexual drive are much diminished. He is quite frustrated.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this man's problem still remains the same as it was previously, namely a soft tissue injury in the cervicothoracic and in the lower lumbar region, which is taking quite a long time to settle. I feel that probably one of the reasons it's taking some time is that he is depressed, and until this is dealt with he is going to have problems as patient's frequently do when reactive depression becomes a problem with soft tissue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 man is still suffering from the results of his motor vehicle accident but there is a slight change for the better and I feel at this stage some four and a half years after the accident, that it would be appropriate to seriously consider injection by an anesthetist skilled in injection.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in the absence of serious injury apart from the calcific tendonitis, I don't believe this man is going to have any serious long term effects and I would have to say that having spoken to him twice now, I get the impression he is a really tough sort of character who does not make a great deal of fuss but simply gets on with what his moderately heavy job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Shtybel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Consultation report dated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18, 2001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 has been exposed to lead by working in the radiator business for the last 28 years. Your letter indicates that he has a serum lead level of 2.56. His subjective complaints started approximately a year ago. He complains of fatigue, having no appetite, 20 lbs. of weight loss, anorexia and emotional problems. He tells me his emotional problems are that he is more irritable and short tempered and he has nightmares. He then goes on to elaborate that they are not really nightmares but he has "visions". He says when he is about to fall asleep that he will see himself falling or he sees himself being blown up. He says he is falling from a building.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has no problems driving. He denies any problems performing his duties at work.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denies depression. He does not feel that he has any problems concentrating but he says that he stopped watching TV series because he cannot remember what he watched the next day. His sex drive is diminished. He tells me that over the last year his potency has diminished. He says he is sleeping poorly and he has initial insomnia and will often wake up in the night and turn the TV back on. He says he has lost interest in puttering around in his basement the last two years and says he has become a "couch potato" and just wants to go to bed and watch TV at 8 or 9 o'clock.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Neurovascular examination is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Muscle bulk, power and tone are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PRECIS: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 presents with a constellation of symptoms developing over the last year or two including anorexia and weight loss, anhedonia, insomnia, decreased sex drive, fatigue and probable hypnagogic sleep hallucinations. I believe that his primary problem is that of a depression. I find no evidence on elemental neurologic examination or systematic cognitive function testing of any neurotoxicity from lead involving the peripheral or central nervous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addition to the foregoing medical intervention, Mr. Eaton underwent a functional capacity evaluation. The report, dated August 12, 2004 sets out the results of a large number of tests (28) and provides a rather general opinion concerning Mr. Eaton's functional limitations. It does not expressly correlate the results of the testing to the demands of Mr. Eaton's job. The report concludes that Mr. Eaton demonstrated the ability to function at an overall physical demand level of light (to just below medium) by both CCDO (Canadian Classification and Dictionary of Occupations) and NOC (National Occupation Classification)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 AND EXTENT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Counsel for the defendant submitted that Mr. Eaton's high level of lead in his body is the most probable cause of his ongoing physical and emotional or psychological complaints. The medical evidence does not support this submission. Dr. Malo referred Mr. Eaton to Dr. Shtybel because of concern whether lead toxicity was causing symptoms of aggression, poor concentration, poor short term memory and headaches. Dr. Shtybel found no evidence of any neurotoxicity from lead involving the peripheral or central nervous system. He was of the opinion that Mr. Eaton was suffering from depression but there is nothing in his report to suggest that the depression was caused by lead toxicity. It appears to me that the opinion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am satisfied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Mr. Eaton's injury, loss and damage. I am satisfied that Mr. Eaton suffered a mild to moderate soft tissue injury to his neck, and back, which has continued to cause some pain and discomfort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Malo's prognosis is guarded. He doubts whether Mr. Eaton will see much improvement. The specialist, Dr. Bass, on the other hand is more optimistic. He is of the opinion that Mr. Eaton should not have any serious long-term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Dr. Bass is not saying that Mr. Eaton will not continue to have symptoms from time to time as a result of the injury. On the basis of the whole of the evidence, I expect that he will. My reading of Dr. Bass's report is that, given the kind of robust man that Mr. Eaton is, he does not expect that the symptoms will hold him back from being able to continue with his present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appears to me that Dr. Malo and Dr. Bass share the view that Mr. Eaton has suffered some reactive depression as a result of the pain and discomfort. In his report of November 25, 2003 Dr. Malo expresses the opinion that Mr. Eaton is no longer depressed. I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also satisfied that Mr. Eaton's loss of interest, socially and sexually,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Eaton's primary injury was of a soft tissue type to his neck and back from which he still experiences symptoms some six years later. In my view his injuries fall within the mild to moderate category. The injuries have affected Mr. Eaton's ability to enjoy recreational pursuits and social activities, have caused him to become depressed and have interfered with his relationships with his wife and other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accept the evidence that Mr. Eaton was generally a fit person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for the plaintiff submits that an appropriate award for non-pecuniary damages is in the $35,000 to $45,000 range. He provides a number of cases in support including: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169"/>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Baas v. Jellema </w:t>
            </w:r>
            <w:hyperlink r:id="rId1125" w:history="1">
              <w:r>
                <w:rPr>
                  <w:rFonts w:ascii="arial" w:eastAsia="arial" w:hAnsi="arial" w:cs="arial"/>
                  <w:i/>
                  <w:color w:val="0077CC"/>
                  <w:sz w:val="18"/>
                  <w:u w:val="single"/>
                  <w:shd w:val="clear" w:color="auto" w:fill="FFFFFF"/>
                  <w:lang w:val="en-US" w:eastAsia="en-US" w:bidi="ar-SA"/>
                </w:rPr>
                <w:t>[1998] B.C.J. No. 918</w:t>
              </w:r>
            </w:hyperlink>
            <w:r>
              <w:rPr>
                <w:rFonts w:ascii="arial" w:eastAsia="arial" w:hAnsi="arial" w:cs="arial"/>
                <w:color w:val="000000"/>
                <w:sz w:val="18"/>
                <w:lang w:val="en-US" w:eastAsia="en-US" w:bidi="ar-SA"/>
              </w:rPr>
              <w:t xml:space="preserve"> (C.A.)</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483"/>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Miscisco v. Small </w:t>
            </w:r>
            <w:hyperlink r:id="rId1126" w:history="1">
              <w:r>
                <w:rPr>
                  <w:rFonts w:ascii="arial" w:eastAsia="arial" w:hAnsi="arial" w:cs="arial"/>
                  <w:i/>
                  <w:color w:val="0077CC"/>
                  <w:sz w:val="18"/>
                  <w:u w:val="single"/>
                  <w:shd w:val="clear" w:color="auto" w:fill="FFFFFF"/>
                  <w:lang w:val="en-US" w:eastAsia="en-US" w:bidi="ar-SA"/>
                </w:rPr>
                <w:t>[1999] B.C.J. No. 1105</w:t>
              </w:r>
            </w:hyperlink>
            <w:r>
              <w:rPr>
                <w:rFonts w:ascii="arial" w:eastAsia="arial" w:hAnsi="arial" w:cs="arial"/>
                <w:color w:val="000000"/>
                <w:sz w:val="18"/>
                <w:lang w:val="en-US" w:eastAsia="en-US" w:bidi="ar-SA"/>
              </w:rPr>
              <w:t xml:space="preserve"> (S.C.)</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274"/>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Varnes v. Warawa </w:t>
            </w:r>
            <w:hyperlink r:id="rId1127" w:history="1">
              <w:r>
                <w:rPr>
                  <w:rFonts w:ascii="arial" w:eastAsia="arial" w:hAnsi="arial" w:cs="arial"/>
                  <w:i/>
                  <w:color w:val="0077CC"/>
                  <w:sz w:val="18"/>
                  <w:u w:val="single"/>
                  <w:shd w:val="clear" w:color="auto" w:fill="FFFFFF"/>
                  <w:lang w:val="en-US" w:eastAsia="en-US" w:bidi="ar-SA"/>
                </w:rPr>
                <w:t>[1999] B.C.J. No. 766</w:t>
              </w:r>
            </w:hyperlink>
            <w:r>
              <w:rPr>
                <w:rFonts w:ascii="arial" w:eastAsia="arial" w:hAnsi="arial" w:cs="arial"/>
                <w:color w:val="000000"/>
                <w:sz w:val="18"/>
                <w:lang w:val="en-US" w:eastAsia="en-US" w:bidi="ar-SA"/>
              </w:rPr>
              <w:t xml:space="preserve"> (S.C.)</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169"/>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Gill v. Moore </w:t>
            </w:r>
            <w:hyperlink r:id="rId1128" w:history="1">
              <w:r>
                <w:rPr>
                  <w:rFonts w:ascii="arial" w:eastAsia="arial" w:hAnsi="arial" w:cs="arial"/>
                  <w:i/>
                  <w:color w:val="0077CC"/>
                  <w:sz w:val="18"/>
                  <w:u w:val="single"/>
                  <w:shd w:val="clear" w:color="auto" w:fill="FFFFFF"/>
                  <w:lang w:val="en-US" w:eastAsia="en-US" w:bidi="ar-SA"/>
                </w:rPr>
                <w:t>[1999] B.C.J. No. 1344</w:t>
              </w:r>
            </w:hyperlink>
            <w:r>
              <w:rPr>
                <w:rFonts w:ascii="arial" w:eastAsia="arial" w:hAnsi="arial" w:cs="arial"/>
                <w:color w:val="000000"/>
                <w:sz w:val="18"/>
                <w:lang w:val="en-US" w:eastAsia="en-US" w:bidi="ar-SA"/>
              </w:rPr>
              <w:t xml:space="preserve"> (S.C.)</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274"/>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Lane v. Ford Credit Canada Leasing Limited et</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al., </w:t>
            </w:r>
            <w:hyperlink r:id="rId1129" w:history="1">
              <w:r>
                <w:rPr>
                  <w:rFonts w:ascii="arial" w:eastAsia="arial" w:hAnsi="arial" w:cs="arial"/>
                  <w:i/>
                  <w:color w:val="0077CC"/>
                  <w:sz w:val="18"/>
                  <w:u w:val="single"/>
                  <w:shd w:val="clear" w:color="auto" w:fill="FFFFFF"/>
                  <w:lang w:val="en-US" w:eastAsia="en-US" w:bidi="ar-SA"/>
                </w:rPr>
                <w:t>[2003] B.C.J. No. 1042</w:t>
              </w:r>
            </w:hyperlink>
            <w:r>
              <w:rPr>
                <w:rFonts w:ascii="arial" w:eastAsia="arial" w:hAnsi="arial" w:cs="arial"/>
                <w:color w:val="000000"/>
                <w:sz w:val="18"/>
                <w:lang w:val="en-US" w:eastAsia="en-US" w:bidi="ar-SA"/>
              </w:rPr>
              <w:t xml:space="preserve">, </w:t>
            </w:r>
            <w:hyperlink r:id="rId1129" w:history="1">
              <w:r>
                <w:rPr>
                  <w:rFonts w:ascii="arial" w:eastAsia="arial" w:hAnsi="arial" w:cs="arial"/>
                  <w:i/>
                  <w:color w:val="0077CC"/>
                  <w:sz w:val="18"/>
                  <w:u w:val="single"/>
                  <w:shd w:val="clear" w:color="auto" w:fill="FFFFFF"/>
                  <w:lang w:val="en-US" w:eastAsia="en-US" w:bidi="ar-SA"/>
                </w:rPr>
                <w:t>2003 BCSC 701</w:t>
              </w:r>
            </w:hyperlink>
            <w:r>
              <w:rPr>
                <w:rFonts w:ascii="arial" w:eastAsia="arial" w:hAnsi="arial" w:cs="arial"/>
                <w:color w:val="000000"/>
                <w:sz w:val="18"/>
                <w:lang w:val="en-US" w:eastAsia="en-US" w:bidi="ar-SA"/>
              </w:rPr>
              <w:t>.</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Counsel for the defendant submits that the plaintiff's injuries had substantially resolved by early 2000 and that any continuing problems are due to the plaintiff's failure to engage in further physiotherapy or to maintain an appropriate exercise program. He submits that an appropriate award for non-pecuniary loss is in the range of $8,000 to 12,000, citing the following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065"/>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Bigger v. Dadswell, </w:t>
            </w:r>
            <w:hyperlink r:id="rId1130" w:history="1">
              <w:r>
                <w:rPr>
                  <w:rFonts w:ascii="arial" w:eastAsia="arial" w:hAnsi="arial" w:cs="arial"/>
                  <w:i/>
                  <w:color w:val="0077CC"/>
                  <w:sz w:val="18"/>
                  <w:u w:val="single"/>
                  <w:shd w:val="clear" w:color="auto" w:fill="FFFFFF"/>
                  <w:lang w:val="en-US" w:eastAsia="en-US" w:bidi="ar-SA"/>
                </w:rPr>
                <w:t>[1998] B.C.J. No. 718</w:t>
              </w:r>
            </w:hyperlink>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$ 7,500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647"/>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Gill v. Chen, </w:t>
            </w:r>
            <w:hyperlink r:id="rId1131" w:history="1">
              <w:r>
                <w:rPr>
                  <w:rFonts w:ascii="arial" w:eastAsia="arial" w:hAnsi="arial" w:cs="arial"/>
                  <w:i/>
                  <w:color w:val="0077CC"/>
                  <w:sz w:val="18"/>
                  <w:u w:val="single"/>
                  <w:shd w:val="clear" w:color="auto" w:fill="FFFFFF"/>
                  <w:lang w:val="en-US" w:eastAsia="en-US" w:bidi="ar-SA"/>
                </w:rPr>
                <w:t>[2001] B.C.J. No. 2753</w:t>
              </w:r>
            </w:hyperlink>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5"/>
        <w:gridCol w:w="5942"/>
        <w:gridCol w:w="240"/>
        <w:gridCol w:w="1460"/>
        <w:gridCol w:w="218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Machala v. Roodenburg, </w:t>
            </w:r>
            <w:hyperlink r:id="rId1132" w:history="1">
              <w:r>
                <w:rPr>
                  <w:rFonts w:ascii="arial" w:eastAsia="arial" w:hAnsi="arial" w:cs="arial"/>
                  <w:i/>
                  <w:color w:val="0077CC"/>
                  <w:sz w:val="18"/>
                  <w:u w:val="single"/>
                  <w:shd w:val="clear" w:color="auto" w:fill="FFFFFF"/>
                  <w:lang w:val="en-US" w:eastAsia="en-US" w:bidi="ar-SA"/>
                </w:rPr>
                <w:t>[2002] B.C.J. No. 557</w:t>
              </w:r>
            </w:hyperlink>
          </w:p>
        </w:tc>
        <w:tc>
          <w:tcPr>
            <w:tcW w:w="20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$11,000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274"/>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Kovacevic v. Leschner, </w:t>
            </w:r>
            <w:hyperlink r:id="rId1133" w:history="1">
              <w:r>
                <w:rPr>
                  <w:rFonts w:ascii="arial" w:eastAsia="arial" w:hAnsi="arial" w:cs="arial"/>
                  <w:i/>
                  <w:color w:val="0077CC"/>
                  <w:sz w:val="18"/>
                  <w:u w:val="single"/>
                  <w:shd w:val="clear" w:color="auto" w:fill="FFFFFF"/>
                  <w:lang w:val="en-US" w:eastAsia="en-US" w:bidi="ar-SA"/>
                </w:rPr>
                <w:t>[2000] B.C.J. No. 2039</w:t>
              </w:r>
            </w:hyperlink>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065"/>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Dowell v. Knight, </w:t>
            </w:r>
            <w:hyperlink r:id="rId1134" w:history="1">
              <w:r>
                <w:rPr>
                  <w:rFonts w:ascii="arial" w:eastAsia="arial" w:hAnsi="arial" w:cs="arial"/>
                  <w:i/>
                  <w:color w:val="0077CC"/>
                  <w:sz w:val="18"/>
                  <w:u w:val="single"/>
                  <w:shd w:val="clear" w:color="auto" w:fill="FFFFFF"/>
                  <w:lang w:val="en-US" w:eastAsia="en-US" w:bidi="ar-SA"/>
                </w:rPr>
                <w:t>[2002] B.C.J. No. 2547</w:t>
              </w:r>
            </w:hyperlink>
            <w:r>
              <w:rPr>
                <w:rFonts w:ascii="arial" w:eastAsia="arial" w:hAnsi="arial" w:cs="arial"/>
                <w:color w:val="000000"/>
                <w:sz w:val="18"/>
                <w:lang w:val="en-US" w:eastAsia="en-US" w:bidi="ar-SA"/>
              </w:rPr>
              <w:t>.</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With regard to the alleged failure to mitigate, Mr. Eaton attended physiotherapy following the accident as recommended. He received further physiotherapy treatments as recommended when he experienced increased pain brought on by his work activities. It is true that he did not attend for further physiotherapy in August 2000 but he continued to remain active by working. Mr. Eaton also employed regular hot tub therapy to aid in relaxation to lessen his symptoms. I am not satisfied the defendant has proven any failure to mitigate warranting a reduction in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have reviewed the authorities cited by counsel. I do not intend to summarize the facts of each case in these reasons but note that all of the cases cited by the defendant involve plaintiffs whose injuries were considerably less severe than those that Mr. Eaton suffered. For example, in Machala the plaintiff was fully recovered within about 7 months and in Dowell the plaintiff was fully recovered within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circumstances in this case are much more similar to those in Varnes, where the plaintiff continued to suffer back pain more than 5 years after the accident, and Lane, where the plaintiff still experienced near constant backache with flare-ups 4 years after the accident. In both of those cases the plaintiffs had returned to work within a month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view, an award of damages of $37,500 will provide appropriate compensation for Mr. Eaton's non-pecuniary damages for pain, suffering, and interference with his daily activities, including his recreational, family and social pursuits. This figure includes an allowance of $2,500 on account of Mr. Eaton's reduced capacity to perform household chores which other family members, particularly his wife, have had to make up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parties are agreed that the plaintiff gross past wage loss is $4,992. From that figure must be deducted the income tax he would have paid. I prefer to use the plaintiff's rate for 2000 (23.5%) as submitted by the defendant over the slightly lower rate for 2001 (19.5%) as submitted by the plaintiff. I therefore allow the past wage loss claim in the amount of $3,818.88.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Eaton's soft tissue injuries did not prevent him from returning to his job as a radiator mechanic by the end of January 1999, although they affected his ability to perform his job somewhat in that he now requires assistance from co-workers with the heavy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Malo is of the opinion that Mr. Eaton has suffered a permanent injury which will likely affect his future employment. The specialist, Dr. Bass, is far less pessimistic about the future. He expects the plaintiff will be able to carry on with his job and work through any residual pain and discomfort because Mr. Eaton has a tough psychological makeup.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functional capacity evaluation paints a rather negative picture of Mr. Eaton's capacity. However, it must be viewed in light of the fact that Mr. Eaton has been able to function at his job since January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Considering the whole of the evidence, it is my view that Mr. Eaton's injuries have resulted in a diminished capacity to perform his job. He now requires more assistance and he has less strength and stamina. In my opinion the plaintiff has established the criteria set out in Brown v. Golaiy </w:t>
      </w:r>
      <w:hyperlink r:id="rId9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been rendered overall less capable from earning income from all types of employment;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less attractive as an employee to potential employers;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injuries have reduced the scope of potential job opportunities;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While I conclude that Mr. Eaton has suffered some diminishment in his earning capacity, I am not satisfied the quantum of that loss is as great as suggested by his counsel. Mr. Eaton's has maintained his regular employment for over 5 years now albeit with more assistance than he had before he was injured. In quantifying the loss I must attempt to assess the risk of diminished earnings in the future. I am not satisfied that an award in the range of $30,000 to $40,000, equivalent to the loss of a year's income, as suggested by the plaintiff's counsel, is justified in these circumstances. Recognizing that the exercise is somewhat like gazing into a crystal ball, I conclude that a more modest award of $10,000 under this head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seeks an award of $2,000 per year for each of the past 6 years to compensate for his lack of ability to contribute to work in and around the house, including mowing the grass, gardening, painting, and moving furniture. He also seeks an amount of $1,800 which he paid to obtain assistance in putting a new roof on his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Kroeker v. Jansen </w:t>
      </w:r>
      <w:hyperlink r:id="rId1135"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(B.C.C.A.) the Court of Appeal recognized that "housekeeping and other spousal services have economic value for which a claim by an injured party will lie even where those services are replaced gratuitously from within the family". In Kroeker, Gibbs J.A. recognized the need for caution in making awards for this kind of loss "lest it unleash a flood of excessive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McTavish v. MacGillivray, </w:t>
      </w:r>
      <w:hyperlink r:id="rId1136" w:history="1">
        <w:r>
          <w:rPr>
            <w:rFonts w:ascii="arial" w:eastAsia="arial" w:hAnsi="arial" w:cs="arial"/>
            <w:i/>
            <w:color w:val="0077CC"/>
            <w:sz w:val="20"/>
            <w:u w:val="single"/>
            <w:shd w:val="clear" w:color="auto" w:fill="FFFFFF"/>
            <w:lang w:val="en-US" w:eastAsia="en-US" w:bidi="ar-SA"/>
          </w:rPr>
          <w:t>[2000] B.C.J. No. 507</w:t>
        </w:r>
      </w:hyperlink>
      <w:r>
        <w:rPr>
          <w:rFonts w:ascii="arial" w:eastAsia="arial" w:hAnsi="arial" w:cs="arial"/>
          <w:color w:val="000000"/>
          <w:sz w:val="20"/>
          <w:lang w:val="en-US" w:eastAsia="en-US" w:bidi="ar-SA"/>
        </w:rPr>
        <w:t xml:space="preserve"> (C.A.) the court held that an appropriate method of compensating for loss of housekeeping capacity is on a replacement cost basis, even if the services in question were replaced voluntarily by other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for the plaintiff submits that an amount of $2,000 per year for 6 years would be conservative. The difficulty with this submission is that there is a lack of evidence as to how many hours were spent by other family members performing services that would otherwise have been performed by the plaintiff and no evidence as to the market value of those services. The plaintiff deposed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are many household tasks that I am no longer able to perform. For example, my wife now has to cut the grass, because leaning forward to (sic) any period of time cause me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 longer able to cut my own firewood. Previous to the accident I could cut two cords per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no longer perform any task which requires stretching, such as painting, changing lightbulbs,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only specific cost that the plaintiff set is in relation to replacing the roof on his house. He deposed that he "had to pay $1,800 in labour to obtain assistance in performing this task" (emphasis added). There is no supporting invoice or evidence describing precisely what assistance was provided by the contractor and what work he did himself. There is insufficient evidence to persuade me that the plaintiff would have done the roofing without this outside assistance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wife similarly provides only the most general evidence,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Ken requires assistance with everyday tasks and is forced to hire outside help to assist with home maintenance and to perform any heavy tasks that may be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Ken's injuries, I now perform many more household tasks than I did prior to the Plaintiff's motor vehicle accident, including mowing the lawn regularly, all gardening and outside maintenance, power-raking the grass, moving wood piles, painting, moving furniture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I read Kroeker v. Jansen and McTavish v. MacGillivray it is open to a trial judge to compensate for this loss as a factor in the assessment of the non-pecuniary loss. Given the lack of evidence with regard to replacement cost, that is the most appropriate way to compensate the plaintiff in this case and the one I have chosen.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the plaintiff submits Mr. Eaton is entitled to an award for the future cost of physiotherapy and/or chiropractic treatments and/or massage therapy and/or an exercise facility. He also submits that Mr. Eaton should receive compensation for loss of future housekeeping capacity. He submits that a global award of $5,000 to $10,000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Eaton's medical advisors have recommended that he maintain his fitness. The specialist, Dr. Bass, suggests Mr. Eaton consider injection by an anaesthetist and the involvement of an expert in pain management. No costs are provided for this treatment and there is no indication the plaintiff intends to pursue it. Dr. Bass does not appear to recommend physiotherapy, massage or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my opinion the plaintiff has failed to establish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largest claim under this head (apart from the cost of roof repairs, which I have disallowed) is the $2,400 cost of a special bed. I accept that as an allowable item of special damage. I also accept the user fees and mileage as set out in the plaintiff's affidavit, totalling $183.60.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assess the plaintiff's damages in the total amount of $53,902.48, under the following heads: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$37,500.00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460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$ 3,818.88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income earning capacity</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60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$ 2,583.60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$53,902.48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Unless there are any circumstances of which I am not aware, the plaintiff will be entitled to his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9" style="position:absolute;z-index:251898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37"/>
          <w:headerReference w:type="default" r:id="rId1138"/>
          <w:footerReference w:type="even" r:id="rId1139"/>
          <w:footerReference w:type="default" r:id="rId1140"/>
          <w:headerReference w:type="first" r:id="rId1141"/>
          <w:footerReference w:type="first" r:id="rId11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43" w:history="1">
        <w:r>
          <w:rPr>
            <w:rFonts w:ascii="arial" w:eastAsia="arial" w:hAnsi="arial" w:cs="arial"/>
            <w:b/>
            <w:bCs/>
            <w:i/>
            <w:color w:val="0077CC"/>
            <w:kern w:val="32"/>
            <w:sz w:val="28"/>
            <w:szCs w:val="32"/>
            <w:u w:val="single"/>
            <w:shd w:val="clear" w:color="auto" w:fill="FFFFFF"/>
            <w:lang w:val="en-US" w:eastAsia="en-US" w:bidi="ar-SA"/>
          </w:rPr>
          <w:t>Evans v. Keill, [2018] B.C.J. No. 3274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Matthews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16-20 and 23-27,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M152181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3274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44" w:history="1">
        <w:r>
          <w:rPr>
            <w:rFonts w:ascii="arial" w:eastAsia="arial" w:hAnsi="arial" w:cs="arial"/>
            <w:i/>
            <w:color w:val="0077CC"/>
            <w:sz w:val="20"/>
            <w:u w:val="single"/>
            <w:shd w:val="clear" w:color="auto" w:fill="FFFFFF"/>
            <w:lang w:val="en-US" w:eastAsia="en-US" w:bidi="ar-SA"/>
          </w:rPr>
          <w:t>2018 BCSC 1651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Crystal Evans, Plaintiff, and Sunni Keill and Wendy Abbott,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0"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33" w:name="Keywords_46"/>
      <w:bookmarkEnd w:id="433"/>
      <w:r>
        <w:rPr>
          <w:rFonts w:ascii="arial" w:eastAsia="arial" w:hAnsi="arial" w:cs="arial"/>
          <w:b/>
          <w:color w:val="000000"/>
          <w:sz w:val="20"/>
          <w:lang w:val="en-US" w:eastAsia="en-US" w:bidi="ar-SA"/>
        </w:rPr>
        <w:t>Damages — Physical and psychological injuries — Physical injuries — Body injuries — Back and spine — Neck — Soft tissue — Head injuries — Headaches — Psychological injuries — Depression — Action by plaintiff for damages suffered in 2013 motor vehicle accident allowed — Plaintiff's vehicle was struck from behind by defendants' vehicle — Plaintiff alleged accident caused headaches, migraines, neck pain, back pain and mental illness — Plaintiff suffered soft tissue injuries to mid-back, upper back, neck and shoulder — Plaintiff's pain improved by 60 per cent but plateaued — Plaintiff was left with chronic pain in neck and upper back — Plaintiff awarded total damages of $982,020.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Special damages — Past loss of income — Employment income — Expenses and expenditures — Therapy or rehabilitation — Non-pecuniary loss — Pain and suffering — Affecting mobility — Affecting social relationships — Affecting recreational activities — Prospective pecuniary loss — Action by plaintiff for damages suffered in 2013 motor vehicle accident allowed — Plaintiff suffered soft tissue injuries to mid-back, upper back, neck and shoulder — Plaintiff was left with chronic pain in neck and upper back — Injuries impacted plaintiff's ability to work and significantly curtailed her social relationship and physical activity — Plaintiff awarded $110,000 for non-pecuniary loss — Plaintiff awarded $116,089 for past loss of income, $510,000 for loss of future earning capacity and $140,000 for pension loss — Plaintiff awarded costs of future care of $71,299, $20,000 for re-training and special damages of $24,632.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34" w:name="Case Summary_43"/>
            <w:bookmarkEnd w:id="4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suffered in a motor vehicle accident in July 2013. Plaintiff's vehicle was struck from behind by a vehicle owned by the defendants. The plaintiff alleged that the accident caused severe headaches, migraines, neck pain, back pain and mental illness that permanently interfered with her ability to do physical work and required her to limit her recreational and social pursuits. She also sought damages to compensate her for expenses relating to treatment and vocational retraining. At the time of the accident, the plaintiff was 34 years old. She worked as a produce manager at a grocery store earning $29 per hour. She had a sick time allowance which was paid out to her if not used, a pension plan, extended medical benefits, and dental coverage. The plaintiff was physically active prior to the accident, hiking and attending yoga classes. She liked to socialize with friends and co-workers. The plaintiff was off work after the accident. She was unable to perform her job upon her return and was demoted. She lost her life insurance and disability benefits because she could not work the requisite hours. The plaintiff increased her hours despite ongoing pain in order to avoid getting fired. She accepted a voluntary severance package in June 2015 and stopped working. After the accident, the plaintiff stopped exercising and socializing. She began drinking heavily. The plaintiff took other employment but missed work frequently due to her pain and headaches. The defendants did not dispute liability or that the plaintiff's injuries were caused by the accident. They argued that the plaintiff failed to mitigate her losses with regard to her work.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35" w:name="Holdings of Court_38"/>
            <w:bookmarkEnd w:id="43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suffered soft tissue injuries to her mid-back, upper back, neck and shoulder. She had chronic pain in her neck and upper back. The pain was exacerbated by lifting and many different postures, including sitting, standing, certain neck angles and some yoga postures. The plaintiff experienced headaches and migraines. Over the course of two years after the accident the pain gradually improved by about 60 per cent but plateaued at its present level. It was permanent and not likely to improve. Due to the accident injuries, the plaintiff suffered two major depressive episodes and somatic symptom disorder. She withdrew socially from her friends. She attempted suicide twice and drank excessively. Non-pecuniary damages were assessed at $110,000. The plaintiff lost six weeks of work after the accident and lost income from her demotion. Damages were awarded for past income loss in the amount of $116,089. The plaintiff had a real and substantial possibility of future income loss. She was not employable in her pre-accident position and she had not found replacement work that she was capable of doing that pays an equivalent amount. Applying a capital asset approach, the plaintiff was awarded $510,000 for loss of future earning capacity. The plaintiff's loss of pension benefits was assessed at $140,000. She was awarded $20,000 for the costs of re-training. The plaintiff required ongoing physiotherapy and. The cost of future care was assessed at $71,299. The plaintiff was awarded a further amount of $24,632 for special damages including Botox injections, physiotherapy, massage therapy, active rehabilitation, pain medications, and other medical costs relating to the accident. The total damages award was $982,020.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36" w:name="Counsel_48"/>
      <w:bookmarkEnd w:id="4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1"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E.A. Poyner, A.E.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Du Plessis, M. Jeftic.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37" w:name="Judgment_48"/>
      <w:bookmarkEnd w:id="437"/>
      <w:r>
        <w:pict>
          <v:line id="_x0000_s1262" style="position:absolute;z-index:2518108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8" w:name="MATTHEWS J."/>
            <w:bookmarkEnd w:id="438"/>
            <w:r>
              <w:rPr>
                <w:rFonts w:ascii="arial" w:eastAsia="arial" w:hAnsi="arial" w:cs="arial"/>
                <w:b/>
                <w:color w:val="000000"/>
                <w:sz w:val="30"/>
                <w:lang w:val="en-US" w:eastAsia="en-US" w:bidi="ar-SA"/>
              </w:rPr>
              <w:t>MATTHEWS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Crystal Evans, seeks damages for neck, upper back and psychological injuries in this claim for damages for personal injuries arising out of a motor vehicle accident. She alleges that these injuries caused severe headaches, migraines, neck pain, back pain and mental illness that permanently interfered with her ability to do physical work and required her to limit her recreational and social pursuits. She also seeks damages to compensate her for expenses relating to treatment and vocational retraining.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Sunni Keill and Wendy Abbott, are the driver and owner, respectively, of the motor vehicle which hit Ms. Evans' motor vehicle from behind. Ms. Keill and Ms. Abbott do not dispute liability for the action or for the injuries that Ms. Evans submitted were caused by the accident. Rather, Ms. Keill and Ms. Abbott dispute the extent of the injuries and whether the injuries were solely caused by the accident or were, with regard to her mental health issues, pre-existing the accident. Ms. Keill and Ms. Abbott argue that Ms. Evans failed to mitigate her losses with regard to her work. They submit that this failure to mitigate should be taken into account in assessing her past income loss and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were caused by the accident and what is their prognosis?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Evans fail to mitigate her losses: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taking a buyout of her position with Canada Safeway ("Safeway");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resigning from her position with Telus; or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retraining to be a chef?</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Ms. Evans' likely future employment and earnings prospects?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into account the answers to the above questions, what is the appropriate award for damages for:</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pension;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vocational retraining;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The Accident Injuries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facts that I set out are my findings except where I indicate that there is a contest about the facts. In such cases I will set out the conflicting evidence and my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Pre-Accident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Evans was born in Saskatoon, Saskatchewan on November 22, 1978. She grew up in Sherwood Park, Alberta. She was one course short of graduation when she left high school. She has never achieved high school graduation. She was 34 years old at the time of the accident and 39 years old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leaving high school, Ms. Evans was been consistently employed until two years after the accident. Since her early twenties, she has been employed in the banking and credit industry the retail industry, specifically for Safeway.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2002, Ms. Evans and her then partner, Bradley Parker, moved from Alberta to British Columbia. At that time, Ms. Evans was working for Household Finance. She transferred from their Edmonton branch to their North Delta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2004, Ms. Evans resigned from her position with Household Finance. She applied to Safeway and was hired as a grocery clerk at the Robson Street store. She transferred to the Caulfeild Village store, and then to the Davie Street store where she worked from 2009 up to and after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accident, Ms. Evans held the position of produce manager. She belonged to the United Food and Commercial Workers Union, Local 158. Her employment wages and benefits were provided for by a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Evans testified that she enjoyed her work with Safeway and she did well in the positions she held up until the accident. Some of her co-workers testified to this, as did her one time supervisor, Mr. Shoring. He testified that she was one of the strongest produce managers under his supervision and one of the few women in that role in his area. Her performance reviews were strong. In 2012, the year before the accident, her performance was rated as exceeding expectations in all categories but one. Ms. Evans was proud that she had attained a position of responsibility and good pay despite not having graduated from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of the accident, Ms. Evans was earning $29.02 per hour. She worked 40 hours per week. She had four weeks of holiday per year and a benefit she described as "accumulated time off": four hours of time off for every 40 hours worked. This generally amounted to five weeks off per year in addition to her four weeks of holiday. She had a sick time allowance which was paid out to her if not used, a pension plan, extended medical benefits, and dental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produce manager, Ms.Evans supervised between five and ten employees per shift, depending on how busy it was. A typical shift involved several hours of physical work receiving produce which could include pushing or pulling heavy pallets; stocking the produce department which could include lifting produce of up to 50 pounds; and lighter duties such as scheduling shifts and ordering produce.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2005, Ms. Evans and Mr. Parker were married. In 2009, they divorced. Their parting was amicable. They shared a residence for two years following their divorce and they remain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Prior to the accident, Ms. Evans was physically active. She hiked two to three times per week with a friend, including the Grouse Grind and Lynn Loop. She attended yoga classes. Her job was also physically demanding and required her to lift up to 50 pounds frequently and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Prior to the accident, Ms. Evans socialized with friends with whom she hiked and with other friends and co-workers. In addition to socializing through physical and recreational activities, she liked to get together with friends informally or to go out for dinner. She drank socially. She testified that she had no problems with alcohol abuse prior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July 18, 2013, Ms. Evans was driving home from work at the Davie Street Safeway store. She was driving north on Capilano Road in North Vancouver and took the eastbound exit to Highway 1. As she prepared to merge with highway traffic, she came to a stop behind another eastbound vehicle in traffic. She was struck from behind by Ms. Abbott's vehicle which was being driven by Ms. Keill. The force of the impact dislodged her rear-view mirror and retracted her sunroof 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day after the accident, Ms. Evans had severe pain in her neck, back and trapezius muscles. She went to work but could not perform her duties due to the pain. She saw her family doctor, Dr. Love, that day. He noted significantly reduced range of motion and diagnosed soft tissue injuries to her cervical spine and trapezius muscles. He prescribed Ibuprofen for swelling, Emtec-30 for pain, icing and physiotherapy. He directed that she be on medical leave from work given the physical demands of her position as a produce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Evans started physiotherapy at the end of July 2013 and attended physiotherapy thereafter to control her symptoms. The frequency has varied based on her ability to afford the therapy and her symptoms. Ms. Evans has also sought out massage therapy and chiropractic treatment at various times since the accident. She has received hundreds of such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addition to the pain in her back, neck and trapezius muscles, Ms. Evans suffered from headaches, some of which were accompanied by nausea, dizziness and vomiting, as well as pain in the backs of her eyes. These headaches would last for a few hours to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Evans testified that her injuries affected her sleep because they caused her to wake in the night with pain. She often felt fatigued in the morning.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 Affects of Accident on Safeway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Evans was off work for six weeks. She returned to work on a gradual basis, starting with restrictions that she not lift and that she only work four hours per day. Ms. Evans did that but found that she often came home from work with pain in her neck and upper back and often had a throbbing headache. Dr. Love advised her to reduce her work to allow for days off between shifts to recover and seek treatment. Ms. Evans followed this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October 2013, Ms. Evans wanted to increase her work. Dr. Love permitted her to work four hours a day, five days per week on light duties. Ms. Evans also tried some light lifting at work but she continued to experience neck pain and headaches. She discontinued lifting and went back to four hours per day, three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December 2013, Ms. Evans tried light lifting at work because it was the Christmas season and she felt pressure to work at greater capacity. She did so against Dr. Love's recommendation. She experienced neck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February 2014, Ms. Evans again tried lifting with the same results. This pattern of trial and setback continued over the first half of 2014. In August 2014, ICBC provided for an occupational therapist who drafted a graduated return to work program. That program anticipated that she would lift up to 40 pounds (20% less than her job requirement of 50 pounds) and work eight hours a day, five days a week by the end of October 2014. Ms. Evans was willing to try it. She encountered problems with neck pain and headaches when lifting 30 pounds. Dr. Love reduced her lifting restriction to 20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Around this time, in September 2014, Safeway demoted her from produce manager to grocery clerk and transferred her from the Davie Street store to the Caulfeild Village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a grocery clerk, her hourly wage was $25.41, a 13% reduction from her previous hourly wage. She was no longer eligible for her annual 20% bonus. She was not entitled to the accumulated time off benefit. Her vacation time was no longer four weeks but a percentage of hours worked. She lost sick day benefits as well as her life and disability benefits. Although the grocery clerk position had exactly the same physical requirements as the produce manager position, there was not enough work for her in the produce department within her restrictions and the situation was increasing the workload for other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Hogeweide, the manager of the Caulfeild store, gave evidence that enough work could be found for her in the grocery department. He said they did provide her with work that was lighter. Ms. Evans disputes this. She testified that when she was working in an area and light duties had been exhausted, she was required to do whatever work was needed regardless of whether it was within her restrictions. On some days she was lifting or moving crates of soft drinks. On some days she was assigned to work in the dairy section, one of the most physically demanding positions in the store. She was scheduled to work the night shift which involves constant lifting and re-stocking shelves. She did not complain because she wanted to get her produce manager job back, and to do so she had to prove she could do the physical job requirements of the grocery clerk job which were the same as those of produce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Cristofferson, a co-worker, testified that Ms. Evans was scheduled to work in the dairy from time to time. He was aware of this because he worked in the dairy and he was particular about how the work was done so he made it his business to know who was scheduled there. Mr. Hogeweide did not schedule Ms. Evans work so his knowledge of where she was working was restricted to what he noticed when they were on shift together. I accept Ms. Evans' evidence about the nature of work she did as a grocery clerk.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Evans grieved the demotion. However, her union representative advised her that after discussions with Safeway, the union viewed the accommodation as reasonable until such time as she could work the produce manager position without restrictions. This evidence came from Ms. Evans and is hearsay. I accept this evidence as being what she was told. The facts show that the union did not pursue the grievance.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November 30, 2014, Ms. Evans' life insurance and disability insurance benefits were cancelled because she had not maintained an average of 32 hours of work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early December 2014, Ms. Evans received Botox injections or her neck pain and headaches on the recommendation of Dr. Love. She paid for the treatments privately in order to expedite them. The first set of injections was successful and enabled her to work a good part of the very busy Christmas grocery season without exacerbating her neck pain and headaches. She had a second set of injections in January 2015 which did not provide any relief and her headaches returned. Dr. Love recommended that she decrease her work to six hours every second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this time, Dr. Love was of the opinion that Ms. Evans was going to have to change her work because despite several attempts to increase her lifting capabilities and her working hours, she was still suffering from pain and headaches affecting her ability to work. He recommended that she consider a change in employment to a less physically demanding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March 2015, Ms. Evans was in a conundrum. The position to which she had been demoted, grocery clerk, required the same physical abilities as the produce manager position, except that as a produce manager, she was able to delegate heavy lifting and was therefore better able to manage her symptoms. Safeway would not permit her to return to her produce manager position until she was cleared to work it without restrictions. Her union told her that it would not proceed with her grievance until she was able to work the position. She was highly stressed financially.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Evans went to Dr. Love and persuaded him that if she was medically cleared to return to full duties, and was able to get back to the produce manager job where she could delegate heavy lifting, she would be better off both physically and emotionally. Dr. Love reluctantly acceded to her request to remove the restrictions on lifting and hours of work. Ms. Evans advised the Safeway rehabilitation specialist who was overseeing her return to work program that "I explained to my doctor that if I can lift the restrictions I may be able to get back my position, less lifting, so we decided to lift the restrictions. I'm hoping and excited to get back as a produce manager." Safeway did not accept this approach. Safeway Human Resources Director Dave Robertson told Ms. Evans that until she could work full time hours consistently, Safeway would not consider other work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Evans increased her work schedule from 32 hours to 40 hours per week. She testified that her neck ached and her headaches worsened. She was resigned to not being able to work without pain and not being able to work as a produce manager. Ms. Evans testified that she was afraid she would be fired. The evidence of Safeway personnel who testified was that there were no plans to fire her and no one had threatened to fire her. I find that she was not in danger of being fired.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Meanwhile, Ms. Evans' long-term disability benefits, which paid 60% of the difference between her full time produce manager wage and her part time grocery clerk wage, were set to run out at the end of June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June 2015, Safeway offered a voluntary severance package to long-term employees who held certain positions, including grocery clerks, as part of a downsizing program. It was not available to produce managers. The severance payout was $60,000. Ms. Evans accepted it and decided to retrain for another occupation. The package required her to work full time until September 5, 2015, but she was not required to do any duties that caused her discomfort. She met this criteria. At this time, she also started taking a course in wine appreciation as she was interested in working in the wine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July 2015, Dr. Love referred Ms. Evans to a specialist in rheumatology to consider trigger point injections and possibly Botox injections. Ms. Evans saw Dr. Badii for trigger point injections in 2016.</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Social, Recreational and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the accident, Ms. Evans stopped socializing and stayed at home to try to recuperate from her pain, headaches and fatigue from not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Friends and co-workers testified that Ms. Evans stopped going out completely for a period of time after the accident. Then, several months after the accident, she began to make arrangements to go out but would often cancel them and explain that she had a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One of these witnesses was Mr. Parker, Ms. Evans' ex-husband. He testified that he saw her less frequently following the accident. He attributes this to the headaches she told him that she was suffering from. He said that when he did see her she appeared to be uncomfortable and unhappy.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Evans was not physically active due to the accident until the spring of 2014. Due to her inactivity, she gained 30 pounds. This caused her to feel depressed and lowered her self-esteem. Friends who had previously hiked with Ms. Evans testified that she did not hike with them for the balance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addition, she began drinking heavily. She would often consume two bottles of wine in the evening which contributed to her feelings of depression. Mr. Parker testified that prior to the accident Ms. Evans was a social drinker who would consume four or five drinks in an evening. He described her drinking after the accident as out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spring of 2014, Ms. Evans was dating someone. At this time, she said her mood was poor. She was drinking heavily. The individual whom she was dating broke off the relationship. Ms. Evans testified that after that time her drinking "took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an evening in May 2014, Ms. Evans was at home and drinking alone. She took a handful of sleeping pills that had been prescribed to her and drank approximately two bottles of wine. She testified that when she swallowed the pills, her wish was to go to sleep and not wake up. She sent a message to a friend about what she was feeling. Her friend contacted the individual Ms. Evans had been dating. He came to Ms. Evans' apartment and stayed with her until she revived. Ms. Evans did not seek medical attention following that episode or report it to her family doctor because she was embarrassed and ashamed of what she had done. Ms. Evans testified that prior to this episode, she had never become depressed or sought to harm herself following the loss of a relationship, including at the time of her divorce in 2009. Ms. Evans testified that two years prior to the accident she had sought counselling due to issues she had with a relationship but she was not depressed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After the May 2014 incident, Ms. Evans took steps to improve her mental health. She attended a ten day meditation retreat and tried to learn techniques to relax. She found this beneficial. After the retreat, Ms. Evans slowly began trying to resume her recreational activities. She began to take yoga classes again but found that many of the poses aggravated her neck symptoms and caused headaches. She also attempted to start hiking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2014, she hiked the Stawamus Chief (the "Chief") with some friends. She was badly affected by pain in her neck and shoulders. She switched her backpack for a friend's waist pack, and continued the hike to the top. Ms. Evans testified that the steep downward portion was painful because she had to keep her neck angled to look down at her footing. One of her hiking friends testified that it was apparent that she was in pain especially hiking down the Chief. Another friend testified that Ms. Evans was faster going up than she was because she was in better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testified that she attempted to continue to resume hiking by doing occasional short and easy hikes on level terrain. She also purchased her own waist pack to use instead of a backpack.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Safeway demotion further exacerbated her feelings of low self-worth and depression especially since it involved a transfer back to the Caulfeild store as a grocery clerk alongside people she had formally supervised when she was a produce manager. After the meeting during which she learned of her demotion, Ms. Evans said she went home, cried and drank. She was sad and depressed about having lost a job that she loved. She was worried about her finances. Ms. Evans had to move out of her one-bedroom apartment into a less expensive studio apartment. She caused herself to be socially isolated and continued to drink heavily.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Post Safeway Buyout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After leaving Safeway in September 2015, Ms. Evans took a six-week holiday to recover from what she considered to have been a hard two years of rehabilitation and setbacks at work. She used her buyout money to finance that holiday, reduce her debt, and provide for retraining and job search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When she returned from her holiday, she began working with a career counsellor to put together a </w:t>
      </w:r>
      <w:r>
        <w:rPr>
          <w:rFonts w:ascii="arial" w:eastAsia="arial" w:hAnsi="arial" w:cs="arial"/>
          <w:i/>
          <w:color w:val="000000"/>
          <w:sz w:val="20"/>
          <w:lang w:val="en-US" w:eastAsia="en-US" w:bidi="ar-SA"/>
        </w:rPr>
        <w:t>curriculum vitae</w:t>
      </w:r>
      <w:r>
        <w:rPr>
          <w:rFonts w:ascii="arial" w:eastAsia="arial" w:hAnsi="arial" w:cs="arial"/>
          <w:color w:val="000000"/>
          <w:sz w:val="20"/>
          <w:lang w:val="en-US" w:eastAsia="en-US" w:bidi="ar-SA"/>
        </w:rPr>
        <w:t xml:space="preserve"> and to look for work. She made numerous job applications. In February 2016, she took a part-time job with Telus as a telephone customer service operator. The training was full-time and took place over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March 2016, Dr. Badii tried trigger point injections in her shoulder and upper back to address her pain and headaches. She had minimal lasting benefit from those injections and Dr. Badii did not recommend them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June 2016, Ms. Evans completed her training with Telus and began working in the call centre. She was assigned more shifts than she anticipated. She found the work demanding and the breaks were not frequent enough to allow her to stretch. She was required her to sit or stand at a desk and wear a headset. During phone calls, she used a keyboard to take notes. She was not a proficient typist and had to flex her neck forward when typing to see the keyboard. There were no substantial opportunities to stretch or move around as the employees were only permitted a 30-second break between calls. She tried to alternate sitting and standing with no significant relief. Her neck pain, back pain and headaches were aggravated.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 co-worker testified that he worked near Ms. Evans and observed that she was in pain. Ms. Evans told him she had neck pain and headaches. In 2016, Ms. Evans tried hike the Chief again with this same Telus co-worker who had become a friend. She testified that despite wearing a waist pack, she had pain in her neck and back as well as a headache and was unable to carry on. She had to turn around and return to the bottom of the mountain shortly after the hike began. The rest of the group carried on and met her at the bottom afterward.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July 2016, Dr. Love concluded that Ms. Evans was depressed based on her reporting to him that she was crying at home, had a decreased appetite, was having pain at work, and a four month relationship had broken up. He prescribed an anti-depressant, duloxetine, and suggested she see a psychologist for counselling. Ms. Evans saw a psychologist but did not find that session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August 2016, Ms. Evans consumed a couple bottles of wine and took a number of pills. Once again she hoped to go to sleep and not wake up. Her ex-boyfriend took her to the hospital. The hospital referred her to the North Vancouver HOpe Centre, a mental health treatment centre, but Ms. Evans did not receive follow-up communication from the HOpe Centre despite seeking it out. She continued to see Dr. Love who refilled her prescription for duloxetine. Over the next few months her prescription was switched to venlafaxine as Ms. Evans was experiencing nausea from duloxetine. Ms. Evans reported to Dr. Nader, a psychologist she saw on two occasions, that she felt the medication helped to improve her mood and to reduce her overall level of negative emotions.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fall of 2016, Ms. Evans was still working for Telus, recovering from her suicide attempt, and living in North Vancouver. She met Greg Montgomery, and over the course of a few months, their friendship evolved into a romantic relationship. At the time, Ms. Evans was drinking heavily. Mr. Montgomery testified that when he met her she was drinking approximately a case of wine per week and her mood was depressed. He also noted that strenuous activity such as lifting, sitting or standing would trigger a headache for Ms. Evans for which she would lie down in a dark room and take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September 2016, Mr. Montgomery moved to California to take advantage of a job opportunity. Ms. Evans moved into his vacant apartment. Despite having hired movers for her belongings, Mr. Montgomery observed Ms. Evans carrying some small bags and boxes herself. He testified that this effort knocked her out for a few days with neck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Evans and Mr. Montgomery maintained a long-distance romantic relationship and saw each other whenever Mr. Montgomery had occasion to return to North Vancouver from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summer and fall of 2016, Ms. Evans missed work frequently due to her pain and headaches. This prompted a talk from her manager at Telus. Ms. Evans explained that she had taken the job expecting it to be part-time but that she was working full-time hours. Her manager told her that she would look into putting her on a schedule of working evenings and weekends that would reduce her hours. Ms. Evans did not hear anything back from her manager on this issue. Ms. Evans wanted to transfer to another department but understood that Telus would not permit that to happen without her manager's consent, and given the extensive training that Ms. Evans had received, it would not be well-received for her to ask for a transfer until she had worked in the position for which she been trained for at least two years. After the meeting with her manager, and no response on her request to work part-time, Ms. Evans began to worry that she would be fired due to her frequent absences. In December 2016, she resigned from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January 2017, Ms. Evans visited Mr. Montgomery in California. Ms. Evans had taken courses through the Wine &amp; Spirit Education Trust ("WSET") in order to pursue work in the wine industry as a sommelier agent. During this visit to California, Ms. Evans developed an interest in working in the produce industry, and decided to combine her education in wines and spirits with becoming a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Evans enrolled in a culinary institute specializing in raw vegan cuisine, which she testified was a niche area with a growing customer base in California. She had looked at other cooking schools and most required a year of full-time culinary studies. The school in which she enrolled permitted her to take several separate one-month courses to complete the course as a whole. She considered this to be more appropriate given her uncertainty around her physical limitations and culinary training. Unfortunately, she had an accident with a knife during the first level of the course. She had to postpone completion of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meantime, Ms. Evans and Mr. Montgomery married. Ms. Evans then completed the first and second levels of the culinary course. She started the next level of course work but found it to be more physically demanding as it required a lot of standing time in the kitchen and postures with neck angulation that triggered pain and headaches. At the time of trial, Ms. Evans was working with a physiotherapist to strengthen her muscles with the aim of rejoining the course in June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Once she completes the full set of raw cuisine courses she plans to enroll in a more traditional culinary program which will involve a six-month culinary arts diploma and then follow that with a six-month baking and pastry arts diploma. Ms. Evans does not believe that restaurant cooking is feasible for her because it is physically demanding and requires significant lifting. However, she hopes that training as a chef will permit her to seek employment within her physical limitations such as being a private chef, running a catering company or teaching.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the support of Mr. Montgomery, Ms. Evans has limited her alcohol intake to occasional glasses of wine when socializing. She testified that her mood is improved and her depression has gone into remission. She has given up hiking as she finds it places too much strain on her neck. She walks her dog on flat terrain for exercise. She attends physiotherapy and is undertaking strength training to try to improve her stamina.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Ms. Evans'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Before I address the expert evidence tendered by the parties, I will address the defence's argument that I must take into account that much of the evidence about Ms. Evans' injuries and the impact they have had on her comes from Ms. Evans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There must be convincing evidence led by the plaintiff. It can be the plaintiff's own evidence, so long as the court is careful to scrutinize the evidence when there is no objective evidence available. As stated 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1145" w:history="1">
        <w:r>
          <w:rPr>
            <w:rFonts w:ascii="arial" w:eastAsia="arial" w:hAnsi="arial" w:cs="arial"/>
            <w:i/>
            <w:color w:val="0077CC"/>
            <w:sz w:val="20"/>
            <w:u w:val="single"/>
            <w:shd w:val="clear" w:color="auto" w:fill="FFFFFF"/>
            <w:lang w:val="en-US" w:eastAsia="en-US" w:bidi="ar-SA"/>
          </w:rPr>
          <w:t>[1983] B.C.J. 1490</w:t>
        </w:r>
      </w:hyperlink>
      <w:r>
        <w:rPr>
          <w:rFonts w:ascii="arial" w:eastAsia="arial" w:hAnsi="arial" w:cs="arial"/>
          <w:color w:val="000000"/>
          <w:sz w:val="20"/>
          <w:lang w:val="en-US" w:eastAsia="en-US" w:bidi="ar-SA"/>
        </w:rPr>
        <w:t xml:space="preserve"> (C.A.)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 It is not the law that if a plaintiff cannot show objective evidence of continuing injury that he cannot recover. If the pain suffered by the plaintiff is real and continuing and resulted from the injuries suffered in the accident, the plaintiff is entitled to recover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assessing credibility, I follow the approach described by Dillon J. in </w:t>
      </w:r>
      <w:r>
        <w:rPr>
          <w:rFonts w:ascii="arial" w:eastAsia="arial" w:hAnsi="arial" w:cs="arial"/>
          <w:i/>
          <w:color w:val="000000"/>
          <w:sz w:val="20"/>
          <w:lang w:val="en-US" w:eastAsia="en-US" w:bidi="ar-SA"/>
        </w:rPr>
        <w:t>Bradshaw v. Jenner</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1146"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[1952] 2 D.L.R. 152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R v. S.(R.D.), </w:t>
      </w:r>
      <w:hyperlink r:id="rId99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defence argues that the nature of Ms. Evans' injuries must be assessed taking into account that there is no objective evidence of them, only Ms. Evans' subjective reporting. Aside from the fact that the law does not preclude recovery in such circumstances, I do not accept this argument on the facts of this case. There is evidence of several doctors as well as lay witnesses that is objective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For example, Dr. Waseem, a physiatrist seen by Ms. Evans, testified that he identified trigger points in her left paraspinal muscle which caused pain in her upper back upon palpation. He also observed spasms on both sides of the base of her neck and in her trapezius muscles in the region of her neck. The evidence includes co-workers and friends who saw signs of apparent pain in Ms. Evans and testified that she cancelled plans with them and withdrew socially.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addition, Ms. Evans' evidence is acceptable on a credibility analysis following the approach and factors outlined in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Ms. Evans' actions corroborate her evidence of her injuries. She is a hardworking individual who attempted, for two years, to recover from her injuries and get back to the work she loved to do. She invested financially in the costs of treatment such that she fell into debt. She has missed days of work and she was demoted, losing a position that superior in terms of its financial compensation and the fulfillment she derived from it. She did not present as a person attempting to exaggerate her problems for financial gain. In the almost five years between the accident and this trial, she has behaved like a person trying to regain and then rebuild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find there to be corroborating evidence that Ms. Evans' pain and headaches were severe enough to cause her to not be able to work, socialize and engage in recreational activities as she reports. The sacrifices she endured to her financial well-being and her lifestyle are such that I find she has not exaggerated her symptoms. Her account of her injuries and the affects they have had on her makes sense and I accept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Expert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Evans tendered the reports of the following medical experts: Dr. Love, her family physician (reports dated July 10, 2015 and July 28 2015), Dr. Heran, a neurosurgeon (report dated July 3, 2015); Dr. Waseem, a physiatrist (report dated August 13, 2015); Dr. Badii, a rheumatologist (reported dated July 28, 2017); and Dr. Nader, a psychologist (reports dated October 5, 2015 and June 26,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Evans underwent independent medical examinations at the request of the defendants. The defendants did not tender any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medical evidence is cohesive and not challenged on the following points: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Evans has soft tissue injuries to her neck, shoulder and upper back. The injuries have led to chronic myofascial pain which affects the muscles and muscle lining in the area of her neck, shoulders and upper back;</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Evans initially had pain in her low and mid-back as well but that has completely resolved;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myofascial pain has resolved somewhat, but it is chronic;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had cervicogenic headaches (headaches originating in the muscles around the neck) as well as migraine headaches featuring severe pain, sensitivity to light, nausea and vomiting. The migraine headaches became less frequent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 takes issues with the medical evidence in the following regards: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improvement Ms. Evans had in the first two years following the accident and whether she will continue to improve;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Evans' facet joints are affected and part of her ongoing pain, and if so, whether all treatment options have been exhausted;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Evans should have passive rehabilitation as well as active rehabilitation or only active rehabilitation;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Evans' psychological issues were due to relationship problems or the accident and whether the events described as suicide attempts were in fact suicide attempts, in particular the first event.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 The Extent of Ms. Evans'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debates about Ms. Evans' improvement are two fold. First, there is debate about whether she, by 2015, had daily neck and upper back pain and headaches, or whether she has some headache-free and/or pain-free days and was significantly improved by the summer of 2015. Second, there is a debate as to whether she may still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Love contends that Ms. Evans is never headache free and pain-free and she has not had significant improvement. The defendants criticize Dr. Love as an advocate for Ms. Evans and argue that I should not rely on his evidence for much, if anything. Dr. Love knew Ms. Evans prior to the accident and saw her on a regular basis throughout her recovery. He provided two medical-legal reports, chronicling her visits, his advice and her progress. He testified at trial. In many respects, his opinions are similar to those given by the other medical experts. At times he reported that she was pain-free upon examination and at other times he reported marked pain. He testified about his involvement in her return to work attempts over the course of two years. At some junctures, he was reluctant to approve certain aspects of Ms. Evans' return to work plan but he supported Ms. Evans who wanted to keep her job and regain her position as a produce manager after she was demoted.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There are parts of Dr. Love's evidence which appear to be overstatements of Ms. Evans' pain status. When questioned on this in cross-examination, he became unreasonably insistent despite internal contradictions in his reports and contradictions with Ms. Evans' evidence. I accept that Dr. Love's objectivity has been impacted because of the position he has been trying to mediate between Ms. Evans' physical symptoms, which were exacerbated by lifting and working full-time hours, and her emotional state, which was impacted by feelings of depression around the loss of the work she loved as well as the financial stress of her demotion and reduced work hours. He became her advocate in her rehabilitation. He presented that way at trial on some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 are certain elements of his evidence, mostly matters of degree, which I do not accept because they are in conflict with the other evidence that Ms. Evans put forward - including her own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An example is the evidence pertaining to the extent of her recovery, and in particular, whether she experienced about a 60% recovery by the summer of 2015 and whether she had pain-free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July 2015, Ms. Evans saw Dr. Heran, a neurosurgeon, for an independent medical examination. Dr. Heran reported that at that time Ms. Evans reported that her accident symptoms had improved and she thought she was getting better over time. She said the pain had improved from being in her neck, trapezius, shoulders and arms to being really only in her neck and extending into the proximal trapezii. At that time she reported that she still got headaches. She reported that she was never pain-free but from time to time she was headache-free. She reported that the headaches typically occurred once or twice per week. Ms. Evans confirmed that this was her status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Evans also saw Dr. Waseem, a physiatrist, for an independent medical examination on July 28, 2015. Dr. Waseem reported that Ms. Evans told him that she had improved by about 60% and then plateaued. At that time, Ms. Evans reported to Dr. Waseem that her neck pain and her trapezius pain was present one half to three quarters of the time and her headaches occurred less than one quarter of the time. Ms. Evans testified that initially she had debilitating headaches five out of seven days per week. At the time she saw Dr. Waseem, she was having them less than one quarter of the time. She told Dr. Heran that she was having them one or two days per week. That is a reduction that corresponds well to a 60% improvement. This type of improvement was echoed with regard to neck and trapezius pain and Dr. Love's reports on her headache frequency.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Love also reported that in June 2017 Ms. Evans had a sore neck all day, every day and her trapezius muscles were sore all day every day. I note Dr. Heran reported in July 2015 that she was never pain-free from the neck and trapezius pain. If these statements are taken to represent her status during the whole of her recovery, they are contradicted by other statements in Dr. Love's reports and Ms. Evans' evidence at trial. She confirmed on cross-examination that when on holiday, for example, she had a pain-free week. She also agreed that when she was not doing something strenuous, she would not experience pain. I do not accept Dr. Love's insistence that Ms. Evans has had pain every day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With regard to ongoing improvement, Ms. Keill and Ms. Abbott rely mainly on Dr. Heran's opinion that her soft tissue areas of pain would likely continue to improve. He felt that she should continue to further manage the pain with the treatment she was already using but she should also be re-integrating back into all aspects of her life including trying to lift and do activities at work. With regard to her headaches, he felt that the trigger point injections might be helpful. He also said there was room for consideration for management of the facet joints and for Botox injections. With respect to medications, he noted that in her condition there was a role for "neuromodulating medications". He thought she was borderline for implementing those at that time as she was able to tolerate her symptoms and manage her affairs by adjusting her activities. He felt that those medications should be considered if her symptoms were to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Waseem opined that her current symptoms were chronic myofascial pain syndrome involving the cervical spine as well as chronic post-traumatic headaches with mixed migraine and cervicogenic features. He noted that her conditions and symptoms have been "refractory" which means not resolved by spontaneous recovery, conservative therapy, or Botox injections, all of which had been tried before he saw her. He opined that the conditions were permanent in nature and her prognosis for full symptom recovery was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Badii opined that Ms. Evans has had her maximum medical improvement and now has chronic pain; she will always have a level of pain similar to her current level in her neck and shoulders; and she will continue to have cervicogenic headaches. He opined that her symptoms will be aggravated by strenuous physical activity and/or prolonged sitting. His view is that she should be able to work full time in a line of work that does not require prolonged sitting, keeping the neck in one position, or any significant degree of heavy lifting. He opined that Ms. Evans' pain is chronic and she needs to manage by adjusting her lifestyle accordingly. He reported that she has lower pain days, but she is rarely pain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Evans' physical symptoms have neither improved nor worsened since she saw Dr. Heran. It has been almost three years since he saw her. She had already tried Botox injections, and she subsequently tried trigger point injections without success. Dr. Badii did not think there was an indication that deeper facet joint injections (blocks) were warranted given the risks and the chances of only temporary relief. Dr. Badii treated her and I accept his opinion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Love opined in July 2017 that after four years it was unlikely that she would improve and that she would have pain in her neck, in her trapezius muscles and cervicogenic headaches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conclude that Ms. Evans' symptoms have improved. Fortunately, her headaches have reduced from most days of the week to between one and three days per week, depending on her activity. She has pain in her neck and upper back more than half the time. While this is an improvement from the first few months after the accident, it is chronic and regular, if not constant. The evidence was also clear that Ms. Evans experiences exacerbation of the pain and the onset of headaches when lifting, working with her arms over her head, or working with her neck flexed forward. I accept that Ms. Evans has some pain-free days and has headaches weekly but not daily. She reached that level of improvement by mid-2015. Her condition has not changed significantly since then and is not likely to.</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Facet Joint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Evans argues that Ms. Evans' ongoing pain stems at least in part from facet joint injuries. The expert evidence was inconsistent on whether or not Ms. Evans' ongoing pain stems primarily from soft tissue injuries, her facet joints,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evidence of Dr. Heran was that the difference between the two types of injuries is that soft tissue injuries settle down after they are aggravated, but facet joint injuries do not. He also opined that facet joint injuries can get worse over time. While this issue is important to the issue of whether her condition might deteriorate, it does not affect whether she can expect improvement. All the opinions are that she cannot work in occupations which keeping the neck fixed in one position, or any significant degree of heavy lifting and strenuous physical activities; she is only suited to strength activities of up to 10 pounds which essentially limits her to sedentary-light occupations; and she should avoid prolonged and sustained neck postures and repetitive cervical extensions and shoulder checks. These opinions are based on the nature of her pain, not the source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Heran opined that Ms. Evans' pain was arising from both soft tissues and facet joints because the source of her pain on the left side appeared to be within the region of the facet joint complex. He recommended targeting her facet joint at the C4-5 level with injections with local anaesthetic and steroids for diagnostic purposes. He also felt she would benefit from facet joint blocks. He said, however, that where there is substantial overlap between the sources of pain, it can be impossible to tell even with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Waseem diagnosed chronic myofascial pain and recommended cervical facet joint blocks to address Ms. Evans' cervicogenic headaches. In his testimony he explained that "blocking the joint" or "the nerve" can help treat headaches. He did not opine that her pain or headaches had a "structural" component as did Dr. Heran.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Badii treated Ms. Evans with injections. Dr. Badii tried trigger point injections in her neck with local anaesthetic and a corticosteroid. These are more superficial injections which Dr. Heran described as being for the soft tissue injuries and which, if offering relief, would assist in diagnosing a significant soft tissue injury component. Ms. Evans had minimal lasting benefit from those injections and Dr. Badii did not recommend them further. Dr. Badii stated in his report and on the stand that he thinks soft tissue injuries are the main source of Ms. Evans'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Badii testified that based on the fact that neither Botox injections nor trigger point injections offered lasting or repetitive relief, he did not see a further basis for attempting other treatment modalities such as facet joint blocks or deeper injections. He considered them, but did not recommend them because he felt that her baseline pain, i.e. when her neck and back were not aggravated, was manageable for her. Facet joint block injections are deeper injections and carry with them risks of damaging blood vessels or nerves. The treatment does not provide permanent relief. At best if offers three to six months of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Keill and Ms. Abbott argue that Dr. Badii's evidence should be interpreted to mean that Ms. Evans' facet joints were not affected. I agree. Dr. Badii's evidence, in his report and in oral evidence, was that he thinks her pain is mainly soft tissue related. While he did not definitively rule out the facet joints as a source of her pain, he also did not offer the opinion that they are a source of the pain or even mention them in his report. Dr. Badii treated Ms. Evans on four occasions. He was able to see her reaction to the trigger point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his second report, Dr. Love referred to Dr. Heran's opinion of left facet joint mediated pain and the potential for degenerative changes. Despite having seen that opinion, he offers the same opinion he had previously: that her pain arises from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my view, Ms. Evans has not proven facet joint involvement on a balance of probabilities.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Recommended Course of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Keill and Ms. Abbott argue that the medical evidence was that passive rehabilitation (physiotherapy, massage therapy, chiropractic treatment) will not have long-lasting benefits and are not reasonable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This argument is mostly based on the opinion evidence of Dr. Heran. He recommended Ms. Evans continue with active rehabilitation but did not think that passive modality treatments would be of value for long-term injury and pain management. However, he also opined that the passive modality treatments have been reasonable in the past and if they provided substantial benefit lasting from several to many days, they could still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Waseem and Dr. Love support the use of passive modalities such as physiotherapy and massage therapy to manage symptom exacerbation on an as required basis. Dr. Badii opined that 12 to 24 physiotherapy sessions a year for symptom control would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Evans has been attending passive therapy sessions including physiotherapy, massage therapy and chiropractic treatment since shortly after the accident as her finances have permitted. Within about two months of the accident, she began active rehabilitation. At present, Ms. Evans is using both active and passive modalities with a focus on strength-training to build up her endurance.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She had been prepared to invest in these therapies with her own funds, causing her considerable financial distress, because they offer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conclude that the weight of the opinion is that active rehabilitation should be Ms. Evans' focus, but that it is reasonable for her to use passive treatments to manage her symptomatology and that she is likely to require such symptom management on an ongoing basis.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iv.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defence argues that Ms. Evans' suicide attempts coincided with her relationship breakdowns and those relationship breakdowns were the main causes of her major depressive episodes and suicide attempts.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a personal injury case,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 contributed to an injury. There must be a substantial connection between the injury and the defendant's conduct. The primary test for causation is the "but for" test: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However,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Leonati</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147"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Where there are both tortious and non-tortious causes of injury, the defendant is liable so long as the defendant's conduct is a cause of the plaintiff's injury. The plaintiff must establish such causation on a balance of probabilities before damages are assessed: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As described above, after the accident Ms. Evans did not see friends as often as she previously did. She cancelled plans. She drank heavily. On two occasions she took pills after drinking large amounts of wine and hoped to go to sleep and not wake up. She was prescribed two different types of antidepressants. The second prescription helped her and in late 2016, with a combination of medication and other changes in her life, her mood improved. She drinks less and feels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With regard to her emotional distress and psychological condition, Ms. Evans tendered the medical evidence of an independent psychologist, Dr. Nader. In his November 2015 report, Dr. Nader opined that Ms. Evans met the diagnostic criteria for mild somatic symptom disorder, major depressive disorder in partial remission, and social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Nader opined that Ms. Evans' somatic symptom disorder was precipitated by her physical injuries and complaints following the accident. Somatic symptom disorder caused Ms. Evans to catastrophize and ruminate on the impact of her pain which was likely maintaining her distress about it. With regard to depression, Dr. Nader noted that she had not experienced significant depression symptoms prior to the accident. Dr. Nader opined that her psychological symptoms were most significant in the year following the accident and that in October 2015 she no longer met the diagnostic criteria for major depressive disorder but had ongoing residual symptoms of depression. Her prognosis was cautiously optimistic. Having seen her after she had taken the buyout from Safeway, he raised concerns about her then current transition with regards to her work: he felt that if she had difficulty finding meaningful work in the next six to twelve months then she would be at a relatively high risk for relapse of her depressive symptoms and would benefit from psychological treatment. Dr. Nader also opined that her 2014 major depressive episode meant that she had a greater than 50% chance of experiencing another major depression and that psychological treatment may benefit to assist with her current symptoms and prevent future episodes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Evans saw Dr. Nader for a second time in June 2017. He opined that at that time, Ms. Evans no longer met the diagnostic criteria for somatic symptom disorder or major depressive disorder. He opined that Ms. Evans was more accepting of her pain and not as bothered by it. Her attention had shifted to how to function effectively within her physical limitations. He opined that she had suffered a second depressive episode in the summer of 2016 leading up to the second suicide attempt. Dr. Nader opined that her depression in the summer of 2016 was related to the fact that she had been optimistic and hopeful about starting her new job at Telus - in particular that it would help her get back on her feet financially - but that within a few months of starting the job she realized she would not be able to function at the job long-term and started having increasing headaches and worsening pain. This led to stress and caused her to question what she would be able to do for work in the future. This concern about her future, the stress of the job itself, and the relationship problems she had contributed to the worsening of her mood. Her previous major depressive episode increased her risk of this second depressive episode. Dr. Nader opined that her treatment with Effexor had gone well and she was not experiencing any significant depressive symptomology at the time of the examination and had not since September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Nader opined that her prognosis was cautiously optimistic. He opined that she should consider psychological treatment in the future should she notice a recurrence of depressive symptoms. However, he did not feel that she needed psychological treatment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my view, the submission of the defendants that relationship break-ups were the cause of Ms. Evans' suicide attempts parses the evidence too thinly and ignores other evidence. Ms. Evans' evidence, as supported by evidence of friends and co-workers, was that was depressed after the accident. She was moody and irritable. She withdrew socially. Her evidence was that she was drinking heavily which had not been a problem for Ms. Evans prior to the accident. Prior to the accident she had endured a marital breakdown without a depressive episode.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accept that the relationship breakdowns that immediately preceded her two post-accident suicide attempts played a role in her depression and suicide attempts. But I also accept that she became depressed as a result of her accident injuries, her loss of self-esteem due to not being able to do a job she had previously been very good at and derived a lot of self-worth from, her inability to engage in strenuous and challenging physical activity, her associated weight gain; and her inability to become and remain pain-free and headache-free.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find that the accident was meets the but for causation test with regard to Ms. Evans' somatic symptom disorder, which caused her to dwell on and catastrophize her symptoms, her depression and her suicide attempts.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Keill and Ms. Abbott argue that Ms. Evans failed to mitigate her past wage loss damages in the following ways: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a buyout from Safeway;</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limiting her post-Safeway job search;</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resigning from her position with Telus;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choosing to retrain as an executive chef by taking vegan culinary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the result, they submit that past income loss should be limited to the losses up to when Ms. Evans left Telus and her loss of earning capacity damages should be reduced by 30% after reduction for negative contingencies.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A plaintiff in a personal injury action has a positive duty to mitigate, including actively pursuing job opportunities. A failure to mitigate loss of income can be found on the basis of a lack of diligent efforts to find alternative employment: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1148"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at para. 82, leave to appeal dismissed, </w:t>
      </w:r>
      <w:hyperlink r:id="rId1149"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 xml:space="preserve">. The plaintiff is obliged to take reasonable steps to find employment at a level he or she reasonably could have been expected to achieve in light of the injuries suffered as a result of the accident: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1150"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 282.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defendant bears the burden of establishing on a balance of probabilities: (1) that there were steps the plaintiff could have taken to mitigate; (2) that those steps were reasonable; and (3) the extent, if any, to which the loss would have been avoided by taking those steps: </w:t>
      </w:r>
      <w:r>
        <w:rPr>
          <w:rFonts w:ascii="arial" w:eastAsia="arial" w:hAnsi="arial" w:cs="arial"/>
          <w:i/>
          <w:color w:val="000000"/>
          <w:sz w:val="20"/>
          <w:lang w:val="en-US" w:eastAsia="en-US" w:bidi="ar-SA"/>
        </w:rPr>
        <w:t>Wright v. Mistry</w:t>
      </w:r>
      <w:r>
        <w:rPr>
          <w:rFonts w:ascii="arial" w:eastAsia="arial" w:hAnsi="arial" w:cs="arial"/>
          <w:color w:val="000000"/>
          <w:sz w:val="20"/>
          <w:lang w:val="en-US" w:eastAsia="en-US" w:bidi="ar-SA"/>
        </w:rPr>
        <w:t xml:space="preserve">, </w:t>
      </w:r>
      <w:hyperlink r:id="rId1151" w:history="1">
        <w:r>
          <w:rPr>
            <w:rFonts w:ascii="arial" w:eastAsia="arial" w:hAnsi="arial" w:cs="arial"/>
            <w:i/>
            <w:color w:val="0077CC"/>
            <w:sz w:val="20"/>
            <w:u w:val="single"/>
            <w:shd w:val="clear" w:color="auto" w:fill="FFFFFF"/>
            <w:lang w:val="en-US" w:eastAsia="en-US" w:bidi="ar-SA"/>
          </w:rPr>
          <w:t>2017 BCSC 239</w:t>
        </w:r>
      </w:hyperlink>
      <w:r>
        <w:rPr>
          <w:rFonts w:ascii="arial" w:eastAsia="arial" w:hAnsi="arial" w:cs="arial"/>
          <w:color w:val="000000"/>
          <w:sz w:val="20"/>
          <w:lang w:val="en-US" w:eastAsia="en-US" w:bidi="ar-SA"/>
        </w:rPr>
        <w:t xml:space="preserve"> at para. 103, citing </w:t>
      </w:r>
      <w:r>
        <w:rPr>
          <w:rFonts w:ascii="arial" w:eastAsia="arial" w:hAnsi="arial" w:cs="arial"/>
          <w:i/>
          <w:color w:val="000000"/>
          <w:sz w:val="20"/>
          <w:lang w:val="en-US" w:eastAsia="en-US" w:bidi="ar-SA"/>
        </w:rPr>
        <w:t>Lemieux v. Evers</w:t>
      </w:r>
      <w:r>
        <w:rPr>
          <w:rFonts w:ascii="arial" w:eastAsia="arial" w:hAnsi="arial" w:cs="arial"/>
          <w:color w:val="000000"/>
          <w:sz w:val="20"/>
          <w:lang w:val="en-US" w:eastAsia="en-US" w:bidi="ar-SA"/>
        </w:rPr>
        <w:t xml:space="preserve">, </w:t>
      </w:r>
      <w:hyperlink r:id="rId1152" w:history="1">
        <w:r>
          <w:rPr>
            <w:rFonts w:ascii="arial" w:eastAsia="arial" w:hAnsi="arial" w:cs="arial"/>
            <w:i/>
            <w:color w:val="0077CC"/>
            <w:sz w:val="20"/>
            <w:u w:val="single"/>
            <w:shd w:val="clear" w:color="auto" w:fill="FFFFFF"/>
            <w:lang w:val="en-US" w:eastAsia="en-US" w:bidi="ar-SA"/>
          </w:rPr>
          <w:t>2000 BCSC 1464</w:t>
        </w:r>
      </w:hyperlink>
      <w:r>
        <w:rPr>
          <w:rFonts w:ascii="arial" w:eastAsia="arial" w:hAnsi="arial" w:cs="arial"/>
          <w:color w:val="000000"/>
          <w:sz w:val="20"/>
          <w:lang w:val="en-US" w:eastAsia="en-US" w:bidi="ar-SA"/>
        </w:rPr>
        <w:t xml:space="preserve"> at para. 64. If the defendant establishes, on a balance of probabilities, that the plaintiff acted unreasonably, the determination as to the amount the plaintiff's damages would have been reduced as a result of him or her acting reasonably may involve hypothetical or future possibilities which the court will weigh according to the relative likelihood, where the possibility is real and substantial: </w:t>
      </w:r>
      <w:r>
        <w:rPr>
          <w:rFonts w:ascii="arial" w:eastAsia="arial" w:hAnsi="arial" w:cs="arial"/>
          <w:i/>
          <w:color w:val="000000"/>
          <w:sz w:val="20"/>
          <w:lang w:val="en-US" w:eastAsia="en-US" w:bidi="ar-SA"/>
        </w:rPr>
        <w:t>Gill v. Lai</w:t>
      </w:r>
      <w:r>
        <w:rPr>
          <w:rFonts w:ascii="arial" w:eastAsia="arial" w:hAnsi="arial" w:cs="arial"/>
          <w:color w:val="000000"/>
          <w:sz w:val="20"/>
          <w:lang w:val="en-US" w:eastAsia="en-US" w:bidi="ar-SA"/>
        </w:rPr>
        <w:t xml:space="preserve">, </w:t>
      </w:r>
      <w:hyperlink r:id="rId1153" w:history="1">
        <w:r>
          <w:rPr>
            <w:rFonts w:ascii="arial" w:eastAsia="arial" w:hAnsi="arial" w:cs="arial"/>
            <w:i/>
            <w:color w:val="0077CC"/>
            <w:sz w:val="20"/>
            <w:u w:val="single"/>
            <w:shd w:val="clear" w:color="auto" w:fill="FFFFFF"/>
            <w:lang w:val="en-US" w:eastAsia="en-US" w:bidi="ar-SA"/>
          </w:rPr>
          <w:t>2018 BCSC 101</w:t>
        </w:r>
      </w:hyperlink>
      <w:r>
        <w:rPr>
          <w:rFonts w:ascii="arial" w:eastAsia="arial" w:hAnsi="arial" w:cs="arial"/>
          <w:color w:val="000000"/>
          <w:sz w:val="20"/>
          <w:lang w:val="en-US" w:eastAsia="en-US" w:bidi="ar-SA"/>
        </w:rPr>
        <w:t xml:space="preserve"> at para. 73. In </w:t>
      </w:r>
      <w:r>
        <w:rPr>
          <w:rFonts w:ascii="arial" w:eastAsia="arial" w:hAnsi="arial" w:cs="arial"/>
          <w:i/>
          <w:color w:val="000000"/>
          <w:sz w:val="20"/>
          <w:lang w:val="en-US" w:eastAsia="en-US" w:bidi="ar-SA"/>
        </w:rPr>
        <w:t>Power v. Carswell</w:t>
      </w:r>
      <w:r>
        <w:rPr>
          <w:rFonts w:ascii="arial" w:eastAsia="arial" w:hAnsi="arial" w:cs="arial"/>
          <w:color w:val="000000"/>
          <w:sz w:val="20"/>
          <w:lang w:val="en-US" w:eastAsia="en-US" w:bidi="ar-SA"/>
        </w:rPr>
        <w:t xml:space="preserve">, </w:t>
      </w:r>
      <w:hyperlink r:id="rId1154" w:history="1">
        <w:r>
          <w:rPr>
            <w:rFonts w:ascii="arial" w:eastAsia="arial" w:hAnsi="arial" w:cs="arial"/>
            <w:i/>
            <w:color w:val="0077CC"/>
            <w:sz w:val="20"/>
            <w:u w:val="single"/>
            <w:shd w:val="clear" w:color="auto" w:fill="FFFFFF"/>
            <w:lang w:val="en-US" w:eastAsia="en-US" w:bidi="ar-SA"/>
          </w:rPr>
          <w:t>2011 BCSC 1672</w:t>
        </w:r>
      </w:hyperlink>
      <w:r>
        <w:rPr>
          <w:rFonts w:ascii="arial" w:eastAsia="arial" w:hAnsi="arial" w:cs="arial"/>
          <w:color w:val="000000"/>
          <w:sz w:val="20"/>
          <w:lang w:val="en-US" w:eastAsia="en-US" w:bidi="ar-SA"/>
        </w:rPr>
        <w:t xml:space="preserve"> at para. 220, the Court described the defendant's burden as heavy.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With regard to the first two steps, while the analysis is focussed on whether the plaintiff's actions have been reasonable, the analysis is not purely objective. The court should take into account the subjective knowledge of the plaintiff regarding the proposed alternative employment: </w:t>
      </w:r>
      <w:r>
        <w:rPr>
          <w:rFonts w:ascii="arial" w:eastAsia="arial" w:hAnsi="arial" w:cs="arial"/>
          <w:i/>
          <w:color w:val="000000"/>
          <w:sz w:val="20"/>
          <w:lang w:val="en-US" w:eastAsia="en-US" w:bidi="ar-SA"/>
        </w:rPr>
        <w:t>Gallina v. Honda Canada Finance Inc.</w:t>
      </w:r>
      <w:r>
        <w:rPr>
          <w:rFonts w:ascii="arial" w:eastAsia="arial" w:hAnsi="arial" w:cs="arial"/>
          <w:color w:val="000000"/>
          <w:sz w:val="20"/>
          <w:lang w:val="en-US" w:eastAsia="en-US" w:bidi="ar-SA"/>
        </w:rPr>
        <w:t xml:space="preserve">, </w:t>
      </w:r>
      <w:hyperlink r:id="rId1155" w:history="1">
        <w:r>
          <w:rPr>
            <w:rFonts w:ascii="arial" w:eastAsia="arial" w:hAnsi="arial" w:cs="arial"/>
            <w:i/>
            <w:color w:val="0077CC"/>
            <w:sz w:val="20"/>
            <w:u w:val="single"/>
            <w:shd w:val="clear" w:color="auto" w:fill="FFFFFF"/>
            <w:lang w:val="en-US" w:eastAsia="en-US" w:bidi="ar-SA"/>
          </w:rPr>
          <w:t>2014 BCSC 974</w:t>
        </w:r>
      </w:hyperlink>
      <w:r>
        <w:rPr>
          <w:rFonts w:ascii="arial" w:eastAsia="arial" w:hAnsi="arial" w:cs="arial"/>
          <w:color w:val="000000"/>
          <w:sz w:val="20"/>
          <w:lang w:val="en-US" w:eastAsia="en-US" w:bidi="ar-SA"/>
        </w:rPr>
        <w:t xml:space="preserve"> at para. 129. If the injuries the plaintiff has suffered, for example psychological injuries or a brain injury, are at the root of the alleged unreasonable behaviour, it will be inappropriate to make a deduction for failure to mitigate: </w:t>
      </w:r>
      <w:r>
        <w:rPr>
          <w:rFonts w:ascii="arial" w:eastAsia="arial" w:hAnsi="arial" w:cs="arial"/>
          <w:i/>
          <w:color w:val="000000"/>
          <w:sz w:val="20"/>
          <w:lang w:val="en-US" w:eastAsia="en-US" w:bidi="ar-SA"/>
        </w:rPr>
        <w:t>Mullens v. Toor</w:t>
      </w:r>
      <w:r>
        <w:rPr>
          <w:rFonts w:ascii="arial" w:eastAsia="arial" w:hAnsi="arial" w:cs="arial"/>
          <w:color w:val="000000"/>
          <w:sz w:val="20"/>
          <w:lang w:val="en-US" w:eastAsia="en-US" w:bidi="ar-SA"/>
        </w:rPr>
        <w:t xml:space="preserve">, </w:t>
      </w:r>
      <w:hyperlink r:id="rId1156" w:history="1">
        <w:r>
          <w:rPr>
            <w:rFonts w:ascii="arial" w:eastAsia="arial" w:hAnsi="arial" w:cs="arial"/>
            <w:i/>
            <w:color w:val="0077CC"/>
            <w:sz w:val="20"/>
            <w:u w:val="single"/>
            <w:shd w:val="clear" w:color="auto" w:fill="FFFFFF"/>
            <w:lang w:val="en-US" w:eastAsia="en-US" w:bidi="ar-SA"/>
          </w:rPr>
          <w:t>2016 BCSC 1645</w:t>
        </w:r>
      </w:hyperlink>
      <w:r>
        <w:rPr>
          <w:rFonts w:ascii="arial" w:eastAsia="arial" w:hAnsi="arial" w:cs="arial"/>
          <w:color w:val="000000"/>
          <w:sz w:val="20"/>
          <w:lang w:val="en-US" w:eastAsia="en-US" w:bidi="ar-SA"/>
        </w:rPr>
        <w:t xml:space="preserve"> at para. 123, aff'd </w:t>
      </w:r>
      <w:hyperlink r:id="rId1157" w:history="1">
        <w:r>
          <w:rPr>
            <w:rFonts w:ascii="arial" w:eastAsia="arial" w:hAnsi="arial" w:cs="arial"/>
            <w:i/>
            <w:color w:val="0077CC"/>
            <w:sz w:val="20"/>
            <w:u w:val="single"/>
            <w:shd w:val="clear" w:color="auto" w:fill="FFFFFF"/>
            <w:lang w:val="en-US" w:eastAsia="en-US" w:bidi="ar-SA"/>
          </w:rPr>
          <w:t>2017 BCCA 384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Litt v. Guo</w:t>
      </w:r>
      <w:r>
        <w:rPr>
          <w:rFonts w:ascii="arial" w:eastAsia="arial" w:hAnsi="arial" w:cs="arial"/>
          <w:color w:val="000000"/>
          <w:sz w:val="20"/>
          <w:lang w:val="en-US" w:eastAsia="en-US" w:bidi="ar-SA"/>
        </w:rPr>
        <w:t xml:space="preserve">, </w:t>
      </w:r>
      <w:hyperlink r:id="rId1158" w:history="1">
        <w:r>
          <w:rPr>
            <w:rFonts w:ascii="arial" w:eastAsia="arial" w:hAnsi="arial" w:cs="arial"/>
            <w:i/>
            <w:color w:val="0077CC"/>
            <w:sz w:val="20"/>
            <w:u w:val="single"/>
            <w:shd w:val="clear" w:color="auto" w:fill="FFFFFF"/>
            <w:lang w:val="en-US" w:eastAsia="en-US" w:bidi="ar-SA"/>
          </w:rPr>
          <w:t>2015 BCSC 2207</w:t>
        </w:r>
      </w:hyperlink>
      <w:r>
        <w:rPr>
          <w:rFonts w:ascii="arial" w:eastAsia="arial" w:hAnsi="arial" w:cs="arial"/>
          <w:color w:val="000000"/>
          <w:sz w:val="20"/>
          <w:lang w:val="en-US" w:eastAsia="en-US" w:bidi="ar-SA"/>
        </w:rPr>
        <w:t xml:space="preserve"> at paras. 415-16.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A plaintiff is not being reasonable in circumstances where he or she is not able to undertake pre-accident employment and insists on pursuing a line of work which he or she likes but which is not reasonable because it does not offer good employment opportunities, will require lengthy retraining compared to an alternative option, or does not provide comparable income as an available reasonable alternative would: see, for example, </w:t>
      </w:r>
      <w:r>
        <w:rPr>
          <w:rFonts w:ascii="arial" w:eastAsia="arial" w:hAnsi="arial" w:cs="arial"/>
          <w:i/>
          <w:color w:val="000000"/>
          <w:sz w:val="20"/>
          <w:lang w:val="en-US" w:eastAsia="en-US" w:bidi="ar-SA"/>
        </w:rPr>
        <w:t>Mullens</w:t>
      </w:r>
      <w:r>
        <w:rPr>
          <w:rFonts w:ascii="arial" w:eastAsia="arial" w:hAnsi="arial" w:cs="arial"/>
          <w:color w:val="000000"/>
          <w:sz w:val="20"/>
          <w:lang w:val="en-US" w:eastAsia="en-US" w:bidi="ar-SA"/>
        </w:rPr>
        <w:t xml:space="preserve"> at paras. 112-14.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Where the plaintiff does not take reasonable steps by pursuing employment that is not suitable, the trial judge, in assessing future loss of earning capacity, may take into account the earnings that would have been attained at reasonable employment, rather than from the employment the plaintiff has chosen to pursue. For example, in </w:t>
      </w:r>
      <w:r>
        <w:rPr>
          <w:rFonts w:ascii="arial" w:eastAsia="arial" w:hAnsi="arial" w:cs="arial"/>
          <w:i/>
          <w:color w:val="000000"/>
          <w:sz w:val="20"/>
          <w:lang w:val="en-US" w:eastAsia="en-US" w:bidi="ar-SA"/>
        </w:rPr>
        <w:t>Odian v. Carriere</w:t>
      </w:r>
      <w:r>
        <w:rPr>
          <w:rFonts w:ascii="arial" w:eastAsia="arial" w:hAnsi="arial" w:cs="arial"/>
          <w:color w:val="000000"/>
          <w:sz w:val="20"/>
          <w:lang w:val="en-US" w:eastAsia="en-US" w:bidi="ar-SA"/>
        </w:rPr>
        <w:t xml:space="preserve">, </w:t>
      </w:r>
      <w:hyperlink r:id="rId1159" w:history="1">
        <w:r>
          <w:rPr>
            <w:rFonts w:ascii="arial" w:eastAsia="arial" w:hAnsi="arial" w:cs="arial"/>
            <w:i/>
            <w:color w:val="0077CC"/>
            <w:sz w:val="20"/>
            <w:u w:val="single"/>
            <w:shd w:val="clear" w:color="auto" w:fill="FFFFFF"/>
            <w:lang w:val="en-US" w:eastAsia="en-US" w:bidi="ar-SA"/>
          </w:rPr>
          <w:t>2016 BCSC 112</w:t>
        </w:r>
      </w:hyperlink>
      <w:r>
        <w:rPr>
          <w:rFonts w:ascii="arial" w:eastAsia="arial" w:hAnsi="arial" w:cs="arial"/>
          <w:color w:val="000000"/>
          <w:sz w:val="20"/>
          <w:lang w:val="en-US" w:eastAsia="en-US" w:bidi="ar-SA"/>
        </w:rPr>
        <w:t xml:space="preserve">, the plaintiff could not work as a finishing carpenter due to her accident injuries, but was suited to work in the supervisory aspects of homebuilding. Medical professionals - an occupational therapist and a vocational expert - had recommended that course. Instead, the plaintiff decided to retrain as a bookkeeper. Mr. Justice Dley held that the plaintiff had established an entitlement to loss of earnings capacity, but compared her pre-accident earning capacity as a finishing carpenter with what she was deemed capable of earning post-accident as a homebuilder on modified duties, as recommended by the experts, rather than what she was capable of earning as a bookkeeper (see paras. 111-123). Dley J. also refused to award the plaintiff retraining expenses for the costs of retraining as a bookkeeper on the basis of the expert evidence that she was "best suited to continue as a home builder": </w:t>
      </w:r>
      <w:r>
        <w:rPr>
          <w:rFonts w:ascii="arial" w:eastAsia="arial" w:hAnsi="arial" w:cs="arial"/>
          <w:i/>
          <w:color w:val="000000"/>
          <w:sz w:val="20"/>
          <w:lang w:val="en-US" w:eastAsia="en-US" w:bidi="ar-SA"/>
        </w:rPr>
        <w:t>Odian</w:t>
      </w:r>
      <w:r>
        <w:rPr>
          <w:rFonts w:ascii="arial" w:eastAsia="arial" w:hAnsi="arial" w:cs="arial"/>
          <w:color w:val="000000"/>
          <w:sz w:val="20"/>
          <w:lang w:val="en-US" w:eastAsia="en-US" w:bidi="ar-SA"/>
        </w:rPr>
        <w:t xml:space="preserve"> at para. 133.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evidence shows that Ms. Evans was not able to do her job at Safeway without an unacceptable level of pain even on a part time basis. She made genuine efforts to her detriment in exacerbating her pain and headaches. After two years of trying, it was clear that she was not going to be able to go back to her produce manager position or work as she had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Keill and Ms. Abbott argue that the fact that she worked full time during the month prior to leaving Safeway on September 15, 2015 proves that she was continuing to improve and if she had not given up her employment at that time, she could still be working full time for Safeway.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This positon is undermined by the factual evidence and the expert opinion evidence. The factual evidence demonstrated that when she worked full time with lifting and reaching duties, she exacerbated her pain and headaches. She was able to work the last month because she was told that in order to qualify for the severance package, she must be present at her job but was not required to do anything that made her uncomfortable. This was not a work arrangement that was available to her except to qualify for the severance package. The medical evidence was that she is not fit for physically demanding work and her recovery has plateaued. There was no evidence that supports the contention that if she had simply kept at it, she would be able to do the grocery clerk job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Keill and Ms. Abbott also argue that there were other Safeway jobs available that were not physically demanding including positions in the meat department, in the flower department and in the bakery. Ms. Evans' evidence was that the flower department positions required employees to lift heavy buckets of water. The meat department and bakery were different union locals and paid less. In order to secure a position in these departments, Ms. Evans would have had to give up her seniority and her pay grade. With no seniority, she had a diminished ability to secure a position in these departments. Mr. Koehler, a Safeway store manager to whom Ms. Evans reported when she was the produce manager at the Davie Street store, testified that Ms. Evans was not eligible for such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addition, the defendants argue that in taking the buyout, Ms. Evans abandoned her grievance. They argue she should have taken a position in the meat department, floral department or the bakery and waited out the resolution of the grievance. The evidence from Ms. Evans was that there had been no activity on her grievance because the union was unwilling to pursue it unless she could physically do her produce manager job. As noted above, she had tried to "fudge" her way back into that job but Safeway did not accept that she could physically do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Finally, Ms. Keill and Ms. Abbott argue that Ms. Evans' took the buyout for financial reasons. Ms. Evans agrees. Her inability to do her job had resulted in a demotion where her pay was cut. She was not able to work full time. Her long-term disability benefits made up part of the difference, but they were about to terminate at the end of June 2015. Due to her reduced pay and the costs of her therapy to rehabilitate, she had fallen into debt even though she had moved out of a one bedroom apartment into a studio apartment. She saw the $60,000 buyout as a way to support herself through retraining.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At the time Ms. Evans left Safeway, her condition had improved and plateaued. I will review the evidence pertaining to Ms. Evans' vocational options with reference to her abilities and the medical evidence as of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physicians opined that Ms. Evans is capable of full time work so long as the position does not require heavy lifting (Dr. Waseem specified no more than 10 pounds); prolonged sitting; prolonged neck flexion; or strenuous physical activity (pushing, pulling and carrying). Although cross-examined, none of this expert evidence was undermined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Keill and Ms. Abbott focus on Dr. Heran's opinion that the soft tissue areas of pain would likely continue to improve. Dr. Heran stated "if major improvements are established with time, then she should be able to get back to her previous level of vocational functioning". This eventuality has not developed. On the evidence before me, I am of the view that it is not possible that Ms. Evans will be able to return to work as a produce manager or as a grocery clerk.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Evans tendered the expert reports of Mr. Jeff Padvaiskas, an occupational therapist who undertook a functional capacity evaluation of Ms. Evans in September 2015. He prepared a report after that evaluation and a supplementary report to take into account the lifting limitation of 10 pounds imposed by Dr. Waseem. He opined that the 10 pound strength limitation limits her to sedentary or limited strength occupations. The limits on neck posture and positioning impact her suitability for desk or computer based types of positions. He opined that if a position requires substantial sitting she should have ergonomic adaptations and/or intersperse her tasks to allow her to move around and take 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On cross-examination, Mr. Padvaiskas agreed that Ms. Evans could do sedentary work involving sitting or standing as long as she has a good ergonomic set up. Regardless of sitting or standing, she is not suited to work with awkward positions, non-neutral neck and back positions or work involving reaching, lifting or having her arms loaded.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parties relied on expert reports on vocational rehabilitation: Trevor Lesmeister for the plaintiff and Diane Cameron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Lesmeister opined that with Ms. Evans' limited education, including not graduating from high school and not having any other formal education, the loss of her ability to work in a physical capacity significantly narrows her pre-accident range of suitable positions. He provides examples of the type of work she can no longer consider such as a landscaper, housekeeper or painter.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Lesmeister opined that there are some suitable occupations within her pre-accident industry of retail such as a merchandiser, assistant store manager, or buyer. He opined that some of those may have physical requirements for which she would need accommodation. He opined it was not likely she would secure employment in these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Cameron criticized Mr. Lesmeister for ruling out work as a produce manager given Dr. Heran's opinion about the potential for improvement in her pain from her soft tissues injuries. For the reasons given above, I do not accept this to be a valid criticism. Ms. Cameron also opined that Ms. Evans is suited to retail management positions that are within her physical tolerances as they are categorized as limited strength requirements. Mr. Lesmeister's expressed the concern that notwithstanding the job classification of limited strength, some positions may involve carrying product or stocking shelves for which Ms. Evans would need accommodation. I agree with Ms. Cameron that this opinion is too sweepingly restrictive. Obviously, there will be some positions that are not suited to Ms. Evans, but there will be others that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Lesmeister opined precisely that later in his report when he gave some examples of occupations that are suitable such as retail sales: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note that Ms. Evans would be able to access these types of positions given her current education and functional limitations, there could be specific positions that had job demands that exceeded her physical capabilities. Therefore she would not be able to consider them as options and this would narrow the overall number of employment opportunities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Lesmeister opined that without further training, Ms. Evans is suited to work involving customer service such as retail sales, a casino worker or hotel front desk clerk. He opined that with further retraining she could improve her options to obtain a higher paying position (but not as high as a produce manager position), such as sales representative, event planner, retail supervisor or office administrator.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Lesmeister prepared a second report in which he was asked to provide an opinion on the suitability of Ms. Evans to participate in a one year culinary arts program. He opined that this would fit within her vocational capacity but he deferred to a functional capacity expert on the issue of whether she has the functional capacity to undertake such a program. Such an opinion was not proffered.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Ms. Cameron criticized Mr. Lesmeister for only providing the median hourly wages for the jobs he opined are open to Ms. Evans. Ms. Cameron provided the low, median and high wage rates for these positions. For some of these positions, the range between the low and high rate is so great that they do not add any meaningful information. Having said that, it is helpful to know the ranges for the purpose of addressing contingencies in loss of earning capacity as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Cameron also disagreed with Mr. Lesmeister's opinion that Ms. Evans is more suited to shorter hands-on retraining programs of one year in duration or less. Ms. Cameron opined that Ms. Evans has the general learning ability for training programs up to two years in duration. In addition, Ms. Cameron criticized Mr. Lesmeister's choice of expensive retraining programs. However, admission to the Capilano University program that Ms. Cameron recommends requires grade 12 graduation and so is not suitable.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After leaving Safeway, in September 2015, Ms. Evans did not begin looking for replacement work for three months, 38 days of which was spent on an extended holiday. She then commenced working with a career counsellor to put together a </w:t>
      </w:r>
      <w:r>
        <w:rPr>
          <w:rFonts w:ascii="arial" w:eastAsia="arial" w:hAnsi="arial" w:cs="arial"/>
          <w:i/>
          <w:color w:val="000000"/>
          <w:sz w:val="20"/>
          <w:lang w:val="en-US" w:eastAsia="en-US" w:bidi="ar-SA"/>
        </w:rPr>
        <w:t>curriculum vitae</w:t>
      </w:r>
      <w:r>
        <w:rPr>
          <w:rFonts w:ascii="arial" w:eastAsia="arial" w:hAnsi="arial" w:cs="arial"/>
          <w:color w:val="000000"/>
          <w:sz w:val="20"/>
          <w:lang w:val="en-US" w:eastAsia="en-US" w:bidi="ar-SA"/>
        </w:rPr>
        <w:t xml:space="preserve"> and look for work. She made numerous job applications in the retail area and the wine industry. She only had one interview. In February 2016, she was offered a part-time job with Telus as a telephone customer service operator. She took the position, even though it was not the type of job she wanted to do, so that she could support herself financially while she continued to consider options for a rewarding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 break from work to rehabilitate, consider future options and undertake a certain period of job hunting is reasonable. In my view, Ms. Evans' five month break and job search was too long. The evidence was that from the time she started searching for a job to the time she attained the Telus position was two months. I conclude that had she acted reasonably, she could have had a job within three months after leaving Safeway.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With regard to her employment at Telus, the defence argues that Ms. Evans resigned because she did not like the job, not because she could not do the job. They argue that the ergonomic accommodations at Telus were appropriate for her. They submit that it was unreasonable for her to leave a unionized job with benefits and a pension without having another job to go to. They submit that I should not accept that the job caused exacerbation of her neck pain and headaches because the evidence on the point is only that of Ms.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have already addressed that I find Ms. Evans to be credible. I accept her evidence that she had increased pain because despite the ergonomic set up there were prolonged periods when her neck was flexed forward. Her evidence is supported by the evidence of a co-worker who witnessed pain behaviour, and her husband, who was a friend at the time, who saw that she was in pain after her shifts. He described that she would cancel plans because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also accept that the fact that Ms. Evans did not like the work at Telus played a role in her decision to resign. She took the job knowing it was not her preference but with a plan to find work that she would like while working part time at Telus. She was assigned full time shifts. She asked for part time shifts but there was no change. In my view, the fact that she was prepared to take a job that was not the type of work she wanted to do demonstrates that she is not trying to make the defendants pay for her to find a job she likes. I find that the exacerbation of her neck pain and headaches, the related onset of another depressive episode, and the fact that the work was full time so she had no break to recover and look for alternate work, were significant factors in her decision to resign. I find the decision to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Evans left Telus in December 2016. She has not worked since. Rather, she has been training to become a chef. There was a four month gap between leaving Telus and enrolling in her first raw cuisine, which she had to discontinue after the first month due to being injured by a knife. She completed the first course in July 2017. She took the second course and completed it in August 2017. She enrolled in the next course in January 2018, but had to discontinue that course due to neck pain and headaches. In that course, there was less classroom work and more kitchen work than the first two courses. She is working on rehabilitation with the goal to be able to complete the course in the summer of 2018. She then plans to take a final raw food course. Following that, she will take two courses in traditional culinary training. Her evidence was that once the training work became kitchen-oriented, she experienced a recurrence of neck pain and headaches. This is consistent with the evidence that even with an ergonomic set up at Telus, Ms. Evans found that she had neck and back pain due to the postures she needed to maintain and the pace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Evans testified that she does not think she will be able to work as a chef in a restaurant but believes she could be a personal chef or teach cooking. There was no evidence to demonstrate that type of chef work would accommodate her neck pain and headache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Evans' damages claim are premised on the assumption that starting in January 2019, she will be in a position to seek employment as a chef. This assumes that she will not complete the traditional chef training because she will not finish her raw food training until some time in mid to late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Keill and Ms. Abbott argue that she has led no evidence about the earnings of a chef. It is true that Ms. Evans' evidence was simply that she felt there was a good niche for raw cuisine chefs in California. She has led evidence, through her expert economist, Mr. Benning, of chef wages in Canada. It is not clear on the evidence whether Ms. Evans plans to work in California or Canada but she plans to take all of her training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On the issue of mitigation, I conclude that the defendants have shown that Ms. Evans has not acted reasonably since she decided to pursue becoming a chef given how much of the work inherently involves standing with a flexed neck posture. She started in a niche area, raw cuisine. Between leaving Telus in December 2016 and trial in April 2018, a period of 16 months, she has completed two months of coursework. She has another two months to complete. At the time of trial, she had discontinued her third course because of her neck and back pain. Given her experience with work that exacerbates her neck pain and headaches, it is not reasonable for her to think that more rehabilitation at this time will make this work feasible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their submissions, each party argued that the other bears certain evidentiary burdens that relate to mitigation that have not been met. Counsel for the defendants asserted that the plaintiff bears the burden on past income loss and loss of earning capacity, including proving what work she is capable of doing and what loss is occasioned. Counsel for the plaintiff submitted that the defendants bear the burden of proving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accept that Ms. Evans bears the burden in proving what her losses are. For loss of past income and loss of earning capacity, that means showing the difference between what Ms. Evans would have earned had the accident not occurred, and what she has earned and/or how her capacity has been diminished. She is entitled to do that based on her theory of the case, which is that absent the accident she would have continued to work at Safeway as a produce manager and her earning capacity has been diminished by the difference between her career at Safeway and what she will earn as a chef. She has led evidence on all of these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accept that the defendants bear the burden of proving failure to mitigate. As stated in Graham,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Mitigation goes to limit recovery based on an unreasonable failure of the injured party to take reasonable steps to limit his or her loss. A plaintiff in a personal injury action has a positive duty to mitigate but if a defendant's position is that a plaintiff could reasonably have avoided some part of the loss, the defendant bears the onus of proof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Proving Ms. Evans could reasonably have avoided some part of her loss requires demonstration that Ms. Evans failed to pursue reasonable opportunities available to her. The factual context is such that this exercise is necessarily hypothetical and a matter of considering possibilities. The vocational evidence led by both parties is evidence of what other options she could have pursued, as is Ms. Evans' own evidence, including her interest in retail work and the wine industry. The evidence as a whole discharges the defendants' burden to prove that there were reasonable alternatives to mitigate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Conclusion on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Evans has acted reasonably except with regard to the length of time she took to find replacement work after leaving Safeway and her efforts to retrain after leaving Telus, especially after she learned that chef work exacerbates her neck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vocational evidence was that Ms. Evans is suited to training programs of one to two years in length. I conclude that two years (24 months), including time for a job search, represents a reasonable vocational retraining period for Ms. Evans. The total time that Ms. Evans has been unemployed since leaving Safeway, excluding the time she worked for Telus, was approximately 21 months up to the time of trial in April 2018. Three additional months from trial exhausts the two year retraining period. This occurs in July 2018. As will be discussed below, Mr. Benning, her expert economist, calculated her loss of earning capacity assuming she commences employment as a chef in 2019. If she commences working in January 2019, her time to retrain and find a new job will have exceeded what I have concluded is reasonable by about six months. I will take two months into account when assessing her past loss of income and four months into account in assessing her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fundamental principle of compensation in personal injury cases is that a plaintiff should receive full and fair compensation, calculated to place them in the same position as they would have been had the tort not been committed, insofar as this can be achieved by a monetary award: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1160"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167, citing </w:t>
      </w:r>
      <w:r>
        <w:rPr>
          <w:rFonts w:ascii="arial" w:eastAsia="arial" w:hAnsi="arial" w:cs="arial"/>
          <w:i/>
          <w:color w:val="000000"/>
          <w:sz w:val="20"/>
          <w:lang w:val="en-US" w:eastAsia="en-US" w:bidi="ar-SA"/>
        </w:rPr>
        <w:t>Ratych v. Bloomer</w:t>
      </w:r>
      <w:r>
        <w:rPr>
          <w:rFonts w:ascii="arial" w:eastAsia="arial" w:hAnsi="arial" w:cs="arial"/>
          <w:color w:val="000000"/>
          <w:sz w:val="20"/>
          <w:lang w:val="en-US" w:eastAsia="en-US" w:bidi="ar-SA"/>
        </w:rPr>
        <w:t xml:space="preserve">, </w:t>
      </w:r>
      <w:hyperlink r:id="rId1161" w:history="1">
        <w:r>
          <w:rPr>
            <w:rFonts w:ascii="arial" w:eastAsia="arial" w:hAnsi="arial" w:cs="arial"/>
            <w:i/>
            <w:color w:val="0077CC"/>
            <w:sz w:val="20"/>
            <w:u w:val="single"/>
            <w:shd w:val="clear" w:color="auto" w:fill="FFFFFF"/>
            <w:lang w:val="en-US" w:eastAsia="en-US" w:bidi="ar-SA"/>
          </w:rPr>
          <w:t>[1990] 1 S.C.R. 940</w:t>
        </w:r>
      </w:hyperlink>
      <w:r>
        <w:rPr>
          <w:rFonts w:ascii="arial" w:eastAsia="arial" w:hAnsi="arial" w:cs="arial"/>
          <w:color w:val="000000"/>
          <w:sz w:val="20"/>
          <w:lang w:val="en-US" w:eastAsia="en-US" w:bidi="ar-SA"/>
        </w:rPr>
        <w:t xml:space="preserve"> at 962-63.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This principle is accomplished by awarding damages for pecuniary loss in the amount reasonably required to permit a standard of living and day to day functionality that, to the extent possible, approximates what the plaintiff would have experienced but for the wrong they were subjected to. Non-pecuniary damages are assessed to compensate for pain, suffering, and loss of enjoyment of life both prior to trial and into the future having ensured that the pecuniary losses are appropriately compensated and will not erode the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a trilogy of cases decided in 1978, the Supreme Court of Canada set a rough upper limit of $100,000 (in 1978 dollars) for non-pecuniary damages based on the premise that pecuniary damages are fully compensated: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07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261-62; </w:t>
      </w:r>
      <w:r>
        <w:rPr>
          <w:rFonts w:ascii="arial" w:eastAsia="arial" w:hAnsi="arial" w:cs="arial"/>
          <w:i/>
          <w:color w:val="000000"/>
          <w:sz w:val="20"/>
          <w:lang w:val="en-US" w:eastAsia="en-US" w:bidi="ar-SA"/>
        </w:rPr>
        <w:t>Arnold v. Teno</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at 333-34; and </w:t>
      </w:r>
      <w:r>
        <w:rPr>
          <w:rFonts w:ascii="arial" w:eastAsia="arial" w:hAnsi="arial" w:cs="arial"/>
          <w:i/>
          <w:color w:val="000000"/>
          <w:sz w:val="20"/>
          <w:lang w:val="en-US" w:eastAsia="en-US" w:bidi="ar-SA"/>
        </w:rPr>
        <w:t>Thornton (Next friend of) v. Prince George School District et al.</w:t>
      </w:r>
      <w:r>
        <w:rPr>
          <w:rFonts w:ascii="arial" w:eastAsia="arial" w:hAnsi="arial" w:cs="arial"/>
          <w:color w:val="000000"/>
          <w:sz w:val="20"/>
          <w:lang w:val="en-US" w:eastAsia="en-US" w:bidi="ar-SA"/>
        </w:rPr>
        <w:t xml:space="preserve">, </w:t>
      </w:r>
      <w:hyperlink r:id="rId1162"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at 270. In 2018, the rough upper limit, adjusted for inflation, is $382,681.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premise on which the rough upper limit was set demonstrates that while the heads of damages are to be assessed individually, they are also interlocking. In particular, the future needs of the plaintiff must be met through the pecuniary awards so that the balance struck between restorative care awards and policy-driven non-pecuniary damages will be achieved.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07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Court of Appeal set out a non-exhaustive list of factors to consider when assessing non-pecuniary damages: age of the plaintiff; nature of the injury; severity and duration of pain; disability; emotional suffering; loss or impairment of life;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have concluded that as a result of the accident, Ms. Evans has suffered pain and a loss of enjoyment of life, which will continue into the foreseeable future and from which she is unlikely to ever fully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As a result of the injuries she sustained in the accident, Ms. Evans suffered from soft tissue injuries to her mid-back, upper back, neck and shoulder. She now has chronic pain in her neck and upper back. The pain is exacerbated by lifting and many different postures, including sitting, standing, certain neck angles and some yoga postures. It is exacerbated by physical activities where her neck or back bears weight, or involves lifting or working with her arms above a certain height. She experiences headaches and migraines. Over the course of two years after the accident the pain has gradually improved by about 60% but has plateaued at its present level. It is permanent and not likely to improve. She has been prescribed analgesics and has taken over-the-counter medications to cope with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Before the accident, Ms. Evans' mood was good and she enjoyed being physically active and social. She hiked several times a week, sometimes with friends, and regularly did yoga. She had a career that she enjoyed and was justifiably proud of given her eligibility for further promotion and that she achieved it without graduating high school. Her injuries rendered her unable to do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Due to the accident injuries, Ms. Evans suffered two major depressive episodes and somatic symptom disorder. She withdrew socially from her friends. She attempted suicide twice. She drank excessively.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Overall, Ms. Evans' life is very different from what she enjoyed prior to the accident. However, after a significant and challenging struggle, she has reworked her life into a place where she is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most significant of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in this case are Ms. Evans' age; the severity and duration of the pain; the impairment of her physical abilities; her associated loss of lifestyle; and the impairment of her relationships. Ms. Evans is relatively young. She was 34 years old at the time of the accident and she was 39 years old at trial. She faces the prospect of a lifetime of chronic pain and associated functional limitations. One of the most significant impacts of her injuries has been the impact on her ability to do her job as a produce manager, which she enjoyed and which was a source of pride.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It is typical for courts to consider cases in which the plaintiff has suffered injuries similar in nature and duration to those of the plaintiff in the case at bar. Such cases act as a guideline, but should not be used to develop a "tariff" for injuries of a certain type: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1163"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Similar injuries may not have similar consequences for the injured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 considered the following cases relied on by Ms. Evans concerning the appropriate quantum of non-pecuniary damages: </w:t>
      </w:r>
      <w:r>
        <w:rPr>
          <w:rFonts w:ascii="arial" w:eastAsia="arial" w:hAnsi="arial" w:cs="arial"/>
          <w:i/>
          <w:color w:val="000000"/>
          <w:sz w:val="20"/>
          <w:lang w:val="en-US" w:eastAsia="en-US" w:bidi="ar-SA"/>
        </w:rPr>
        <w:t>Alafianpour-Esfahani v. Jolliffe</w:t>
      </w:r>
      <w:r>
        <w:rPr>
          <w:rFonts w:ascii="arial" w:eastAsia="arial" w:hAnsi="arial" w:cs="arial"/>
          <w:color w:val="000000"/>
          <w:sz w:val="20"/>
          <w:lang w:val="en-US" w:eastAsia="en-US" w:bidi="ar-SA"/>
        </w:rPr>
        <w:t xml:space="preserve">, </w:t>
      </w:r>
      <w:hyperlink r:id="rId1164" w:history="1">
        <w:r>
          <w:rPr>
            <w:rFonts w:ascii="arial" w:eastAsia="arial" w:hAnsi="arial" w:cs="arial"/>
            <w:i/>
            <w:color w:val="0077CC"/>
            <w:sz w:val="20"/>
            <w:u w:val="single"/>
            <w:shd w:val="clear" w:color="auto" w:fill="FFFFFF"/>
            <w:lang w:val="en-US" w:eastAsia="en-US" w:bidi="ar-SA"/>
          </w:rPr>
          <w:t>2017 BCSC 701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2007 BCSC 533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1165"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Herman v. Paley</w:t>
      </w:r>
      <w:r>
        <w:rPr>
          <w:rFonts w:ascii="arial" w:eastAsia="arial" w:hAnsi="arial" w:cs="arial"/>
          <w:color w:val="000000"/>
          <w:sz w:val="20"/>
          <w:lang w:val="en-US" w:eastAsia="en-US" w:bidi="ar-SA"/>
        </w:rPr>
        <w:t xml:space="preserve">, </w:t>
      </w:r>
      <w:hyperlink r:id="rId1166" w:history="1">
        <w:r>
          <w:rPr>
            <w:rFonts w:ascii="arial" w:eastAsia="arial" w:hAnsi="arial" w:cs="arial"/>
            <w:i/>
            <w:color w:val="0077CC"/>
            <w:sz w:val="20"/>
            <w:u w:val="single"/>
            <w:shd w:val="clear" w:color="auto" w:fill="FFFFFF"/>
            <w:lang w:val="en-US" w:eastAsia="en-US" w:bidi="ar-SA"/>
          </w:rPr>
          <w:t>2017 BCSC 728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Leach v. Jesson</w:t>
      </w:r>
      <w:r>
        <w:rPr>
          <w:rFonts w:ascii="arial" w:eastAsia="arial" w:hAnsi="arial" w:cs="arial"/>
          <w:color w:val="000000"/>
          <w:sz w:val="20"/>
          <w:lang w:val="en-US" w:eastAsia="en-US" w:bidi="ar-SA"/>
        </w:rPr>
        <w:t xml:space="preserve">, </w:t>
      </w:r>
      <w:hyperlink r:id="rId1167" w:history="1">
        <w:r>
          <w:rPr>
            <w:rFonts w:ascii="arial" w:eastAsia="arial" w:hAnsi="arial" w:cs="arial"/>
            <w:i/>
            <w:color w:val="0077CC"/>
            <w:sz w:val="20"/>
            <w:u w:val="single"/>
            <w:shd w:val="clear" w:color="auto" w:fill="FFFFFF"/>
            <w:lang w:val="en-US" w:eastAsia="en-US" w:bidi="ar-SA"/>
          </w:rPr>
          <w:t>2017 BCSC 577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1082"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S.R. v. Trasolini</w:t>
      </w:r>
      <w:r>
        <w:rPr>
          <w:rFonts w:ascii="arial" w:eastAsia="arial" w:hAnsi="arial" w:cs="arial"/>
          <w:color w:val="000000"/>
          <w:sz w:val="20"/>
          <w:lang w:val="en-US" w:eastAsia="en-US" w:bidi="ar-SA"/>
        </w:rPr>
        <w:t xml:space="preserve">, </w:t>
      </w:r>
      <w:hyperlink r:id="rId1168" w:history="1">
        <w:r>
          <w:rPr>
            <w:rFonts w:ascii="arial" w:eastAsia="arial" w:hAnsi="arial" w:cs="arial"/>
            <w:i/>
            <w:color w:val="0077CC"/>
            <w:sz w:val="20"/>
            <w:u w:val="single"/>
            <w:shd w:val="clear" w:color="auto" w:fill="FFFFFF"/>
            <w:lang w:val="en-US" w:eastAsia="en-US" w:bidi="ar-SA"/>
          </w:rPr>
          <w:t>2013 BCSC 1135</w:t>
        </w:r>
      </w:hyperlink>
      <w:r>
        <w:rPr>
          <w:rFonts w:ascii="arial" w:eastAsia="arial" w:hAnsi="arial" w:cs="arial"/>
          <w:color w:val="000000"/>
          <w:sz w:val="20"/>
          <w:lang w:val="en-US" w:eastAsia="en-US" w:bidi="ar-SA"/>
        </w:rPr>
        <w:t xml:space="preserve">. Ms. Evans submits that the appropriate range for nonpecuniary damages is between $110,000 and $130,000. I have considered the cases relied on by the defendants: </w:t>
      </w:r>
      <w:r>
        <w:rPr>
          <w:rFonts w:ascii="arial" w:eastAsia="arial" w:hAnsi="arial" w:cs="arial"/>
          <w:i/>
          <w:color w:val="000000"/>
          <w:sz w:val="20"/>
          <w:lang w:val="en-US" w:eastAsia="en-US" w:bidi="ar-SA"/>
        </w:rPr>
        <w:t>Lourenco v. Pham</w:t>
      </w:r>
      <w:r>
        <w:rPr>
          <w:rFonts w:ascii="arial" w:eastAsia="arial" w:hAnsi="arial" w:cs="arial"/>
          <w:color w:val="000000"/>
          <w:sz w:val="20"/>
          <w:lang w:val="en-US" w:eastAsia="en-US" w:bidi="ar-SA"/>
        </w:rPr>
        <w:t xml:space="preserve">, </w:t>
      </w:r>
      <w:hyperlink r:id="rId1169" w:history="1">
        <w:r>
          <w:rPr>
            <w:rFonts w:ascii="arial" w:eastAsia="arial" w:hAnsi="arial" w:cs="arial"/>
            <w:i/>
            <w:color w:val="0077CC"/>
            <w:sz w:val="20"/>
            <w:u w:val="single"/>
            <w:shd w:val="clear" w:color="auto" w:fill="FFFFFF"/>
            <w:lang w:val="en-US" w:eastAsia="en-US" w:bidi="ar-SA"/>
          </w:rPr>
          <w:t>2013 BCSC 2090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Blackman v. Dha</w:t>
      </w:r>
      <w:r>
        <w:rPr>
          <w:rFonts w:ascii="arial" w:eastAsia="arial" w:hAnsi="arial" w:cs="arial"/>
          <w:color w:val="000000"/>
          <w:sz w:val="20"/>
          <w:lang w:val="en-US" w:eastAsia="en-US" w:bidi="ar-SA"/>
        </w:rPr>
        <w:t xml:space="preserve">, </w:t>
      </w:r>
      <w:hyperlink r:id="rId1170" w:history="1">
        <w:r>
          <w:rPr>
            <w:rFonts w:ascii="arial" w:eastAsia="arial" w:hAnsi="arial" w:cs="arial"/>
            <w:i/>
            <w:color w:val="0077CC"/>
            <w:sz w:val="20"/>
            <w:u w:val="single"/>
            <w:shd w:val="clear" w:color="auto" w:fill="FFFFFF"/>
            <w:lang w:val="en-US" w:eastAsia="en-US" w:bidi="ar-SA"/>
          </w:rPr>
          <w:t>2015 BCSC 698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 v. Moshrefzadeh</w:t>
      </w:r>
      <w:r>
        <w:rPr>
          <w:rFonts w:ascii="arial" w:eastAsia="arial" w:hAnsi="arial" w:cs="arial"/>
          <w:color w:val="000000"/>
          <w:sz w:val="20"/>
          <w:lang w:val="en-US" w:eastAsia="en-US" w:bidi="ar-SA"/>
        </w:rPr>
        <w:t xml:space="preserve">, </w:t>
      </w:r>
      <w:hyperlink r:id="rId1171" w:history="1">
        <w:r>
          <w:rPr>
            <w:rFonts w:ascii="arial" w:eastAsia="arial" w:hAnsi="arial" w:cs="arial"/>
            <w:i/>
            <w:color w:val="0077CC"/>
            <w:sz w:val="20"/>
            <w:u w:val="single"/>
            <w:shd w:val="clear" w:color="auto" w:fill="FFFFFF"/>
            <w:lang w:val="en-US" w:eastAsia="en-US" w:bidi="ar-SA"/>
          </w:rPr>
          <w:t>2012 BCSC 1458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Montgomery v. Williamson</w:t>
      </w:r>
      <w:r>
        <w:rPr>
          <w:rFonts w:ascii="arial" w:eastAsia="arial" w:hAnsi="arial" w:cs="arial"/>
          <w:color w:val="000000"/>
          <w:sz w:val="20"/>
          <w:lang w:val="en-US" w:eastAsia="en-US" w:bidi="ar-SA"/>
        </w:rPr>
        <w:t xml:space="preserve">, </w:t>
      </w:r>
      <w:hyperlink r:id="rId1172" w:history="1">
        <w:r>
          <w:rPr>
            <w:rFonts w:ascii="arial" w:eastAsia="arial" w:hAnsi="arial" w:cs="arial"/>
            <w:i/>
            <w:color w:val="0077CC"/>
            <w:sz w:val="20"/>
            <w:u w:val="single"/>
            <w:shd w:val="clear" w:color="auto" w:fill="FFFFFF"/>
            <w:lang w:val="en-US" w:eastAsia="en-US" w:bidi="ar-SA"/>
          </w:rPr>
          <w:t>2015 BCSC 792</w:t>
        </w:r>
      </w:hyperlink>
      <w:r>
        <w:rPr>
          <w:rFonts w:ascii="arial" w:eastAsia="arial" w:hAnsi="arial" w:cs="arial"/>
          <w:color w:val="000000"/>
          <w:sz w:val="20"/>
          <w:lang w:val="en-US" w:eastAsia="en-US" w:bidi="ar-SA"/>
        </w:rPr>
        <w:t>. These cases produce a range of $54,000-$99,000 in 2018 index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the 51-year-old plaintiff was injured in a tractor accident. He suffered injuries to his upper back and neck including thoracic outlet syndrome, myofascial pain syndrome to his neck, and strain of ligaments in the thoracic section. He had chronic pain and permanent headaches. He continued to work at his very physical job with some modifications but would finish work in considerable pain. His ability to participate in recreational activities was curtailed but he continued to do some. The jury awarded him non-pecuniary damages of $275,000 which the Court of Appeal reduced to $175,000. The Court of Appeal said that the case had special circumstances in that he was a rancher whose occupation was threatened by his injuries. If he could not work as a rancher, he and his family would lose their way of life and community. Had the case not had that feature, the appropriate award would have been $100,000. The plaintiff had thoracic outlet syndrome in addition to the physical injuries which were similar to the plaintiff in this case. He did not have psychological injuries or emotional upset like the plaintiff here. He was able to be more active recreationally. He was approximately 15 years older than Ms.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Scelsa v. Taylor</w:t>
      </w:r>
      <w:r>
        <w:rPr>
          <w:rFonts w:ascii="arial" w:eastAsia="arial" w:hAnsi="arial" w:cs="arial"/>
          <w:color w:val="000000"/>
          <w:sz w:val="20"/>
          <w:lang w:val="en-US" w:eastAsia="en-US" w:bidi="ar-SA"/>
        </w:rPr>
        <w:t xml:space="preserve">, </w:t>
      </w:r>
      <w:hyperlink r:id="rId1173" w:history="1">
        <w:r>
          <w:rPr>
            <w:rFonts w:ascii="arial" w:eastAsia="arial" w:hAnsi="arial" w:cs="arial"/>
            <w:i/>
            <w:color w:val="0077CC"/>
            <w:sz w:val="20"/>
            <w:u w:val="single"/>
            <w:shd w:val="clear" w:color="auto" w:fill="FFFFFF"/>
            <w:lang w:val="en-US" w:eastAsia="en-US" w:bidi="ar-SA"/>
          </w:rPr>
          <w:t>2016 BCSC 1122</w:t>
        </w:r>
      </w:hyperlink>
      <w:r>
        <w:rPr>
          <w:rFonts w:ascii="arial" w:eastAsia="arial" w:hAnsi="arial" w:cs="arial"/>
          <w:color w:val="000000"/>
          <w:sz w:val="20"/>
          <w:lang w:val="en-US" w:eastAsia="en-US" w:bidi="ar-SA"/>
        </w:rPr>
        <w:t xml:space="preserve"> also has similar features to the present case. The plaintiff was 43 years old at the time of trial and 40 at the time of the accident. The injuries and their sequelae are similar except for in two ways: in </w:t>
      </w:r>
      <w:r>
        <w:rPr>
          <w:rFonts w:ascii="arial" w:eastAsia="arial" w:hAnsi="arial" w:cs="arial"/>
          <w:i/>
          <w:color w:val="000000"/>
          <w:sz w:val="20"/>
          <w:lang w:val="en-US" w:eastAsia="en-US" w:bidi="ar-SA"/>
        </w:rPr>
        <w:t>Scelsa</w:t>
      </w:r>
      <w:r>
        <w:rPr>
          <w:rFonts w:ascii="arial" w:eastAsia="arial" w:hAnsi="arial" w:cs="arial"/>
          <w:color w:val="000000"/>
          <w:sz w:val="20"/>
          <w:lang w:val="en-US" w:eastAsia="en-US" w:bidi="ar-SA"/>
        </w:rPr>
        <w:t xml:space="preserve"> the plaintiff had cervical facet arthroplasty (pain originating from facet joints); and the plaintiff's depression in that case was not as severe as the two major depressive episodes Ms. Evans has had. Mr. Justice Brown determined that an award of $125,000 was fair and reasonable. In the course of doing so, he reviewed authorities where the plaintiff suffered from myofascial soft tissue injuries (some also included herniated discs or facet joint pain) and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[234] ... The higher range of cases exhibit more intense iterations of depression such as social isolation or significant loss of social contact and an impact on significant other persons in the plaintiff's life such as children and spouses. Chronic myofascial pain, permanent or significant loss of work previously highly valued by the plaintiff and/or significant loss of earning capacity also mark cases in the range of $100,000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comments made by Brown J. in </w:t>
      </w:r>
      <w:r>
        <w:rPr>
          <w:rFonts w:ascii="arial" w:eastAsia="arial" w:hAnsi="arial" w:cs="arial"/>
          <w:i/>
          <w:color w:val="000000"/>
          <w:sz w:val="20"/>
          <w:lang w:val="en-US" w:eastAsia="en-US" w:bidi="ar-SA"/>
        </w:rPr>
        <w:t>Scelsa</w:t>
      </w:r>
      <w:r>
        <w:rPr>
          <w:rFonts w:ascii="arial" w:eastAsia="arial" w:hAnsi="arial" w:cs="arial"/>
          <w:color w:val="000000"/>
          <w:sz w:val="20"/>
          <w:lang w:val="en-US" w:eastAsia="en-US" w:bidi="ar-SA"/>
        </w:rPr>
        <w:t xml:space="preserve"> are apt and apply to the consideration I have undertaken of the cases on which Ms. Evans relies.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 turn to the cases relied on by the defendants. In </w:t>
      </w:r>
      <w:r>
        <w:rPr>
          <w:rFonts w:ascii="arial" w:eastAsia="arial" w:hAnsi="arial" w:cs="arial"/>
          <w:i/>
          <w:color w:val="000000"/>
          <w:sz w:val="20"/>
          <w:lang w:val="en-US" w:eastAsia="en-US" w:bidi="ar-SA"/>
        </w:rPr>
        <w:t>Lourenco</w:t>
      </w:r>
      <w:r>
        <w:rPr>
          <w:rFonts w:ascii="arial" w:eastAsia="arial" w:hAnsi="arial" w:cs="arial"/>
          <w:color w:val="000000"/>
          <w:sz w:val="20"/>
          <w:lang w:val="en-US" w:eastAsia="en-US" w:bidi="ar-SA"/>
        </w:rPr>
        <w:t>, the plaintiff suffered ongoing chronic pain in her neck and upper back. There was no discussion of a psychological injury. The Court's discussion of its reasons for non-pecuniary damages, other than the causation issues, was very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my view, this case is an outlier. All of the cases cited by Ms. Evans involving chronic limiting pain of this type have awards above $100,000 and all of the cases cited by the defendants have awards above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Blackman</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the plaintiffs' physical symptoms were similar to Ms. Evans', however in </w:t>
      </w:r>
      <w:r>
        <w:rPr>
          <w:rFonts w:ascii="arial" w:eastAsia="arial" w:hAnsi="arial" w:cs="arial"/>
          <w:i/>
          <w:color w:val="000000"/>
          <w:sz w:val="20"/>
          <w:lang w:val="en-US" w:eastAsia="en-US" w:bidi="ar-SA"/>
        </w:rPr>
        <w:t>Blackman</w:t>
      </w:r>
      <w:r>
        <w:rPr>
          <w:rFonts w:ascii="arial" w:eastAsia="arial" w:hAnsi="arial" w:cs="arial"/>
          <w:color w:val="000000"/>
          <w:sz w:val="20"/>
          <w:lang w:val="en-US" w:eastAsia="en-US" w:bidi="ar-SA"/>
        </w:rPr>
        <w:t xml:space="preserve"> there was no mention of depression or psychological injury and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there was a passing mention of counselling for depression but it did not feature significantly in the case. The Court awarded $80,000 ($84,000 in 2018 dollars) in non-pecuniary damages in both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Montgomery</w:t>
      </w:r>
      <w:r>
        <w:rPr>
          <w:rFonts w:ascii="arial" w:eastAsia="arial" w:hAnsi="arial" w:cs="arial"/>
          <w:color w:val="000000"/>
          <w:sz w:val="20"/>
          <w:lang w:val="en-US" w:eastAsia="en-US" w:bidi="ar-SA"/>
        </w:rPr>
        <w:t>, the plaintiff had suffered severe soft-tissue injuries to his upper back and neck and aggravated a pre-existing condition in his shoulder. The description of his chronic pain and symptomatology from his physical injuries, including ongoing headaches, are very similar to this case. He had become irritable and socially withdrawn. The chronic pain, headaches and loss of sleep had a "depressive effect". But there was no medical evidence of a psychological injury and the description of the emotional and mood issues is much less severe than in this case. The Court awarded $95,000, which is $99,000 in 2018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summary, some of the cases cited by Ms. Evans involve other injuries, such as thoracic outlet syndrome, disc herniation or facet joint arthroplasty, on top of chronic myofascial pain and psychological injuries. Most of the defendants' cases do not include cases where a psychological condition has been diagnosed and/or the chronic pain is not as functionally disabling as that experienced by Ms. Evans. The cases which are most similar are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Montgomery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Having considered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and all the above authorities, I assess non-pecuniary damages at $110,000.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Past income loss is Ms. Evans' income loss from the date of the accident to the date of trial. As the evidence above demonstrates, the components of her past income loss include: the six weeks immediately following the accident when she was off work completely; the period of her attempt to return to work full time at Safeway where she was working less than full time hours as part of her graduated return to work as well as days during this time that she called in sick due to headaches and pain; her reduction in wages and associated loss of bonus and benefits when she was demoted from produce manager to grocery clerk; and the difference between what Ms. Evans would have been earning working full time as produce manager at Safeway and what she has earned since she took the buyout from Safeway, less her Safeway buyout of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Ms. Evans introduced into evidence the expert report of Darren Benning, an economist who calculated past income loss among other things. The defendants did not introduce an expert report disputing Mr. Benning's calculations. Rather, the defendants focused on Ms. Evans' full time produce manager earnings versus her post-buyout earnings and argue, as already discussed, that Ms. Evans' decision to leave Safeway was not reasonable and her efforts to retrain and replace her income loss have not been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Benning's calculation of her after tax losses were about $4,750 per month in the months she had no income. He calculates her total pre-trial loss, taking into account her Telus earnings over 10 months, to be $115,089.00. Had she retrained and commenced working after 3 months instead of after 5 months, she would have reduced her losses by something less than $4,750 per month. I deduct $9,000 for failure to mitigate in the pre-trial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award damages for past income loss in the amount of $116,089.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Loss of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Assessing an award for loss of future earning capacity involves a comparison between the likely future of the plaintiff if the accident had not happened and the plaintiff's likely future after the accident has happened: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117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The assessment requires a very fact-intensive, case-specific inquiry; comparator cases are of limited assistance: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at paras. 32-33.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There are two widely used approaches to quantify loss of future earning capacity, the earnings approach and the capital asset approach. The distinction between the two was explained as follows by Mr. Justice Kent in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1175"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at paras. 156-59: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[156] ... The "earnings approach" will generally be more useful when the loss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09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[157]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092"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[158]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092"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1089"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&amp; 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[159] Though the capital asset approach is not a "mathematical calculation", the trial judge must still explain the factual basis of the award: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1089"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defining distinction between the earnings approach and the capital asset approach is the extent to which the loss is measureable. If there is little or no evidence of what the plaintiff's post-accident earnings will be, the earnings approach may not be appropriate. Although the earnings approach is more mathematical, both approaches are a matter of judgment, not "mere calculation": </w:t>
      </w:r>
      <w:r>
        <w:rPr>
          <w:rFonts w:ascii="arial" w:eastAsia="arial" w:hAnsi="arial" w:cs="arial"/>
          <w:i/>
          <w:color w:val="000000"/>
          <w:sz w:val="20"/>
          <w:lang w:val="en-US" w:eastAsia="en-US" w:bidi="ar-SA"/>
        </w:rPr>
        <w:t>Hosseinzadeh v. Leung</w:t>
      </w:r>
      <w:r>
        <w:rPr>
          <w:rFonts w:ascii="arial" w:eastAsia="arial" w:hAnsi="arial" w:cs="arial"/>
          <w:color w:val="000000"/>
          <w:sz w:val="20"/>
          <w:lang w:val="en-US" w:eastAsia="en-US" w:bidi="ar-SA"/>
        </w:rPr>
        <w:t xml:space="preserve">, </w:t>
      </w:r>
      <w:hyperlink r:id="rId1081" w:history="1">
        <w:r>
          <w:rPr>
            <w:rFonts w:ascii="arial" w:eastAsia="arial" w:hAnsi="arial" w:cs="arial"/>
            <w:i/>
            <w:color w:val="0077CC"/>
            <w:sz w:val="20"/>
            <w:u w:val="single"/>
            <w:shd w:val="clear" w:color="auto" w:fill="FFFFFF"/>
            <w:lang w:val="en-US" w:eastAsia="en-US" w:bidi="ar-SA"/>
          </w:rPr>
          <w:t>2014 BCSC 2260</w:t>
        </w:r>
      </w:hyperlink>
      <w:r>
        <w:rPr>
          <w:rFonts w:ascii="arial" w:eastAsia="arial" w:hAnsi="arial" w:cs="arial"/>
          <w:color w:val="000000"/>
          <w:sz w:val="20"/>
          <w:lang w:val="en-US" w:eastAsia="en-US" w:bidi="ar-SA"/>
        </w:rPr>
        <w:t xml:space="preserve"> at para. 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earnings approach is often used where the plaintiff had an established earnings pattern or career trajectory prior to the accident, and after the accident the plaintiff continued to work in the same position with either reduced hours or modified duties, or took early retirement from that position as a result of accident-related injuries: see, for example, </w:t>
      </w:r>
      <w:r>
        <w:rPr>
          <w:rFonts w:ascii="arial" w:eastAsia="arial" w:hAnsi="arial" w:cs="arial"/>
          <w:i/>
          <w:color w:val="000000"/>
          <w:sz w:val="20"/>
          <w:lang w:val="en-US" w:eastAsia="en-US" w:bidi="ar-SA"/>
        </w:rPr>
        <w:t>Riding-Brown v. Jenkins</w:t>
      </w:r>
      <w:r>
        <w:rPr>
          <w:rFonts w:ascii="arial" w:eastAsia="arial" w:hAnsi="arial" w:cs="arial"/>
          <w:color w:val="000000"/>
          <w:sz w:val="20"/>
          <w:lang w:val="en-US" w:eastAsia="en-US" w:bidi="ar-SA"/>
        </w:rPr>
        <w:t xml:space="preserve">, </w:t>
      </w:r>
      <w:hyperlink r:id="rId1176" w:history="1">
        <w:r>
          <w:rPr>
            <w:rFonts w:ascii="arial" w:eastAsia="arial" w:hAnsi="arial" w:cs="arial"/>
            <w:i/>
            <w:color w:val="0077CC"/>
            <w:sz w:val="20"/>
            <w:u w:val="single"/>
            <w:shd w:val="clear" w:color="auto" w:fill="FFFFFF"/>
            <w:lang w:val="en-US" w:eastAsia="en-US" w:bidi="ar-SA"/>
          </w:rPr>
          <w:t>2014 BCSC 382</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The capital asset approach is used where there is a level of uncertainty making it difficult to measure the loss in a pecuniary way. As this Court stated in </w:t>
      </w:r>
      <w:r>
        <w:rPr>
          <w:rFonts w:ascii="arial" w:eastAsia="arial" w:hAnsi="arial" w:cs="arial"/>
          <w:i/>
          <w:color w:val="000000"/>
          <w:sz w:val="20"/>
          <w:lang w:val="en-US" w:eastAsia="en-US" w:bidi="ar-SA"/>
        </w:rPr>
        <w:t>Riding-Brown</w:t>
      </w:r>
      <w:r>
        <w:rPr>
          <w:rFonts w:ascii="arial" w:eastAsia="arial" w:hAnsi="arial" w:cs="arial"/>
          <w:color w:val="000000"/>
          <w:sz w:val="20"/>
          <w:lang w:val="en-US" w:eastAsia="en-US" w:bidi="ar-SA"/>
        </w:rPr>
        <w:t xml:space="preserve"> at para. 26, this approach is "usually applied in situations where the uncertainty of the plaintiff's future renders quantification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same two-step process is followed, regardless of whether the earnings approach or capital asset approach is used. First, the plaintiff must prove a real and substantial possibility that his or her earning capacity has been impaired: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09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Second, if the plaintiff discharges his or her burden of proof, the court turns to an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Regardless of the approach taken, per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1177"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1178"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general principles the court should apply when making an assessment under this head of damages are:</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assess damages rather than calculate them mathematically;</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proof is not the balance of probabilities; the plaintiff need only establish a real and substantial possibility of loss, one which is not mere speculation, and hypothetical events are weighed according to their relative likelihood;</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allowances must be made for the contingencies that the assumptions upon which an award is based may prove to be wrong; and</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overall goal of the assessment is to be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Turning to the assessment, I find that Ms. Evans has met the threshold test showing that she has a real and substantial possibility of future income loss. She is not employable in her pre-accident position and she has not found replacement work that she is capable of doing that pays an equivalent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Ms. Evans argues that the earnings approach should be used and the court should compare her pre-accident Safeway earning capacity working as a produce manager until retirement ($1,223,000 including benefits) with her potential earnings as a chef or as a wine sales representative. Ms. Evans submits that these numbers should be adjusted for contingencies that her opportunities within these industries will be limited and she will be less competitive for those jobs as against able-bodied applicants. She submits that an earnings approach assessment in this manner produces a range of damages of $634,000 to $720,000.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 defence argues the capital asset approach is appropriate, relying on </w:t>
      </w:r>
      <w:r>
        <w:rPr>
          <w:rFonts w:ascii="arial" w:eastAsia="arial" w:hAnsi="arial" w:cs="arial"/>
          <w:i/>
          <w:color w:val="000000"/>
          <w:sz w:val="20"/>
          <w:lang w:val="en-US" w:eastAsia="en-US" w:bidi="ar-SA"/>
        </w:rPr>
        <w:t>Mullens</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Mullens</w:t>
      </w:r>
      <w:r>
        <w:rPr>
          <w:rFonts w:ascii="arial" w:eastAsia="arial" w:hAnsi="arial" w:cs="arial"/>
          <w:color w:val="000000"/>
          <w:sz w:val="20"/>
          <w:lang w:val="en-US" w:eastAsia="en-US" w:bidi="ar-SA"/>
        </w:rPr>
        <w:t xml:space="preserve"> worked in a bank at the time of the motor vehicle accident but left the bank to pursue retraining as a counsellor following the accident. The Court held that her decision to leave her work at the bank was "peculiar" and did not accept that she was not able to do that work. Further, if she was not able to work at the bank, the Court held she would not be able to complete the coursework and master's degree to become a counsellor. The Court applied the capital asset approach because the evidence of what work the plaintiff might do in the future was far too speculative, assessed a loss of earning capacity of $350,000, and reduced it by 50%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Counsel for Ms. Evans argues this case is not similar because it was mostly about the plaintiff's "peculiar" decision, not supported by vocational evidence, to leave her pre-accident line of work. I agree. However, the reasons that the earnings approach was not applicable in that case are germane to this case. Although there was a substantial possibility that the accident caused income loss, the evidence as to what the plaintiff would do for work in the future was too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As stated, Ms. Evans submits that the earnings approach should be based on a future career as a chef, which she prefers, or as a wine representative which she had thought of undertaking, and took some courses towards and then abandoned. In my view, neither of these options provides a sufficient evidentiary basis to take an earnings approach even on simple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Although Ms. Evans' likely earning capacity if the accident had not happened is relatively easy to quantify, her likely earning capacity after the accident has happened is very uncertain. Accordingly, the capital asset approach is more appropriate in the circumstances.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Application of the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Four non-exhaustive factors from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 form the basis of the assessment: </w:t>
      </w:r>
      <w:r>
        <w:rPr>
          <w:rFonts w:ascii="arial" w:eastAsia="arial" w:hAnsi="arial" w:cs="arial"/>
          <w:i/>
          <w:color w:val="000000"/>
          <w:sz w:val="20"/>
          <w:lang w:val="en-US" w:eastAsia="en-US" w:bidi="ar-SA"/>
        </w:rPr>
        <w:t>Villing v. Husseni</w:t>
      </w:r>
      <w:r>
        <w:rPr>
          <w:rFonts w:ascii="arial" w:eastAsia="arial" w:hAnsi="arial" w:cs="arial"/>
          <w:color w:val="000000"/>
          <w:sz w:val="20"/>
          <w:lang w:val="en-US" w:eastAsia="en-US" w:bidi="ar-SA"/>
        </w:rPr>
        <w:t xml:space="preserve">, </w:t>
      </w:r>
      <w:hyperlink r:id="rId1179" w:history="1">
        <w:r>
          <w:rPr>
            <w:rFonts w:ascii="arial" w:eastAsia="arial" w:hAnsi="arial" w:cs="arial"/>
            <w:i/>
            <w:color w:val="0077CC"/>
            <w:sz w:val="20"/>
            <w:u w:val="single"/>
            <w:shd w:val="clear" w:color="auto" w:fill="FFFFFF"/>
            <w:lang w:val="en-US" w:eastAsia="en-US" w:bidi="ar-SA"/>
          </w:rPr>
          <w:t>2016 BCCA 422</w:t>
        </w:r>
      </w:hyperlink>
      <w:r>
        <w:rPr>
          <w:rFonts w:ascii="arial" w:eastAsia="arial" w:hAnsi="arial" w:cs="arial"/>
          <w:color w:val="000000"/>
          <w:sz w:val="20"/>
          <w:lang w:val="en-US" w:eastAsia="en-US" w:bidi="ar-SA"/>
        </w:rPr>
        <w:t xml:space="preserve"> at para. 19-20. Those factors include whether:</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that plaintiff, had he or she not been injured; and</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or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Economic evidence provides helpful context to the application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by identifying in a general sense the magnitude of the plaintiff's loss: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1180"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20. In </w:t>
      </w:r>
      <w:r>
        <w:rPr>
          <w:rFonts w:ascii="arial" w:eastAsia="arial" w:hAnsi="arial" w:cs="arial"/>
          <w:i/>
          <w:color w:val="000000"/>
          <w:sz w:val="20"/>
          <w:lang w:val="en-US" w:eastAsia="en-US" w:bidi="ar-SA"/>
        </w:rPr>
        <w:t>Dunbar</w:t>
      </w:r>
      <w:r>
        <w:rPr>
          <w:rFonts w:ascii="arial" w:eastAsia="arial" w:hAnsi="arial" w:cs="arial"/>
          <w:color w:val="000000"/>
          <w:sz w:val="20"/>
          <w:lang w:val="en-US" w:eastAsia="en-US" w:bidi="ar-SA"/>
        </w:rPr>
        <w:t>,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assessment of future loss requires a court to estimate a pecuniary loss by weighing (even if not assigning specific numeric values to) possibilities and probabilities of future events and relating evidence and findings of fact to the quantification of the loss. ... The usefulness of economic and statistical evidence does not turn an assessment into a calculation. It does, however provide a useful tool to assist in determining what is fair and reasonable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Even though the claim may not readily be measurable on an earnings analysis, earnings projections may provide a starting point for the assessment of the plaintiff's loss: </w:t>
      </w:r>
      <w:r>
        <w:rPr>
          <w:rFonts w:ascii="arial" w:eastAsia="arial" w:hAnsi="arial" w:cs="arial"/>
          <w:i/>
          <w:color w:val="000000"/>
          <w:sz w:val="20"/>
          <w:lang w:val="en-US" w:eastAsia="en-US" w:bidi="ar-SA"/>
        </w:rPr>
        <w:t>O'Brien v. Cernovec</w:t>
      </w:r>
      <w:r>
        <w:rPr>
          <w:rFonts w:ascii="arial" w:eastAsia="arial" w:hAnsi="arial" w:cs="arial"/>
          <w:color w:val="000000"/>
          <w:sz w:val="20"/>
          <w:lang w:val="en-US" w:eastAsia="en-US" w:bidi="ar-SA"/>
        </w:rPr>
        <w:t xml:space="preserve">, </w:t>
      </w:r>
      <w:hyperlink r:id="rId1181" w:history="1">
        <w:r>
          <w:rPr>
            <w:rFonts w:ascii="arial" w:eastAsia="arial" w:hAnsi="arial" w:cs="arial"/>
            <w:i/>
            <w:color w:val="0077CC"/>
            <w:sz w:val="20"/>
            <w:u w:val="single"/>
            <w:shd w:val="clear" w:color="auto" w:fill="FFFFFF"/>
            <w:lang w:val="en-US" w:eastAsia="en-US" w:bidi="ar-SA"/>
          </w:rPr>
          <w:t>2016 BCSC 1881</w:t>
        </w:r>
      </w:hyperlink>
      <w:r>
        <w:rPr>
          <w:rFonts w:ascii="arial" w:eastAsia="arial" w:hAnsi="arial" w:cs="arial"/>
          <w:color w:val="000000"/>
          <w:sz w:val="20"/>
          <w:lang w:val="en-US" w:eastAsia="en-US" w:bidi="ar-SA"/>
        </w:rPr>
        <w:t xml:space="preserve"> at para. 143. Both positive and negative contingencies should be taken into account in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Starting with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it is clear that Ms. Evans is less capable overall of earning income from all types of employment. Prior to the accident, she was suited to and did physical work. She is now only suited to work with restricted physical demands or sedentary work. The vocational evidence demonstrates that there are some positions she can do but she will require accommodations or a sympathetic employer. Accordingly, she is less marketable and attractive as an employee. Ms. Evans' former supervisor, Mr. Shoring, testified that he would have considered her for future promotions. The evidence establishes that Ms. Evans lost the ability to take advantage of all job opportunities which might otherwise have been open to her. Ms. Evans derived self worth and fulfillment from the way she did her job as a produce manager, from performance reviews, and from financial rewards, including annual bonuses she earned many years. She is less valuable to herself as a person in regard to her incoming earning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find that her future earning capacity is significantly reduced. Mr. Benning's unchallenged evidence is that had she continued working as a produce manager and earned a bonus every year (she had not earned one every year) her future lifetime earning capacity was $1,222,503 including the value of her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One approach, considered in </w:t>
      </w:r>
      <w:r>
        <w:rPr>
          <w:rFonts w:ascii="arial" w:eastAsia="arial" w:hAnsi="arial" w:cs="arial"/>
          <w:i/>
          <w:color w:val="000000"/>
          <w:sz w:val="20"/>
          <w:lang w:val="en-US" w:eastAsia="en-US" w:bidi="ar-SA"/>
        </w:rPr>
        <w:t>Mullens</w:t>
      </w:r>
      <w:r>
        <w:rPr>
          <w:rFonts w:ascii="arial" w:eastAsia="arial" w:hAnsi="arial" w:cs="arial"/>
          <w:color w:val="000000"/>
          <w:sz w:val="20"/>
          <w:lang w:val="en-US" w:eastAsia="en-US" w:bidi="ar-SA"/>
        </w:rPr>
        <w:t>, is to compensate in an amount equal to a few years of income at the pre-accident salary. In this case, two years would be approximately $150,000 and three years would be $225,000. In my view, that does not provide adequate compensation for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If Ms. Evans retrains and earns the median wage of the type of position Mr. Lesmeister sets out in his report and there is no bonus or benefits package, her income will be reduced by approximately 25%-35%. If she does not retrain but pursues the type of employment she is currently suited for, the reduction is greater. This approach does not fully take into account that her range of employment options is markedly narrowed. She is now very vulnerable to the vagaries of the employment marketplace. Given her lack of education, her ability to do physical work well was strongest asset to her in the employment market. She has lost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Based on all of the evidence, especially given that Ms. Evans is restricted to sedentary and limited strength work and she has a lost a position with excellent benefits, I find that her earnings capacity has been reduced by 40-50%. Applied to her lifetime future capacity, that provides a range of $488,000 to $611,000. I reduce this by $18,000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identify the following negative and positive contingencies: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Evans might achieve earnings higher than the median earnings for jobs for which she might retrain;</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Ms. Evans struggles with retraining as a chef, she might struggle in other occupations and be limited to part time work or work with accommodations, resulting in lower earnings and/or further restricted opportunities;</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Evans might find a position with benefits equivalent to Safeway;</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absent the accident, Ms. Evans might have been promoted at Safeway and increased her earnings; and</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absent the accident, Ms. Evans might not have earned a bonus at Safeway every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my view, these contingencies largely cancel each other out except the first one. Prior to the accident, Ms. Evans achieved earnings and work that exceeded what might have been considered to be her reasonable capability given her limited education. This cuts both ways. On one hand, she was able to do so because she excelled at physical work and she has lost that ability. On the other hand, her personality and drive were also responsible for her success. Her post-accident attempts to get back to her produce manager job demonstrate that she still has that drive. I find that if she applies her drive to finding work in an area to which she is suited, she will be successful and she will likely exceed the median wages for the type of work for which she is suited.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Taking all of this into account, I assess loss of future earning capacity at $510,000.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Loss of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Mr. Benning calculated Ms. Evans' loss of pension at between $168,308 and $170,821 based on careers as a chef or wine sales representative. The defendant does not challenge these calculations. As I said, I cannot determine whether Ms. Evans will establish a career in either of these fields. However, it is apparent that she has suffered a significant loss of benefits, most particularly pension benefits, from her unionized position with Safeway. I conclude that it is unlikely, but not impossible, that she will replace her loss in this regard with a position with an equivalent pension. Future losses are a matter of simple probabilities, not an all or nothing perspective based on where a balance of probabilities lies. Taking into account the possibility that she may have some earnings that generate a pension, I assess her loss of pension at $140,000.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Costs of Retraining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To date, Ms. Evans has incurred $2,193 in wine appreciation course expenses and approximately $14,618.75 in raw cuisine culinary course expenses. The further raw food course she plans to take and the full year traditional culinary arts program will cost an additional $18,000, approximately.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defence submits that the wine appreciation courses are reasonable but the raw food culinary courses and the traditional culinary course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Ms. Evans' vocational consultant expert, Mr. Lesmeister, opined that Ms. Evans could consider retraining within a business-related program that would complement her previous employment experience. He opined that training for such positions can be completed on a full-time basis in a year or less. He provided an example of Sprott Shaw College which offered a 49 week Business Administration Management program at a cost of approximately $13,725. This would lead to positions such as a sales representative, an event planner, a retail supervisor or an office administrator, the median wages for which vary between approximately $18 per hour and $24 per hour. In his supplemental report, Mr. Lesmeister opined that a one-year culinary program would also be a reasonable choice for Ms. Evans. The Pacific Institute program which Ms. Evans identified costs between $40,000 and $41,000 for a year of training consisting of two six-month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Ms. Cameron opined that Ms. Evans is suited for retraining courses of up to two years in duration. She also opined that public programs, such as Capilano University, are much less expensive, however Capilano's program would require Ms. Evans to complete her high school graduation before being admitted. In my view, in the circumstances, this is not a suitable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Lesmeister recommends a course of vocational counselling costing in the range of $1,500-$2,000. Given my findings, I agree this is a reasonable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Because of my findings that it is not reasonable for Ms. Evans to continue to pursue a career as a chef, and because the other courses of retraining are much less expensive than the raw cuisine course she has taken, the traditional course she plans to take or the Pacific Institute course, I assess her damages in this regard to be much more modest amount. I award $20,000 for the costs of retraining and vocational counselling, inclusive of the expenses she has already incurred.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Ms. Evans seeks damages for cost of future care for physiotherapy and massage therapy; a gym membership; psychological counselling; occupational therapy; equipment; sleep posture aids; cold packs; and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defendants dispute the claim for the costs of physiotherapy and massage therapy. They argue that the cost of one of those two modalities is reasonable but both are not. If both are undertaken once per week the cost is $116,673.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I have found that the balance of medical evidence is that passive rehabilitation will continue to be reasonable to manage her symptoms and flare-ups. She has undertaken and obtained relief from both physiotherapy and massage therapy. Despite that they may not offer long-term improvement, it makes no sense to deny her the short-term relief they offer. In my view, that would be inconsistent with the approach mandated by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at 241-248. However, I find that it is unlikely she will need to undertake both physiotherapy and massage therapy every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award $50,000 for physiotherapy and massage therapy. The total award for cost of future care is $71,299.00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Ms. Evans has incurred a total of $40,719.28 in expenses for Botox injections, physiotherapy, massage therapy, active rehabilitation, pain medications, and other medical costs relating to the accident. The defendants have paid $16,086.59.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Ms. Keill and Ms. Abbott dispute the physiotherapy expenses. They argue Ms. Evans' use of physiotherapy has been excessive. As discussed above, I disagree. Accordingly, I award the full net amount of $24,632.69.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award Ms. Evans damages as follows:</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$110,000.00</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 $106,089.00</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 $510,000.00</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pension: $140,000.00</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retraining: $20,000.00</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$71,299.00</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$24,632.69.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total is $982,020.69.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Subject to any matters of which I am not aware relating to costs, I award Ms. Evans costs at Scale B. If the parties wish to speak to costs, they shall, within 30 days of these reasons, contact the registry to make arrangements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MATTHEWS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3" style="position:absolute;z-index:25186099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Harder v. Poettcker, [2015] B.C.J. No. 2579</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R.G.H. v. British Columbia, [2009] B.C.J. No. 674</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Hawkenson v. Rogers, [2005] B.C.J. No. 456</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James v. British Columbia, [2004] B.C.J. No. 933</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Joel v. Paivarinta, [2005] B.C.J. No. 84</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 Campbell Law Corp. v. Strata Plan 1350, [2001] B.C.J. No. 2037</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Kirk v. Executive Flight Centre Fuel Services, [2017] B.C.J. No. 836</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Koperdak v. Wiesblatt, [2006] B.C.J. No. 888</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Kralik v. Mt. Seymour Resorts Ltd., [2007] B.C.J. No. 360</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Lau v. Ogilvie, [2010] B.C.J. No. 2192</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Lim v. Kanyon Ridge Traffic Control Ltd., [2014] B.C.J. No. 865</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Logan v. Dermatech, Intradermal Distribution Inc., [2010] B.C.J. No. 639</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MacDonald v. Stevens, [2008] B.C.J. No. 1450</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Mann (Next friend of) v. Burnaby General Hospital, [2001] B.C.J. No. 1342</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Marjak Services Ltd. v. Insurance Corp. of British Columbia, [2001] B.C.J. No. 1163</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McNeil v. Younger, [2009] B.C.J. No. 168</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Miller v. Merck Frosst Canada Ltd., [2013] B.C.J. No. 613</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Nerval v. Khehra, [2011] B.C.J. No. 1748</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Nicoll v. Strata Plan 1611, [2005] B.C.J. No. 1177</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Number 216 Holdings Ltd. v. ING Insurance Co. of Canada, [2013] B.C.J. No. 8</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Olsen v. Behr Process Corp., [2003] B.C.J. No. 1887</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Pasnak v. Chura, [2003] B.C.J. No. 1591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Perez v. Galambos, [2006] B.C.J. No. 1396</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Petersen v. Proline Management Ltd., [2007] B.C.J. No. 1210</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Recchia v. Co-Operators Life Insurance Co., [2002] B.C.J. No. 1000</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Rychter v. Isle of Mann Construction Ltd., [2011] B.C.J. No. 2105</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Sandhu v. Raveendran, [2017] B.C.J. No. 591</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Sandhu v. Vuong, [2016] B.C.J. No. 1733</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Sauer v. Scales, [2009] B.C.J. No. 1924</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Shao v. Swanson, [2013] B.C.J. No. 341</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Shingler v. British Columbia (Attorney General), [2008] B.C.J. No. 565</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Stewart v. Dueck, [2012] B.C.J. No. 2429</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BCS 3206 v. KBK No. 11 Ventures Ltd., [2019] B.C.J. No. 1193</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4443 v. Travelers Guarantee Co. of Canada, [2013] B.C.J. No. 326</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Suran v. Auluck, [2017] I.L.R. para. M-2983</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Theiss v. Shorter, [2016] B.C.J. No. 1871</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Thomas v. Roman Catholic Archbishop of Vancouver, [2016] I.L.R. para. G-2747</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Thompson v. Cox, [2002] B.C.J. No. 504</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Vapheas v. Madden, [2014] B.C.J. No. 147</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Varma v. Rocky Mountaineer Vacations, [2015] I.L.R. para. G-2688</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Wardrope v. British Columbia (Minister of Justice), [2019] B.C.J. No. 486</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Watt v. Health Sciences Assn. of British Columbia, [2018] B.C.J. No. 574</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Westbank Society Seniors Housing Society v. Scuka Enterprises Ltd., [2013] B.C.J. No. 2825</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Wong (Litigation guardian of) v. Lok's Martial Arts Centre Inc., [2009] B.C.J. No. 1992</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Wu v. Vancouver (City), [2017] B.C.J. No. 2284</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Sateri (Shanghai) Management Ltd. v. Vinall, [2017] B.C.J. No. 570</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Bricker v. Danyk, [2015] B.C.J. No. 2825</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Clayton v. Lower Nicola Indian Band, [2011] B.C.J. No. 764</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Eaton v. Regan, [2005] B.C.J. No. 240</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Evans v. Keill, [2018] B.C.J. No. 3274</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2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2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2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2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2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2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2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10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8"/>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0"/>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5"/>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6"/>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1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1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387D68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797FF14"/>
    <w:multiLevelType w:val="multilevel"/>
    <w:tmpl w:val="00000001"/>
    <w:lvl w:ilvl="0">
      <w:start w:val="1"/>
      <w:numFmt w:val="decimal"/>
      <w:lvlText w:val="3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992FBD0"/>
    <w:multiLevelType w:val="multilevel"/>
    <w:tmpl w:val="00000001"/>
    <w:lvl w:ilvl="0">
      <w:start w:val="1"/>
      <w:numFmt w:val="decimal"/>
      <w:lvlText w:val="3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AC21AD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11FFB31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136C38D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17521B2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19AB3436"/>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1C41B33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1C9456F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20EEF2C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20FB053C"/>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23129D0C"/>
    <w:multiLevelType w:val="multilevel"/>
    <w:tmpl w:val="00000001"/>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2421C47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27054EA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276F057C"/>
    <w:multiLevelType w:val="multilevel"/>
    <w:tmpl w:val="00000001"/>
    <w:lvl w:ilvl="0">
      <w:start w:val="1"/>
      <w:numFmt w:val="decimal"/>
      <w:lvlText w:val="1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2B50DD20"/>
    <w:multiLevelType w:val="multilevel"/>
    <w:tmpl w:val="00000001"/>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2E40CE4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38C3B433"/>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3D814B77"/>
    <w:multiLevelType w:val="multilevel"/>
    <w:tmpl w:val="00000001"/>
    <w:lvl w:ilvl="0">
      <w:start w:val="1"/>
      <w:numFmt w:val="decimal"/>
      <w:lvlText w:val="1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3F4BAA11"/>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48B3743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4B1211D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4D713C8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4DB71041"/>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4E8A3389"/>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50B9705D"/>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59632E8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5FFE60FF"/>
    <w:multiLevelType w:val="multilevel"/>
    <w:tmpl w:val="00000001"/>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606FE303"/>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69CE432C"/>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69DF370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6F98E9F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70507FA3"/>
    <w:multiLevelType w:val="multilevel"/>
    <w:tmpl w:val="00000001"/>
    <w:lvl w:ilvl="0">
      <w:start w:val="1"/>
      <w:numFmt w:val="decimal"/>
      <w:lvlText w:val="2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716CF326"/>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719BCEF9"/>
    <w:multiLevelType w:val="multilevel"/>
    <w:tmpl w:val="00000001"/>
    <w:lvl w:ilvl="0">
      <w:start w:val="1"/>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73769424"/>
    <w:multiLevelType w:val="multilevel"/>
    <w:tmpl w:val="00000001"/>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76B26882"/>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7A193009"/>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7B0E18A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7BF90E4A"/>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7F17B7F0"/>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37"/>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138"/>
  </w:num>
  <w:num w:numId="29">
    <w:abstractNumId w:val="132"/>
  </w:num>
  <w:num w:numId="30">
    <w:abstractNumId w:val="115"/>
  </w:num>
  <w:num w:numId="31">
    <w:abstractNumId w:val="26"/>
  </w:num>
  <w:num w:numId="32">
    <w:abstractNumId w:val="27"/>
  </w:num>
  <w:num w:numId="33">
    <w:abstractNumId w:val="28"/>
  </w:num>
  <w:num w:numId="34">
    <w:abstractNumId w:val="29"/>
  </w:num>
  <w:num w:numId="35">
    <w:abstractNumId w:val="30"/>
  </w:num>
  <w:num w:numId="36">
    <w:abstractNumId w:val="31"/>
  </w:num>
  <w:num w:numId="37">
    <w:abstractNumId w:val="32"/>
  </w:num>
  <w:num w:numId="38">
    <w:abstractNumId w:val="33"/>
  </w:num>
  <w:num w:numId="39">
    <w:abstractNumId w:val="34"/>
  </w:num>
  <w:num w:numId="40">
    <w:abstractNumId w:val="35"/>
  </w:num>
  <w:num w:numId="41">
    <w:abstractNumId w:val="36"/>
  </w:num>
  <w:num w:numId="42">
    <w:abstractNumId w:val="37"/>
  </w:num>
  <w:num w:numId="43">
    <w:abstractNumId w:val="38"/>
  </w:num>
  <w:num w:numId="44">
    <w:abstractNumId w:val="39"/>
  </w:num>
  <w:num w:numId="45">
    <w:abstractNumId w:val="40"/>
  </w:num>
  <w:num w:numId="46">
    <w:abstractNumId w:val="41"/>
  </w:num>
  <w:num w:numId="47">
    <w:abstractNumId w:val="42"/>
  </w:num>
  <w:num w:numId="48">
    <w:abstractNumId w:val="43"/>
  </w:num>
  <w:num w:numId="49">
    <w:abstractNumId w:val="44"/>
  </w:num>
  <w:num w:numId="50">
    <w:abstractNumId w:val="45"/>
  </w:num>
  <w:num w:numId="51">
    <w:abstractNumId w:val="46"/>
  </w:num>
  <w:num w:numId="52">
    <w:abstractNumId w:val="47"/>
  </w:num>
  <w:num w:numId="53">
    <w:abstractNumId w:val="48"/>
  </w:num>
  <w:num w:numId="54">
    <w:abstractNumId w:val="49"/>
  </w:num>
  <w:num w:numId="55">
    <w:abstractNumId w:val="50"/>
  </w:num>
  <w:num w:numId="56">
    <w:abstractNumId w:val="51"/>
  </w:num>
  <w:num w:numId="57">
    <w:abstractNumId w:val="52"/>
  </w:num>
  <w:num w:numId="58">
    <w:abstractNumId w:val="53"/>
  </w:num>
  <w:num w:numId="59">
    <w:abstractNumId w:val="54"/>
  </w:num>
  <w:num w:numId="60">
    <w:abstractNumId w:val="55"/>
  </w:num>
  <w:num w:numId="61">
    <w:abstractNumId w:val="56"/>
  </w:num>
  <w:num w:numId="62">
    <w:abstractNumId w:val="57"/>
  </w:num>
  <w:num w:numId="63">
    <w:abstractNumId w:val="58"/>
  </w:num>
  <w:num w:numId="64">
    <w:abstractNumId w:val="59"/>
  </w:num>
  <w:num w:numId="65">
    <w:abstractNumId w:val="60"/>
  </w:num>
  <w:num w:numId="66">
    <w:abstractNumId w:val="61"/>
  </w:num>
  <w:num w:numId="67">
    <w:abstractNumId w:val="62"/>
  </w:num>
  <w:num w:numId="68">
    <w:abstractNumId w:val="63"/>
  </w:num>
  <w:num w:numId="69">
    <w:abstractNumId w:val="64"/>
  </w:num>
  <w:num w:numId="70">
    <w:abstractNumId w:val="65"/>
  </w:num>
  <w:num w:numId="71">
    <w:abstractNumId w:val="66"/>
  </w:num>
  <w:num w:numId="72">
    <w:abstractNumId w:val="67"/>
  </w:num>
  <w:num w:numId="73">
    <w:abstractNumId w:val="68"/>
  </w:num>
  <w:num w:numId="74">
    <w:abstractNumId w:val="69"/>
  </w:num>
  <w:num w:numId="75">
    <w:abstractNumId w:val="70"/>
  </w:num>
  <w:num w:numId="76">
    <w:abstractNumId w:val="71"/>
  </w:num>
  <w:num w:numId="77">
    <w:abstractNumId w:val="72"/>
  </w:num>
  <w:num w:numId="78">
    <w:abstractNumId w:val="73"/>
  </w:num>
  <w:num w:numId="79">
    <w:abstractNumId w:val="74"/>
  </w:num>
  <w:num w:numId="80">
    <w:abstractNumId w:val="75"/>
  </w:num>
  <w:num w:numId="81">
    <w:abstractNumId w:val="76"/>
  </w:num>
  <w:num w:numId="82">
    <w:abstractNumId w:val="77"/>
  </w:num>
  <w:num w:numId="83">
    <w:abstractNumId w:val="78"/>
  </w:num>
  <w:num w:numId="84">
    <w:abstractNumId w:val="79"/>
  </w:num>
  <w:num w:numId="85">
    <w:abstractNumId w:val="80"/>
  </w:num>
  <w:num w:numId="86">
    <w:abstractNumId w:val="81"/>
  </w:num>
  <w:num w:numId="87">
    <w:abstractNumId w:val="82"/>
  </w:num>
  <w:num w:numId="88">
    <w:abstractNumId w:val="83"/>
  </w:num>
  <w:num w:numId="89">
    <w:abstractNumId w:val="84"/>
  </w:num>
  <w:num w:numId="90">
    <w:abstractNumId w:val="85"/>
  </w:num>
  <w:num w:numId="91">
    <w:abstractNumId w:val="86"/>
  </w:num>
  <w:num w:numId="92">
    <w:abstractNumId w:val="130"/>
  </w:num>
  <w:num w:numId="93">
    <w:abstractNumId w:val="141"/>
  </w:num>
  <w:num w:numId="94">
    <w:abstractNumId w:val="143"/>
  </w:num>
  <w:num w:numId="95">
    <w:abstractNumId w:val="131"/>
  </w:num>
  <w:num w:numId="96">
    <w:abstractNumId w:val="140"/>
  </w:num>
  <w:num w:numId="97">
    <w:abstractNumId w:val="112"/>
  </w:num>
  <w:num w:numId="98">
    <w:abstractNumId w:val="121"/>
  </w:num>
  <w:num w:numId="99">
    <w:abstractNumId w:val="109"/>
  </w:num>
  <w:num w:numId="100">
    <w:abstractNumId w:val="134"/>
  </w:num>
  <w:num w:numId="101">
    <w:abstractNumId w:val="135"/>
  </w:num>
  <w:num w:numId="102">
    <w:abstractNumId w:val="110"/>
  </w:num>
  <w:num w:numId="103">
    <w:abstractNumId w:val="111"/>
  </w:num>
  <w:num w:numId="104">
    <w:abstractNumId w:val="144"/>
  </w:num>
  <w:num w:numId="105">
    <w:abstractNumId w:val="142"/>
  </w:num>
  <w:num w:numId="106">
    <w:abstractNumId w:val="113"/>
  </w:num>
  <w:num w:numId="107">
    <w:abstractNumId w:val="114"/>
  </w:num>
  <w:num w:numId="108">
    <w:abstractNumId w:val="145"/>
  </w:num>
  <w:num w:numId="109">
    <w:abstractNumId w:val="126"/>
  </w:num>
  <w:num w:numId="110">
    <w:abstractNumId w:val="127"/>
  </w:num>
  <w:num w:numId="111">
    <w:abstractNumId w:val="116"/>
  </w:num>
  <w:num w:numId="112">
    <w:abstractNumId w:val="118"/>
  </w:num>
  <w:num w:numId="113">
    <w:abstractNumId w:val="108"/>
  </w:num>
  <w:num w:numId="114">
    <w:abstractNumId w:val="125"/>
  </w:num>
  <w:num w:numId="115">
    <w:abstractNumId w:val="128"/>
  </w:num>
  <w:num w:numId="116">
    <w:abstractNumId w:val="133"/>
  </w:num>
  <w:num w:numId="117">
    <w:abstractNumId w:val="123"/>
  </w:num>
  <w:num w:numId="118">
    <w:abstractNumId w:val="119"/>
  </w:num>
  <w:num w:numId="119">
    <w:abstractNumId w:val="107"/>
  </w:num>
  <w:num w:numId="120">
    <w:abstractNumId w:val="147"/>
  </w:num>
  <w:num w:numId="121">
    <w:abstractNumId w:val="117"/>
  </w:num>
  <w:num w:numId="122">
    <w:abstractNumId w:val="122"/>
  </w:num>
  <w:num w:numId="123">
    <w:abstractNumId w:val="87"/>
  </w:num>
  <w:num w:numId="124">
    <w:abstractNumId w:val="88"/>
  </w:num>
  <w:num w:numId="125">
    <w:abstractNumId w:val="89"/>
  </w:num>
  <w:num w:numId="126">
    <w:abstractNumId w:val="90"/>
  </w:num>
  <w:num w:numId="127">
    <w:abstractNumId w:val="91"/>
  </w:num>
  <w:num w:numId="128">
    <w:abstractNumId w:val="92"/>
  </w:num>
  <w:num w:numId="129">
    <w:abstractNumId w:val="93"/>
  </w:num>
  <w:num w:numId="130">
    <w:abstractNumId w:val="94"/>
  </w:num>
  <w:num w:numId="131">
    <w:abstractNumId w:val="95"/>
  </w:num>
  <w:num w:numId="132">
    <w:abstractNumId w:val="96"/>
  </w:num>
  <w:num w:numId="133">
    <w:abstractNumId w:val="97"/>
  </w:num>
  <w:num w:numId="134">
    <w:abstractNumId w:val="98"/>
  </w:num>
  <w:num w:numId="135">
    <w:abstractNumId w:val="99"/>
  </w:num>
  <w:num w:numId="136">
    <w:abstractNumId w:val="100"/>
  </w:num>
  <w:num w:numId="137">
    <w:abstractNumId w:val="101"/>
  </w:num>
  <w:num w:numId="138">
    <w:abstractNumId w:val="102"/>
  </w:num>
  <w:num w:numId="139">
    <w:abstractNumId w:val="103"/>
  </w:num>
  <w:num w:numId="140">
    <w:abstractNumId w:val="104"/>
  </w:num>
  <w:num w:numId="141">
    <w:abstractNumId w:val="105"/>
  </w:num>
  <w:num w:numId="142">
    <w:abstractNumId w:val="106"/>
  </w:num>
  <w:num w:numId="143">
    <w:abstractNumId w:val="146"/>
  </w:num>
  <w:num w:numId="144">
    <w:abstractNumId w:val="139"/>
  </w:num>
  <w:num w:numId="145">
    <w:abstractNumId w:val="136"/>
  </w:num>
  <w:num w:numId="146">
    <w:abstractNumId w:val="148"/>
  </w:num>
  <w:num w:numId="147">
    <w:abstractNumId w:val="124"/>
  </w:num>
  <w:num w:numId="148">
    <w:abstractNumId w:val="129"/>
  </w:num>
  <w:num w:numId="149">
    <w:abstractNumId w:val="1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HJF-6CT1-JJK6-S1V0-00000-00&amp;context=" TargetMode="External" /><Relationship Id="rId100" Type="http://schemas.openxmlformats.org/officeDocument/2006/relationships/header" Target="header18.xml" /><Relationship Id="rId1000" Type="http://schemas.openxmlformats.org/officeDocument/2006/relationships/hyperlink" Target="https://advance.lexis.com/api/document?collection=cases-ca&amp;id=urn:contentItem:5F8P-SBV1-JBDT-B1SH-00000-00&amp;context=" TargetMode="External" /><Relationship Id="rId1001" Type="http://schemas.openxmlformats.org/officeDocument/2006/relationships/hyperlink" Target="https://advance.lexis.com/api/document?collection=cases-ca&amp;id=urn:contentItem:5F8T-N3V1-JTGH-B1GF-00000-00&amp;context=" TargetMode="External" /><Relationship Id="rId1002" Type="http://schemas.openxmlformats.org/officeDocument/2006/relationships/hyperlink" Target="https://advance.lexis.com/api/document?collection=cases-ca&amp;id=urn:contentItem:5F7T-S6X1-FJDY-X1J8-00000-00&amp;context=" TargetMode="External" /><Relationship Id="rId1003" Type="http://schemas.openxmlformats.org/officeDocument/2006/relationships/hyperlink" Target="https://advance.lexis.com/api/document?collection=cases-ca&amp;id=urn:contentItem:5F8T-N3T1-JJSF-233X-00000-00&amp;context=" TargetMode="External" /><Relationship Id="rId1004" Type="http://schemas.openxmlformats.org/officeDocument/2006/relationships/hyperlink" Target="https://advance.lexis.com/api/document?collection=cases-ca&amp;id=urn:contentItem:5F8T-N3V1-FH4C-X1WY-00000-00&amp;context=" TargetMode="External" /><Relationship Id="rId1005" Type="http://schemas.openxmlformats.org/officeDocument/2006/relationships/hyperlink" Target="https://advance.lexis.com/api/document?collection=cases-ca&amp;id=urn:contentItem:5F7T-S7F1-FBN1-21XW-00000-00&amp;context=" TargetMode="External" /><Relationship Id="rId1006" Type="http://schemas.openxmlformats.org/officeDocument/2006/relationships/hyperlink" Target="https://advance.lexis.com/api/document?collection=cases-ca&amp;id=urn:contentItem:5F8T-N3V1-JTGH-B1D6-00000-00&amp;context=" TargetMode="External" /><Relationship Id="rId1007" Type="http://schemas.openxmlformats.org/officeDocument/2006/relationships/hyperlink" Target="https://advance.lexis.com/api/document?collection=cases-ca&amp;id=urn:contentItem:5F81-VJV1-F8D9-M108-00000-00&amp;context=" TargetMode="External" /><Relationship Id="rId1008" Type="http://schemas.openxmlformats.org/officeDocument/2006/relationships/hyperlink" Target="https://advance.lexis.com/api/document?collection=cases-ca&amp;id=urn:contentItem:5F8P-SCM1-FJM6-6153-00000-00&amp;context=" TargetMode="External" /><Relationship Id="rId1009" Type="http://schemas.openxmlformats.org/officeDocument/2006/relationships/hyperlink" Target="https://advance.lexis.com/api/document?collection=cases-ca&amp;id=urn:contentItem:5F81-VJX1-JYYX-607K-00000-00&amp;context=" TargetMode="External" /><Relationship Id="rId101" Type="http://schemas.openxmlformats.org/officeDocument/2006/relationships/footer" Target="footer18.xml" /><Relationship Id="rId1010" Type="http://schemas.openxmlformats.org/officeDocument/2006/relationships/hyperlink" Target="https://advance.lexis.com/api/document?collection=cases-ca&amp;id=urn:contentItem:5F81-VJV1-F8D9-M0HP-00000-00&amp;context=" TargetMode="External" /><Relationship Id="rId1011" Type="http://schemas.openxmlformats.org/officeDocument/2006/relationships/hyperlink" Target="https://advance.lexis.com/api/document?collection=cases-ca&amp;id=urn:contentItem:5F16-9311-JW09-M55B-00000-00&amp;context=" TargetMode="External" /><Relationship Id="rId1012" Type="http://schemas.openxmlformats.org/officeDocument/2006/relationships/hyperlink" Target="https://advance.lexis.com/api/document?collection=cases-ca&amp;id=urn:contentItem:5F16-9321-JJK6-S1KM-00000-00&amp;context=" TargetMode="External" /><Relationship Id="rId1013" Type="http://schemas.openxmlformats.org/officeDocument/2006/relationships/hyperlink" Target="https://advance.lexis.com/api/document?collection=cases-ca&amp;id=urn:contentItem:5F16-9341-JK4W-M3F3-00000-00&amp;context=" TargetMode="External" /><Relationship Id="rId1014" Type="http://schemas.openxmlformats.org/officeDocument/2006/relationships/hyperlink" Target="https://advance.lexis.com/api/document?collection=cases-ca&amp;id=urn:contentItem:5F7T-S7N1-F57G-S2NC-00000-00&amp;context=" TargetMode="External" /><Relationship Id="rId1015" Type="http://schemas.openxmlformats.org/officeDocument/2006/relationships/hyperlink" Target="https://advance.lexis.com/api/document?collection=cases-ca&amp;id=urn:contentItem:5GJX-RN81-JG59-24MH-00000-00&amp;context=" TargetMode="External" /><Relationship Id="rId1016" Type="http://schemas.openxmlformats.org/officeDocument/2006/relationships/hyperlink" Target="https://advance.lexis.com/api/document?collection=cases-ca&amp;id=urn:contentItem:5F81-VJX1-JKPJ-G1H3-00000-00&amp;context=" TargetMode="External" /><Relationship Id="rId1017" Type="http://schemas.openxmlformats.org/officeDocument/2006/relationships/hyperlink" Target="https://advance.lexis.com/api/document?collection=cases-ca&amp;id=urn:contentItem:5F82-1SF1-JXG3-X296-00000-00&amp;context=" TargetMode="External" /><Relationship Id="rId1018" Type="http://schemas.openxmlformats.org/officeDocument/2006/relationships/hyperlink" Target="https://advance.lexis.com/api/document?collection=cases-ca&amp;id=urn:contentItem:5F8P-SCF1-F5T5-M221-00000-00&amp;context=" TargetMode="External" /><Relationship Id="rId1019" Type="http://schemas.openxmlformats.org/officeDocument/2006/relationships/hyperlink" Target="https://advance.lexis.com/api/document?collection=cases-ca&amp;id=urn:contentItem:5F7H-KW91-F1WF-M0RG-00000-00&amp;context=" TargetMode="External" /><Relationship Id="rId102" Type="http://schemas.openxmlformats.org/officeDocument/2006/relationships/hyperlink" Target="https://advance.lexis.com/api/document?collection=cases-ca&amp;id=urn:contentItem:5F7T-S781-F27X-6157-00000-00&amp;context=" TargetMode="External" /><Relationship Id="rId1020" Type="http://schemas.openxmlformats.org/officeDocument/2006/relationships/hyperlink" Target="https://advance.lexis.com/api/document?collection=cases-ca&amp;id=urn:contentItem:5HDC-MS71-FFFC-B1D7-00000-00&amp;context=" TargetMode="External" /><Relationship Id="rId1021" Type="http://schemas.openxmlformats.org/officeDocument/2006/relationships/hyperlink" Target="https://advance.lexis.com/api/document?collection=cases-ca&amp;id=urn:contentItem:5F7T-S7C1-F30T-B2B5-00000-00&amp;context=" TargetMode="External" /><Relationship Id="rId1022" Type="http://schemas.openxmlformats.org/officeDocument/2006/relationships/hyperlink" Target="https://advance.lexis.com/api/document?collection=cases-ca&amp;id=urn:contentItem:5F8N-K751-F016-S4F2-00000-00&amp;context=" TargetMode="External" /><Relationship Id="rId1023" Type="http://schemas.openxmlformats.org/officeDocument/2006/relationships/hyperlink" Target="https://advance.lexis.com/api/document?collection=cases-ca&amp;id=urn:contentItem:5F8T-N3V1-JF75-M3CB-00000-00&amp;context=" TargetMode="External" /><Relationship Id="rId1024" Type="http://schemas.openxmlformats.org/officeDocument/2006/relationships/hyperlink" Target="https://advance.lexis.com/api/document?collection=legislation-ca&amp;id=urn:contentItem:5VYK-TBS1-JW09-M4TN-00000-00&amp;context=" TargetMode="External" /><Relationship Id="rId1025" Type="http://schemas.openxmlformats.org/officeDocument/2006/relationships/hyperlink" Target="https://advance.lexis.com/api/document?collection=cases-ca&amp;id=urn:contentItem:5F8T-N3V1-JTGH-B12J-00000-00&amp;context=" TargetMode="External" /><Relationship Id="rId1026" Type="http://schemas.openxmlformats.org/officeDocument/2006/relationships/hyperlink" Target="https://advance.lexis.com/api/document?collection=legislation-ca&amp;id=urn:contentItem:5VYK-W9W1-DY33-B2SS-00000-00&amp;context=" TargetMode="External" /><Relationship Id="rId1027" Type="http://schemas.openxmlformats.org/officeDocument/2006/relationships/hyperlink" Target="https://advance.lexis.com/api/document?collection=cases-ca&amp;id=urn:contentItem:5F7T-XR01-FCCX-62B9-00000-00&amp;context=" TargetMode="External" /><Relationship Id="rId1028" Type="http://schemas.openxmlformats.org/officeDocument/2006/relationships/hyperlink" Target="https://advance.lexis.com/api/document?collection=cases-ca&amp;id=urn:contentItem:5F8T-N3V1-FC1F-M41H-00000-00&amp;context=" TargetMode="External" /><Relationship Id="rId1029" Type="http://schemas.openxmlformats.org/officeDocument/2006/relationships/hyperlink" Target="https://advance.lexis.com/api/document?collection=cases-ca&amp;id=urn:contentItem:5F16-9371-F5DR-235C-00000-00&amp;context=" TargetMode="External" /><Relationship Id="rId103" Type="http://schemas.openxmlformats.org/officeDocument/2006/relationships/hyperlink" Target="https://advance.lexis.com/api/document?collection=legislation-ca&amp;id=urn:contentItem:5F41-1FM1-FJM6-61N1-00000-00&amp;context=" TargetMode="External" /><Relationship Id="rId1030" Type="http://schemas.openxmlformats.org/officeDocument/2006/relationships/hyperlink" Target="https://advance.lexis.com/api/document?collection=cases-ca&amp;id=urn:contentItem:5H2B-YKT1-FGY5-M3SN-00000-00&amp;context=" TargetMode="External" /><Relationship Id="rId1031" Type="http://schemas.openxmlformats.org/officeDocument/2006/relationships/hyperlink" Target="https://advance.lexis.com/api/document?collection=cases-ca&amp;id=urn:contentItem:5F8P-SFK1-JYYX-649Y-00000-00&amp;context=" TargetMode="External" /><Relationship Id="rId1032" Type="http://schemas.openxmlformats.org/officeDocument/2006/relationships/hyperlink" Target="https://advance.lexis.com/api/document?collection=cases-ca&amp;id=urn:contentItem:5F7T-S711-F27X-60GD-00000-00&amp;context=" TargetMode="External" /><Relationship Id="rId1033" Type="http://schemas.openxmlformats.org/officeDocument/2006/relationships/hyperlink" Target="https://advance.lexis.com/api/document?collection=cases-ca&amp;id=urn:contentItem:5F7T-S721-FG12-61NF-00000-00&amp;context=" TargetMode="External" /><Relationship Id="rId1034" Type="http://schemas.openxmlformats.org/officeDocument/2006/relationships/hyperlink" Target="https://advance.lexis.com/api/document?collection=cases-ca&amp;id=urn:contentItem:5F81-VJX1-JP9P-G49W-00000-00&amp;context=" TargetMode="External" /><Relationship Id="rId1035" Type="http://schemas.openxmlformats.org/officeDocument/2006/relationships/hyperlink" Target="https://advance.lexis.com/api/document?collection=cases-ca&amp;id=urn:contentItem:5F8P-T8V1-F4NT-X2DM-00000-00&amp;context=" TargetMode="External" /><Relationship Id="rId1036" Type="http://schemas.openxmlformats.org/officeDocument/2006/relationships/hyperlink" Target="https://advance.lexis.com/api/document?collection=cases-ca&amp;id=urn:contentItem:5F7T-S711-JNS1-M0S3-00000-00&amp;context=" TargetMode="External" /><Relationship Id="rId1037" Type="http://schemas.openxmlformats.org/officeDocument/2006/relationships/hyperlink" Target="https://advance.lexis.com/api/document?collection=cases-ca&amp;id=urn:contentItem:5F82-1SB1-F8SS-640W-00000-00&amp;context=" TargetMode="External" /><Relationship Id="rId1038" Type="http://schemas.openxmlformats.org/officeDocument/2006/relationships/hyperlink" Target="https://advance.lexis.com/api/document?collection=cases-ca&amp;id=urn:contentItem:5F8T-N3V1-JFKM-609F-00000-00&amp;context=" TargetMode="External" /><Relationship Id="rId1039" Type="http://schemas.openxmlformats.org/officeDocument/2006/relationships/hyperlink" Target="https://advance.lexis.com/api/document?collection=cases-ca&amp;id=urn:contentItem:5F16-93D1-FBN1-24K4-00000-00&amp;context=" TargetMode="External" /><Relationship Id="rId104" Type="http://schemas.openxmlformats.org/officeDocument/2006/relationships/hyperlink" Target="https://advance.lexis.com/api/document?collection=cases-ca&amp;id=urn:contentItem:5F7T-S741-F528-G27D-00000-00&amp;context=" TargetMode="External" /><Relationship Id="rId1040" Type="http://schemas.openxmlformats.org/officeDocument/2006/relationships/hyperlink" Target="https://advance.lexis.com/api/document?collection=cases-ca&amp;id=urn:contentItem:5GC3-4KH1-FGRY-B4F9-00000-00&amp;context=" TargetMode="External" /><Relationship Id="rId1041" Type="http://schemas.openxmlformats.org/officeDocument/2006/relationships/hyperlink" Target="https://advance.lexis.com/api/document?collection=cases-ca&amp;id=urn:contentItem:5F81-VJV1-JBM1-M46W-00000-00&amp;context=" TargetMode="External" /><Relationship Id="rId1042" Type="http://schemas.openxmlformats.org/officeDocument/2006/relationships/hyperlink" Target="https://advance.lexis.com/api/document?collection=cases-ca&amp;id=urn:contentItem:5F7T-S7F1-FBN1-21GY-00000-00&amp;context=" TargetMode="External" /><Relationship Id="rId1043" Type="http://schemas.openxmlformats.org/officeDocument/2006/relationships/hyperlink" Target="https://advance.lexis.com/api/document?collection=cases-ca&amp;id=urn:contentItem:5F7T-S7C1-F7VM-S3R5-00000-00&amp;context=" TargetMode="External" /><Relationship Id="rId1044" Type="http://schemas.openxmlformats.org/officeDocument/2006/relationships/hyperlink" Target="https://advance.lexis.com/api/document?collection=cases-ca&amp;id=urn:contentItem:5F8N-K711-F1P7-B3WF-00000-00&amp;context=" TargetMode="External" /><Relationship Id="rId1045" Type="http://schemas.openxmlformats.org/officeDocument/2006/relationships/hyperlink" Target="https://advance.lexis.com/api/document?collection=cases-ca&amp;id=urn:contentItem:5F16-93B1-JSXV-G0B0-00000-00&amp;context=" TargetMode="External" /><Relationship Id="rId1046" Type="http://schemas.openxmlformats.org/officeDocument/2006/relationships/hyperlink" Target="https://advance.lexis.com/api/document?collection=cases-ca&amp;id=urn:contentItem:5F16-9371-JGPY-X0D6-00000-00&amp;context=" TargetMode="External" /><Relationship Id="rId1047" Type="http://schemas.openxmlformats.org/officeDocument/2006/relationships/hyperlink" Target="https://advance.lexis.com/api/document?collection=cases-ca&amp;id=urn:contentItem:5F8P-SCJ1-JCBX-S08K-00000-00&amp;context=" TargetMode="External" /><Relationship Id="rId1048" Type="http://schemas.openxmlformats.org/officeDocument/2006/relationships/hyperlink" Target="https://advance.lexis.com/api/document?collection=cases-ca&amp;id=urn:contentItem:5F81-VJY1-JWBS-64JB-00000-00&amp;context=" TargetMode="External" /><Relationship Id="rId1049" Type="http://schemas.openxmlformats.org/officeDocument/2006/relationships/hyperlink" Target="https://advance.lexis.com/api/document?collection=cases-ca&amp;id=urn:contentItem:5F7T-S7C1-F30T-B286-00000-00&amp;context=" TargetMode="External" /><Relationship Id="rId105" Type="http://schemas.openxmlformats.org/officeDocument/2006/relationships/hyperlink" Target="https://advance.lexis.com/api/document?collection=cases-ca&amp;id=urn:contentItem:5F7T-S751-JNS1-M1CP-00000-00&amp;context=" TargetMode="External" /><Relationship Id="rId1050" Type="http://schemas.openxmlformats.org/officeDocument/2006/relationships/hyperlink" Target="https://advance.lexis.com/api/document?collection=cases-ca&amp;id=urn:contentItem:5GF9-8HG1-FCYK-20XK-00000-00&amp;context=" TargetMode="External" /><Relationship Id="rId1051" Type="http://schemas.openxmlformats.org/officeDocument/2006/relationships/hyperlink" Target="https://advance.lexis.com/api/document?collection=cases-ca&amp;id=urn:contentItem:5F81-VJT1-JWJ0-G38J-00000-00&amp;context=" TargetMode="External" /><Relationship Id="rId1052" Type="http://schemas.openxmlformats.org/officeDocument/2006/relationships/hyperlink" Target="https://advance.lexis.com/api/document?collection=cases-ca&amp;id=urn:contentItem:5F81-VJY1-JWBS-6464-00000-00&amp;context=" TargetMode="External" /><Relationship Id="rId1053" Type="http://schemas.openxmlformats.org/officeDocument/2006/relationships/hyperlink" Target="https://advance.lexis.com/api/document?collection=cases-ca&amp;id=urn:contentItem:5F8P-SF01-JS0R-2059-00000-00&amp;context=" TargetMode="External" /><Relationship Id="rId1054" Type="http://schemas.openxmlformats.org/officeDocument/2006/relationships/hyperlink" Target="https://advance.lexis.com/api/document?collection=cases-ca&amp;id=urn:contentItem:5F7T-S741-F528-G240-00000-00&amp;context=" TargetMode="External" /><Relationship Id="rId1055" Type="http://schemas.openxmlformats.org/officeDocument/2006/relationships/hyperlink" Target="https://advance.lexis.com/api/document?collection=cases-ca&amp;id=urn:contentItem:5F7T-S751-JBM1-M23D-00000-00&amp;context=" TargetMode="External" /><Relationship Id="rId1056" Type="http://schemas.openxmlformats.org/officeDocument/2006/relationships/hyperlink" Target="https://advance.lexis.com/api/document?collection=cases-ca&amp;id=urn:contentItem:5F7T-S761-JS5Y-B1T4-00000-00&amp;context=" TargetMode="External" /><Relationship Id="rId1057" Type="http://schemas.openxmlformats.org/officeDocument/2006/relationships/hyperlink" Target="https://advance.lexis.com/api/document?collection=cases-ca&amp;id=urn:contentItem:5F7T-S7G1-JPP5-21S2-00000-00&amp;context=" TargetMode="External" /><Relationship Id="rId1058" Type="http://schemas.openxmlformats.org/officeDocument/2006/relationships/hyperlink" Target="https://advance.lexis.com/api/document?collection=cases-ca&amp;id=urn:contentItem:5F7T-S6Y1-JF75-M3TH-00000-00&amp;context=" TargetMode="External" /><Relationship Id="rId1059" Type="http://schemas.openxmlformats.org/officeDocument/2006/relationships/hyperlink" Target="https://advance.lexis.com/api/document?collection=cases-ca&amp;id=urn:contentItem:5F8T-N3V1-FC1F-M4CP-00000-00&amp;context=" TargetMode="External" /><Relationship Id="rId106" Type="http://schemas.openxmlformats.org/officeDocument/2006/relationships/hyperlink" Target="https://advance.lexis.com/api/document?collection=cases-ca&amp;id=urn:contentItem:5F7T-S761-F81W-21YJ-00000-00&amp;context=" TargetMode="External" /><Relationship Id="rId1060" Type="http://schemas.openxmlformats.org/officeDocument/2006/relationships/hyperlink" Target="https://advance.lexis.com/api/document?collection=cases-ca&amp;id=urn:contentItem:5F7T-S7K1-F528-G2YB-00000-00&amp;context=" TargetMode="External" /><Relationship Id="rId1061" Type="http://schemas.openxmlformats.org/officeDocument/2006/relationships/hyperlink" Target="https://advance.lexis.com/api/document?collection=cases-ca&amp;id=urn:contentItem:5F16-93D1-JFSV-G0MN-00000-00&amp;context=" TargetMode="External" /><Relationship Id="rId1062" Type="http://schemas.openxmlformats.org/officeDocument/2006/relationships/hyperlink" Target="https://advance.lexis.com/api/document?collection=cases-ca&amp;id=urn:contentItem:5F16-93D1-JN6B-S254-00000-00&amp;context=" TargetMode="External" /><Relationship Id="rId1063" Type="http://schemas.openxmlformats.org/officeDocument/2006/relationships/image" Target="media/image1.jpeg" /><Relationship Id="rId1064" Type="http://schemas.openxmlformats.org/officeDocument/2006/relationships/header" Target="header139.xml" /><Relationship Id="rId1065" Type="http://schemas.openxmlformats.org/officeDocument/2006/relationships/header" Target="header140.xml" /><Relationship Id="rId1066" Type="http://schemas.openxmlformats.org/officeDocument/2006/relationships/footer" Target="footer139.xml" /><Relationship Id="rId1067" Type="http://schemas.openxmlformats.org/officeDocument/2006/relationships/footer" Target="footer140.xml" /><Relationship Id="rId1068" Type="http://schemas.openxmlformats.org/officeDocument/2006/relationships/header" Target="header141.xml" /><Relationship Id="rId1069" Type="http://schemas.openxmlformats.org/officeDocument/2006/relationships/footer" Target="footer141.xml" /><Relationship Id="rId107" Type="http://schemas.openxmlformats.org/officeDocument/2006/relationships/hyperlink" Target="https://advance.lexis.com/api/document?collection=cases-ca&amp;id=urn:contentItem:5F16-9361-DY89-M1NG-00000-00&amp;context=" TargetMode="External" /><Relationship Id="rId1070" Type="http://schemas.openxmlformats.org/officeDocument/2006/relationships/hyperlink" Target="https://advance.lexis.com/api/document?collection=cases-ca&amp;id=urn:contentItem:5HR4-FPP1-JG02-S2D4-00000-00&amp;context=" TargetMode="External" /><Relationship Id="rId1071" Type="http://schemas.openxmlformats.org/officeDocument/2006/relationships/hyperlink" Target="https://advance.lexis.com/api/document?collection=cases-ca&amp;id=urn:contentItem:5K6Y-81T1-JYYX-6220-00000-00&amp;context=" TargetMode="External" /><Relationship Id="rId1072" Type="http://schemas.openxmlformats.org/officeDocument/2006/relationships/hyperlink" Target="https://advance.lexis.com/api/document?collection=cases-ca&amp;id=urn:contentItem:5F8T-N3V1-JTGH-B18F-00000-00&amp;context=" TargetMode="External" /><Relationship Id="rId1073" Type="http://schemas.openxmlformats.org/officeDocument/2006/relationships/hyperlink" Target="https://advance.lexis.com/api/document?collection=cases-ca&amp;id=urn:contentItem:5F8T-N3V1-JTGH-B153-00000-00&amp;context=" TargetMode="External" /><Relationship Id="rId1074" Type="http://schemas.openxmlformats.org/officeDocument/2006/relationships/hyperlink" Target="https://advance.lexis.com/api/document?collection=cases-ca&amp;id=urn:contentItem:5F7T-S741-F2F4-G2J8-00000-00&amp;context=" TargetMode="External" /><Relationship Id="rId1075" Type="http://schemas.openxmlformats.org/officeDocument/2006/relationships/hyperlink" Target="https://advance.lexis.com/api/document?collection=cases-ca&amp;id=urn:contentItem:5F7T-S7D1-FBFS-S1M7-00000-00&amp;context=" TargetMode="External" /><Relationship Id="rId1076" Type="http://schemas.openxmlformats.org/officeDocument/2006/relationships/hyperlink" Target="https://advance.lexis.com/api/document?collection=cases-ca&amp;id=urn:contentItem:5F82-1SF1-F361-M45M-00000-00&amp;context=" TargetMode="External" /><Relationship Id="rId1077" Type="http://schemas.openxmlformats.org/officeDocument/2006/relationships/hyperlink" Target="https://advance.lexis.com/api/document?collection=cases-ca&amp;id=urn:contentItem:5F7T-S7K1-F1H1-22C1-00000-00&amp;context=" TargetMode="External" /><Relationship Id="rId1078" Type="http://schemas.openxmlformats.org/officeDocument/2006/relationships/hyperlink" Target="https://advance.lexis.com/api/document?collection=cases-ca&amp;id=urn:contentItem:5F7T-S7M1-F4W2-62BF-00000-00&amp;context=" TargetMode="External" /><Relationship Id="rId1079" Type="http://schemas.openxmlformats.org/officeDocument/2006/relationships/hyperlink" Target="https://advance.lexis.com/api/document?collection=cases-ca&amp;id=urn:contentItem:5F8T-N3S1-JT99-250W-00000-00&amp;context=" TargetMode="External" /><Relationship Id="rId108" Type="http://schemas.openxmlformats.org/officeDocument/2006/relationships/hyperlink" Target="https://advance.lexis.com/api/document?collection=cases-ca&amp;id=urn:contentItem:5F8P-SF21-FH4C-X1P5-00000-00&amp;context=" TargetMode="External" /><Relationship Id="rId1080" Type="http://schemas.openxmlformats.org/officeDocument/2006/relationships/hyperlink" Target="https://advance.lexis.com/api/document?collection=cases-ca&amp;id=urn:contentItem:5GWF-M0T1-F8KH-X2FP-00000-00&amp;context=" TargetMode="External" /><Relationship Id="rId1081" Type="http://schemas.openxmlformats.org/officeDocument/2006/relationships/hyperlink" Target="https://advance.lexis.com/api/document?collection=cases-ca&amp;id=urn:contentItem:5GCC-XVB1-FK0M-S4TJ-00000-00&amp;context=" TargetMode="External" /><Relationship Id="rId1082" Type="http://schemas.openxmlformats.org/officeDocument/2006/relationships/hyperlink" Target="https://advance.lexis.com/api/document?collection=cases-ca&amp;id=urn:contentItem:5F7T-S7P1-JSJC-X1MR-00000-00&amp;context=" TargetMode="External" /><Relationship Id="rId1083" Type="http://schemas.openxmlformats.org/officeDocument/2006/relationships/hyperlink" Target="https://advance.lexis.com/api/document?collection=cases-ca&amp;id=urn:contentItem:5F7T-S7P1-JCRC-B25G-00000-00&amp;context=" TargetMode="External" /><Relationship Id="rId1084" Type="http://schemas.openxmlformats.org/officeDocument/2006/relationships/hyperlink" Target="https://advance.lexis.com/api/document?collection=cases-ca&amp;id=urn:contentItem:5F7T-S7N1-JGHR-M2XR-00000-00&amp;context=" TargetMode="External" /><Relationship Id="rId1085" Type="http://schemas.openxmlformats.org/officeDocument/2006/relationships/hyperlink" Target="https://advance.lexis.com/api/document?collection=cases-ca&amp;id=urn:contentItem:5GNP-DGD1-JJYN-B1W0-00000-00&amp;context=" TargetMode="External" /><Relationship Id="rId1086" Type="http://schemas.openxmlformats.org/officeDocument/2006/relationships/hyperlink" Target="https://advance.lexis.com/api/document?collection=cases-ca&amp;id=urn:contentItem:5F7T-S7N1-F06F-24M7-00000-00&amp;context=" TargetMode="External" /><Relationship Id="rId1087" Type="http://schemas.openxmlformats.org/officeDocument/2006/relationships/hyperlink" Target="https://advance.lexis.com/api/document?collection=cases-ca&amp;id=urn:contentItem:5F7T-S7D1-DY89-M463-00000-00&amp;context=" TargetMode="External" /><Relationship Id="rId1088" Type="http://schemas.openxmlformats.org/officeDocument/2006/relationships/hyperlink" Target="https://advance.lexis.com/api/document?collection=cases-ca&amp;id=urn:contentItem:5F7T-S7P1-JP4G-61Y2-00000-00&amp;context=" TargetMode="External" /><Relationship Id="rId1089" Type="http://schemas.openxmlformats.org/officeDocument/2006/relationships/hyperlink" Target="https://advance.lexis.com/api/document?collection=cases-ca&amp;id=urn:contentItem:5F7T-S7N1-JW09-M12P-00000-00&amp;context=" TargetMode="External" /><Relationship Id="rId109" Type="http://schemas.openxmlformats.org/officeDocument/2006/relationships/hyperlink" Target="https://advance.lexis.com/api/document?collection=cases-ca&amp;id=urn:contentItem:5F8T-N3T1-JFKM-652P-00000-00&amp;context=" TargetMode="External" /><Relationship Id="rId1090" Type="http://schemas.openxmlformats.org/officeDocument/2006/relationships/hyperlink" Target="https://advance.lexis.com/api/document?collection=cases-ca&amp;id=urn:contentItem:5F7T-S7K1-JSJC-X168-00000-00&amp;context=" TargetMode="External" /><Relationship Id="rId1091" Type="http://schemas.openxmlformats.org/officeDocument/2006/relationships/hyperlink" Target="https://advance.lexis.com/api/document?collection=cases-ca&amp;id=urn:contentItem:5F7T-S7H1-F4GK-M364-00000-00&amp;context=" TargetMode="External" /><Relationship Id="rId1092" Type="http://schemas.openxmlformats.org/officeDocument/2006/relationships/hyperlink" Target="https://advance.lexis.com/api/document?collection=cases-ca&amp;id=urn:contentItem:5F7T-S7M1-DYMS-62FG-00000-00&amp;context=" TargetMode="External" /><Relationship Id="rId1093" Type="http://schemas.openxmlformats.org/officeDocument/2006/relationships/hyperlink" Target="https://advance.lexis.com/api/document?collection=cases-ca&amp;id=urn:contentItem:5F7T-S741-DY89-M3R3-00000-00&amp;context=" TargetMode="External" /><Relationship Id="rId1094" Type="http://schemas.openxmlformats.org/officeDocument/2006/relationships/hyperlink" Target="https://advance.lexis.com/api/document?collection=cases-ca&amp;id=urn:contentItem:5F7T-S7P1-JCRC-B1YX-00000-00&amp;context=" TargetMode="External" /><Relationship Id="rId1095" Type="http://schemas.openxmlformats.org/officeDocument/2006/relationships/header" Target="header142.xml" /><Relationship Id="rId1096" Type="http://schemas.openxmlformats.org/officeDocument/2006/relationships/header" Target="header143.xml" /><Relationship Id="rId1097" Type="http://schemas.openxmlformats.org/officeDocument/2006/relationships/footer" Target="footer142.xml" /><Relationship Id="rId1098" Type="http://schemas.openxmlformats.org/officeDocument/2006/relationships/footer" Target="footer143.xml" /><Relationship Id="rId1099" Type="http://schemas.openxmlformats.org/officeDocument/2006/relationships/header" Target="header144.xml" /><Relationship Id="rId11" Type="http://schemas.openxmlformats.org/officeDocument/2006/relationships/hyperlink" Target="https://advance.lexis.com/api/document?collection=cases-ca&amp;id=urn:contentItem:5F7T-S771-JJD0-G14N-00000-00&amp;context=" TargetMode="External" /><Relationship Id="rId110" Type="http://schemas.openxmlformats.org/officeDocument/2006/relationships/hyperlink" Target="https://advance.lexis.com/api/document?collection=cases-ca&amp;id=urn:contentItem:5F7H-KW81-F7G6-6081-00000-00&amp;context=" TargetMode="External" /><Relationship Id="rId1100" Type="http://schemas.openxmlformats.org/officeDocument/2006/relationships/footer" Target="footer144.xml" /><Relationship Id="rId1101" Type="http://schemas.openxmlformats.org/officeDocument/2006/relationships/hyperlink" Target="https://advance.lexis.com/api/document?collection=cases-ca&amp;id=urn:contentItem:5F7T-S7M1-JJK6-S1N6-00000-00&amp;context=" TargetMode="External" /><Relationship Id="rId1102" Type="http://schemas.openxmlformats.org/officeDocument/2006/relationships/hyperlink" Target="https://advance.lexis.com/api/document?collection=legislation-ca&amp;id=urn:contentItem:5F3B-B8K1-F81W-220F-00000-00&amp;context=" TargetMode="External" /><Relationship Id="rId1103" Type="http://schemas.openxmlformats.org/officeDocument/2006/relationships/hyperlink" Target="https://advance.lexis.com/api/document?collection=legislation-ca&amp;id=urn:contentItem:5VYK-WB61-JJD0-G4F3-00000-00&amp;context=" TargetMode="External" /><Relationship Id="rId1104" Type="http://schemas.openxmlformats.org/officeDocument/2006/relationships/hyperlink" Target="https://advance.lexis.com/api/document?collection=legislation-ca&amp;id=urn:contentItem:5VYK-WB51-JW09-M4VW-00000-00&amp;context=" TargetMode="External" /><Relationship Id="rId1105" Type="http://schemas.openxmlformats.org/officeDocument/2006/relationships/hyperlink" Target="https://advance.lexis.com/api/document?collection=cases-ca&amp;id=urn:contentItem:5F8N-K6Y1-JBM1-M3HN-00000-00&amp;context=" TargetMode="External" /><Relationship Id="rId1106" Type="http://schemas.openxmlformats.org/officeDocument/2006/relationships/hyperlink" Target="https://advance.lexis.com/api/document?collection=cases-ca&amp;id=urn:contentItem:5F7T-S7H1-JS5Y-B31F-00000-00&amp;context=" TargetMode="External" /><Relationship Id="rId1107" Type="http://schemas.openxmlformats.org/officeDocument/2006/relationships/hyperlink" Target="https://advance.lexis.com/api/document?collection=cases-ca&amp;id=urn:contentItem:5F8T-N3V1-FH4C-X1VX-00000-00&amp;context=" TargetMode="External" /><Relationship Id="rId1108" Type="http://schemas.openxmlformats.org/officeDocument/2006/relationships/hyperlink" Target="https://advance.lexis.com/api/document?collection=cases-ca&amp;id=urn:contentItem:5F7F-5RH1-FD4T-B03P-00000-00&amp;context=" TargetMode="External" /><Relationship Id="rId1109" Type="http://schemas.openxmlformats.org/officeDocument/2006/relationships/hyperlink" Target="https://advance.lexis.com/api/document?collection=cases-ca&amp;id=urn:contentItem:5F8P-SF11-JW5H-X4DY-00000-00&amp;context=" TargetMode="External" /><Relationship Id="rId111" Type="http://schemas.openxmlformats.org/officeDocument/2006/relationships/hyperlink" Target="https://advance.lexis.com/api/document?collection=cases-ca&amp;id=urn:contentItem:5F8P-SCD1-F1H1-22FY-00000-00&amp;context=" TargetMode="External" /><Relationship Id="rId1110" Type="http://schemas.openxmlformats.org/officeDocument/2006/relationships/hyperlink" Target="https://advance.lexis.com/api/document?collection=cases-ca&amp;id=urn:contentItem:5F81-VJY1-JWBS-64RM-00000-00&amp;context=" TargetMode="External" /><Relationship Id="rId1111" Type="http://schemas.openxmlformats.org/officeDocument/2006/relationships/hyperlink" Target="https://advance.lexis.com/api/document?collection=legislation-ca&amp;id=urn:contentItem:5VYK-WB41-F22N-X4VK-00000-00&amp;context=" TargetMode="External" /><Relationship Id="rId1112" Type="http://schemas.openxmlformats.org/officeDocument/2006/relationships/hyperlink" Target="https://advance.lexis.com/api/document?collection=cases-ca&amp;id=urn:contentItem:5F8T-N3T1-JFKM-654F-00000-00&amp;context=" TargetMode="External" /><Relationship Id="rId1113" Type="http://schemas.openxmlformats.org/officeDocument/2006/relationships/hyperlink" Target="https://advance.lexis.com/api/document?collection=cases-ca&amp;id=urn:contentItem:5F7T-S7K1-JX3N-B2XW-00000-00&amp;context=" TargetMode="External" /><Relationship Id="rId1114" Type="http://schemas.openxmlformats.org/officeDocument/2006/relationships/hyperlink" Target="https://advance.lexis.com/api/document?collection=cases-ca&amp;id=urn:contentItem:5F7T-S791-FJTD-G2G7-00000-00&amp;context=" TargetMode="External" /><Relationship Id="rId1115" Type="http://schemas.openxmlformats.org/officeDocument/2006/relationships/hyperlink" Target="https://advance.lexis.com/api/document?collection=cases-ca&amp;id=urn:contentItem:5F16-9341-DY33-B4H2-00000-00&amp;context=" TargetMode="External" /><Relationship Id="rId1116" Type="http://schemas.openxmlformats.org/officeDocument/2006/relationships/hyperlink" Target="https://advance.lexis.com/api/document?collection=cases-ca&amp;id=urn:contentItem:5F82-1SD1-JX8W-M13K-00000-00&amp;context=" TargetMode="External" /><Relationship Id="rId1117" Type="http://schemas.openxmlformats.org/officeDocument/2006/relationships/header" Target="header145.xml" /><Relationship Id="rId1118" Type="http://schemas.openxmlformats.org/officeDocument/2006/relationships/header" Target="header146.xml" /><Relationship Id="rId1119" Type="http://schemas.openxmlformats.org/officeDocument/2006/relationships/footer" Target="footer145.xml" /><Relationship Id="rId112" Type="http://schemas.openxmlformats.org/officeDocument/2006/relationships/hyperlink" Target="https://advance.lexis.com/api/document?collection=cases-ca&amp;id=urn:contentItem:5F7T-S6X1-FJDY-X1F2-00000-00&amp;context=" TargetMode="External" /><Relationship Id="rId1120" Type="http://schemas.openxmlformats.org/officeDocument/2006/relationships/footer" Target="footer146.xml" /><Relationship Id="rId1121" Type="http://schemas.openxmlformats.org/officeDocument/2006/relationships/header" Target="header147.xml" /><Relationship Id="rId1122" Type="http://schemas.openxmlformats.org/officeDocument/2006/relationships/footer" Target="footer147.xml" /><Relationship Id="rId1123" Type="http://schemas.openxmlformats.org/officeDocument/2006/relationships/hyperlink" Target="https://advance.lexis.com/api/document?collection=cases-ca&amp;id=urn:contentItem:5F7T-S7D1-JN6B-S16W-00000-00&amp;context=" TargetMode="External" /><Relationship Id="rId1124" Type="http://schemas.openxmlformats.org/officeDocument/2006/relationships/hyperlink" Target="https://advance.lexis.com/api/document?collection=cases-ca&amp;id=urn:contentItem:5F7T-S741-F528-G2F5-00000-00&amp;context=" TargetMode="External" /><Relationship Id="rId1125" Type="http://schemas.openxmlformats.org/officeDocument/2006/relationships/hyperlink" Target="https://advance.lexis.com/api/document?collection=cases-ca&amp;id=urn:contentItem:5F7T-S751-JG02-S2J2-00000-00&amp;context=" TargetMode="External" /><Relationship Id="rId1126" Type="http://schemas.openxmlformats.org/officeDocument/2006/relationships/hyperlink" Target="https://advance.lexis.com/api/document?collection=cases-ca&amp;id=urn:contentItem:5F7T-S761-F7ND-G469-00000-00&amp;context=" TargetMode="External" /><Relationship Id="rId1127" Type="http://schemas.openxmlformats.org/officeDocument/2006/relationships/hyperlink" Target="https://advance.lexis.com/api/document?collection=cases-ca&amp;id=urn:contentItem:5F7T-S761-JS5Y-B1JT-00000-00&amp;context=" TargetMode="External" /><Relationship Id="rId1128" Type="http://schemas.openxmlformats.org/officeDocument/2006/relationships/hyperlink" Target="https://advance.lexis.com/api/document?collection=cases-ca&amp;id=urn:contentItem:5F7T-S761-F7ND-G4GV-00000-00&amp;context=" TargetMode="External" /><Relationship Id="rId1129" Type="http://schemas.openxmlformats.org/officeDocument/2006/relationships/hyperlink" Target="https://advance.lexis.com/api/document?collection=cases-ca&amp;id=urn:contentItem:5F7T-S7C1-F4NT-X32W-00000-00&amp;context=" TargetMode="External" /><Relationship Id="rId113" Type="http://schemas.openxmlformats.org/officeDocument/2006/relationships/hyperlink" Target="https://advance.lexis.com/api/document?collection=cases-ca&amp;id=urn:contentItem:5F7T-S771-JN14-G2FV-00000-00&amp;context=" TargetMode="External" /><Relationship Id="rId1130" Type="http://schemas.openxmlformats.org/officeDocument/2006/relationships/hyperlink" Target="https://advance.lexis.com/api/document?collection=cases-ca&amp;id=urn:contentItem:5F7T-S751-JG02-S29H-00000-00&amp;context=" TargetMode="External" /><Relationship Id="rId1131" Type="http://schemas.openxmlformats.org/officeDocument/2006/relationships/hyperlink" Target="https://advance.lexis.com/api/document?collection=cases-ca&amp;id=urn:contentItem:5F7T-S781-JSC5-M4F5-00000-00&amp;context=" TargetMode="External" /><Relationship Id="rId1132" Type="http://schemas.openxmlformats.org/officeDocument/2006/relationships/hyperlink" Target="https://advance.lexis.com/api/document?collection=cases-ca&amp;id=urn:contentItem:5F7T-S781-JC5P-G1SM-00000-00&amp;context=" TargetMode="External" /><Relationship Id="rId1133" Type="http://schemas.openxmlformats.org/officeDocument/2006/relationships/hyperlink" Target="https://advance.lexis.com/api/document?collection=cases-ca&amp;id=urn:contentItem:5F7T-S771-JTGH-B1BR-00000-00&amp;context=" TargetMode="External" /><Relationship Id="rId1134" Type="http://schemas.openxmlformats.org/officeDocument/2006/relationships/hyperlink" Target="https://advance.lexis.com/api/document?collection=cases-ca&amp;id=urn:contentItem:5F7T-S7B1-FH4C-X38C-00000-00&amp;context=" TargetMode="External" /><Relationship Id="rId1135" Type="http://schemas.openxmlformats.org/officeDocument/2006/relationships/hyperlink" Target="https://advance.lexis.com/api/document?collection=cases-ca&amp;id=urn:contentItem:5F7T-S731-F60C-X11W-00000-00&amp;context=" TargetMode="External" /><Relationship Id="rId1136" Type="http://schemas.openxmlformats.org/officeDocument/2006/relationships/hyperlink" Target="https://advance.lexis.com/api/document?collection=cases-ca&amp;id=urn:contentItem:5F7T-S771-JSJC-X05N-00000-00&amp;context=" TargetMode="External" /><Relationship Id="rId1137" Type="http://schemas.openxmlformats.org/officeDocument/2006/relationships/header" Target="header148.xml" /><Relationship Id="rId1138" Type="http://schemas.openxmlformats.org/officeDocument/2006/relationships/header" Target="header149.xml" /><Relationship Id="rId1139" Type="http://schemas.openxmlformats.org/officeDocument/2006/relationships/footer" Target="footer148.xml" /><Relationship Id="rId114" Type="http://schemas.openxmlformats.org/officeDocument/2006/relationships/hyperlink" Target="https://advance.lexis.com/api/document?collection=cases-ca&amp;id=urn:contentItem:5F7T-S6X1-FBN1-210X-00000-00&amp;context=" TargetMode="External" /><Relationship Id="rId1140" Type="http://schemas.openxmlformats.org/officeDocument/2006/relationships/footer" Target="footer149.xml" /><Relationship Id="rId1141" Type="http://schemas.openxmlformats.org/officeDocument/2006/relationships/header" Target="header150.xml" /><Relationship Id="rId1142" Type="http://schemas.openxmlformats.org/officeDocument/2006/relationships/footer" Target="footer150.xml" /><Relationship Id="rId1143" Type="http://schemas.openxmlformats.org/officeDocument/2006/relationships/hyperlink" Target="https://advance.lexis.com/api/document?collection=cases-ca&amp;id=urn:contentItem:5TCW-MDW1-JX8W-M2KS-00000-00&amp;context=" TargetMode="External" /><Relationship Id="rId1144" Type="http://schemas.openxmlformats.org/officeDocument/2006/relationships/hyperlink" Target="https://advance.lexis.com/api/document?collection=cases-ca&amp;id=urn:contentItem:5VYK-93J1-FJDY-X4B0-00000-00&amp;context=" TargetMode="External" /><Relationship Id="rId1145" Type="http://schemas.openxmlformats.org/officeDocument/2006/relationships/hyperlink" Target="https://advance.lexis.com/api/document?collection=cases-ca&amp;id=urn:contentItem:5F7T-S6V1-JNS1-M0BG-00000-00&amp;context=" TargetMode="External" /><Relationship Id="rId1146" Type="http://schemas.openxmlformats.org/officeDocument/2006/relationships/hyperlink" Target="https://advance.lexis.com/api/document?collection=cases-ca&amp;id=urn:contentItem:5F7T-S7N1-F06F-24KX-00000-00&amp;context=" TargetMode="External" /><Relationship Id="rId1147" Type="http://schemas.openxmlformats.org/officeDocument/2006/relationships/hyperlink" Target="https://advance.lexis.com/api/document?collection=cases-ca&amp;id=urn:contentItem:5F7T-S7M1-JNCK-22RP-00000-00&amp;context=" TargetMode="External" /><Relationship Id="rId1148" Type="http://schemas.openxmlformats.org/officeDocument/2006/relationships/hyperlink" Target="https://advance.lexis.com/api/document?collection=cases-ca&amp;id=urn:contentItem:5F7T-S781-F7G6-63NT-00000-00&amp;context=" TargetMode="External" /><Relationship Id="rId1149" Type="http://schemas.openxmlformats.org/officeDocument/2006/relationships/hyperlink" Target="https://advance.lexis.com/api/document?collection=cases-ca&amp;id=urn:contentItem:5F82-1SF1-JXG3-X2CR-00000-00&amp;context=" TargetMode="External" /><Relationship Id="rId115" Type="http://schemas.openxmlformats.org/officeDocument/2006/relationships/hyperlink" Target="https://advance.lexis.com/api/document?collection=cases-ca&amp;id=urn:contentItem:5F81-VJS1-JBDT-B341-00000-00&amp;context=" TargetMode="External" /><Relationship Id="rId1150" Type="http://schemas.openxmlformats.org/officeDocument/2006/relationships/hyperlink" Target="https://advance.lexis.com/api/document?collection=cases-ca&amp;id=urn:contentItem:5F7T-S7N1-DXWW-206B-00000-00&amp;context=" TargetMode="External" /><Relationship Id="rId1151" Type="http://schemas.openxmlformats.org/officeDocument/2006/relationships/hyperlink" Target="https://advance.lexis.com/api/document?collection=cases-ca&amp;id=urn:contentItem:5MYY-YHT1-FGCG-S1WD-00000-00&amp;context=" TargetMode="External" /><Relationship Id="rId1152" Type="http://schemas.openxmlformats.org/officeDocument/2006/relationships/hyperlink" Target="https://advance.lexis.com/api/document?collection=cases-ca&amp;id=urn:contentItem:5F7T-S771-JTGH-B1DX-00000-00&amp;context=" TargetMode="External" /><Relationship Id="rId1153" Type="http://schemas.openxmlformats.org/officeDocument/2006/relationships/hyperlink" Target="https://advance.lexis.com/api/document?collection=cases-ca&amp;id=urn:contentItem:5RHM-83W1-F873-B4BS-00000-00&amp;context=" TargetMode="External" /><Relationship Id="rId1154" Type="http://schemas.openxmlformats.org/officeDocument/2006/relationships/hyperlink" Target="https://advance.lexis.com/api/document?collection=cases-ca&amp;id=urn:contentItem:5F7T-S7M1-JPP5-22TH-00000-00&amp;context=" TargetMode="External" /><Relationship Id="rId1155" Type="http://schemas.openxmlformats.org/officeDocument/2006/relationships/hyperlink" Target="https://advance.lexis.com/api/document?collection=cases-ca&amp;id=urn:contentItem:5F7T-S7P1-JNJT-B2TJ-00000-00&amp;context=" TargetMode="External" /><Relationship Id="rId1156" Type="http://schemas.openxmlformats.org/officeDocument/2006/relationships/hyperlink" Target="https://advance.lexis.com/api/document?collection=cases-ca&amp;id=urn:contentItem:5KP4-X8R1-JW09-M429-00000-00&amp;context=" TargetMode="External" /><Relationship Id="rId1157" Type="http://schemas.openxmlformats.org/officeDocument/2006/relationships/hyperlink" Target="https://advance.lexis.com/api/document?collection=cases-ca&amp;id=urn:contentItem:5PXJ-HY71-JFKM-62SG-00000-00&amp;context=" TargetMode="External" /><Relationship Id="rId1158" Type="http://schemas.openxmlformats.org/officeDocument/2006/relationships/hyperlink" Target="https://advance.lexis.com/api/document?collection=cases-ca&amp;id=urn:contentItem:5HJF-6CT1-JJK6-S1V8-00000-00&amp;context=" TargetMode="External" /><Relationship Id="rId1159" Type="http://schemas.openxmlformats.org/officeDocument/2006/relationships/hyperlink" Target="https://advance.lexis.com/api/document?collection=cases-ca&amp;id=urn:contentItem:5J17-BK31-F5T5-M244-00000-00&amp;context=" TargetMode="External" /><Relationship Id="rId116" Type="http://schemas.openxmlformats.org/officeDocument/2006/relationships/header" Target="header19.xml" /><Relationship Id="rId1160" Type="http://schemas.openxmlformats.org/officeDocument/2006/relationships/hyperlink" Target="https://advance.lexis.com/api/document?collection=cases-ca&amp;id=urn:contentItem:5F7T-S7H1-F016-S3X8-00000-00&amp;context=" TargetMode="External" /><Relationship Id="rId1161" Type="http://schemas.openxmlformats.org/officeDocument/2006/relationships/hyperlink" Target="https://advance.lexis.com/api/document?collection=cases-ca&amp;id=urn:contentItem:5F8T-N3T1-JFKM-6549-00000-00&amp;context=" TargetMode="External" /><Relationship Id="rId1162" Type="http://schemas.openxmlformats.org/officeDocument/2006/relationships/hyperlink" Target="https://advance.lexis.com/api/document?collection=cases-ca&amp;id=urn:contentItem:5F8T-N3S1-JT99-250X-00000-00&amp;context=" TargetMode="External" /><Relationship Id="rId1163" Type="http://schemas.openxmlformats.org/officeDocument/2006/relationships/hyperlink" Target="https://advance.lexis.com/api/document?collection=cases-ca&amp;id=urn:contentItem:5F8T-N3T1-JJSF-234V-00000-00&amp;context=" TargetMode="External" /><Relationship Id="rId1164" Type="http://schemas.openxmlformats.org/officeDocument/2006/relationships/hyperlink" Target="https://advance.lexis.com/api/document?collection=cases-ca&amp;id=urn:contentItem:5NG8-K2H1-DY89-M2G3-00000-00&amp;context=" TargetMode="External" /><Relationship Id="rId1165" Type="http://schemas.openxmlformats.org/officeDocument/2006/relationships/hyperlink" Target="https://advance.lexis.com/api/document?collection=cases-ca&amp;id=urn:contentItem:5F7T-S7H1-F016-S3Y1-00000-00&amp;context=" TargetMode="External" /><Relationship Id="rId1166" Type="http://schemas.openxmlformats.org/officeDocument/2006/relationships/hyperlink" Target="https://advance.lexis.com/api/document?collection=cases-ca&amp;id=urn:contentItem:5NH3-PSK1-JCJ5-216V-00000-00&amp;context=" TargetMode="External" /><Relationship Id="rId1167" Type="http://schemas.openxmlformats.org/officeDocument/2006/relationships/hyperlink" Target="https://advance.lexis.com/api/document?collection=cases-ca&amp;id=urn:contentItem:5NBM-9KY1-JCRC-B3Y8-00000-00&amp;context=" TargetMode="External" /><Relationship Id="rId1168" Type="http://schemas.openxmlformats.org/officeDocument/2006/relationships/hyperlink" Target="https://advance.lexis.com/api/document?collection=cases-ca&amp;id=urn:contentItem:5F7T-S7N1-JW09-M126-00000-00&amp;context=" TargetMode="External" /><Relationship Id="rId1169" Type="http://schemas.openxmlformats.org/officeDocument/2006/relationships/hyperlink" Target="https://advance.lexis.com/api/document?collection=cases-ca&amp;id=urn:contentItem:5F7T-S7P1-JG02-S42X-00000-00&amp;context=" TargetMode="External" /><Relationship Id="rId117" Type="http://schemas.openxmlformats.org/officeDocument/2006/relationships/header" Target="header20.xml" /><Relationship Id="rId1170" Type="http://schemas.openxmlformats.org/officeDocument/2006/relationships/hyperlink" Target="https://advance.lexis.com/api/document?collection=cases-ca&amp;id=urn:contentItem:5GCC-XVC1-JSRM-60WB-00000-00&amp;context=" TargetMode="External" /><Relationship Id="rId1171" Type="http://schemas.openxmlformats.org/officeDocument/2006/relationships/hyperlink" Target="https://advance.lexis.com/api/document?collection=cases-ca&amp;id=urn:contentItem:5F7T-S7N1-JWR6-S269-00000-00&amp;context=" TargetMode="External" /><Relationship Id="rId1172" Type="http://schemas.openxmlformats.org/officeDocument/2006/relationships/hyperlink" Target="https://advance.lexis.com/api/document?collection=cases-ca&amp;id=urn:contentItem:5G4S-FF61-K0HK-24SP-00000-00&amp;context=" TargetMode="External" /><Relationship Id="rId1173" Type="http://schemas.openxmlformats.org/officeDocument/2006/relationships/hyperlink" Target="https://advance.lexis.com/api/document?collection=cases-ca&amp;id=urn:contentItem:5K3Y-46B1-JXG3-X0TM-00000-00&amp;context=" TargetMode="External" /><Relationship Id="rId1174" Type="http://schemas.openxmlformats.org/officeDocument/2006/relationships/hyperlink" Target="https://advance.lexis.com/api/document?collection=cases-ca&amp;id=urn:contentItem:5F7T-S7K1-DY33-B1K8-00000-00&amp;context=" TargetMode="External" /><Relationship Id="rId1175" Type="http://schemas.openxmlformats.org/officeDocument/2006/relationships/hyperlink" Target="https://advance.lexis.com/api/document?collection=cases-ca&amp;id=urn:contentItem:5F7T-S7P1-JSJC-X1SJ-00000-00&amp;context=" TargetMode="External" /><Relationship Id="rId1176" Type="http://schemas.openxmlformats.org/officeDocument/2006/relationships/hyperlink" Target="https://advance.lexis.com/api/document?collection=cases-ca&amp;id=urn:contentItem:5F7T-S7P1-JP4G-61SC-00000-00&amp;context=" TargetMode="External" /><Relationship Id="rId1177" Type="http://schemas.openxmlformats.org/officeDocument/2006/relationships/hyperlink" Target="https://advance.lexis.com/api/document?collection=cases-ca&amp;id=urn:contentItem:5F7T-S7K1-JKHB-62PC-00000-00&amp;context=" TargetMode="External" /><Relationship Id="rId1178" Type="http://schemas.openxmlformats.org/officeDocument/2006/relationships/hyperlink" Target="https://advance.lexis.com/api/document?collection=cases-ca&amp;id=urn:contentItem:5F7T-S7K1-DY33-B1KT-00000-00&amp;context=" TargetMode="External" /><Relationship Id="rId1179" Type="http://schemas.openxmlformats.org/officeDocument/2006/relationships/hyperlink" Target="https://advance.lexis.com/api/document?collection=cases-ca&amp;id=urn:contentItem:5M37-6RB1-FJDY-X09R-00000-00&amp;context=" TargetMode="External" /><Relationship Id="rId118" Type="http://schemas.openxmlformats.org/officeDocument/2006/relationships/footer" Target="footer19.xml" /><Relationship Id="rId1180" Type="http://schemas.openxmlformats.org/officeDocument/2006/relationships/hyperlink" Target="https://advance.lexis.com/api/document?collection=cases-ca&amp;id=urn:contentItem:5JW3-TKC1-JGPY-X4PG-00000-00&amp;context=" TargetMode="External" /><Relationship Id="rId1181" Type="http://schemas.openxmlformats.org/officeDocument/2006/relationships/hyperlink" Target="https://advance.lexis.com/api/document?collection=cases-ca&amp;id=urn:contentItem:5M13-K1S1-JKHB-644M-00000-00&amp;context=" TargetMode="External" /><Relationship Id="rId1182" Type="http://schemas.openxmlformats.org/officeDocument/2006/relationships/numbering" Target="numbering.xml" /><Relationship Id="rId1183" Type="http://schemas.openxmlformats.org/officeDocument/2006/relationships/styles" Target="styles.xml" /><Relationship Id="rId119" Type="http://schemas.openxmlformats.org/officeDocument/2006/relationships/footer" Target="footer20.xml" /><Relationship Id="rId12" Type="http://schemas.openxmlformats.org/officeDocument/2006/relationships/hyperlink" Target="https://advance.lexis.com/api/document?collection=cases-ca&amp;id=urn:contentItem:5G7X-SNK1-FD4T-B000-00000-00&amp;context=" TargetMode="External" /><Relationship Id="rId120" Type="http://schemas.openxmlformats.org/officeDocument/2006/relationships/header" Target="header21.xml" /><Relationship Id="rId121" Type="http://schemas.openxmlformats.org/officeDocument/2006/relationships/footer" Target="footer21.xml" /><Relationship Id="rId122" Type="http://schemas.openxmlformats.org/officeDocument/2006/relationships/hyperlink" Target="https://advance.lexis.com/api/document?collection=cases-ca&amp;id=urn:contentItem:5NH3-PSK1-JCJ5-216T-00000-00&amp;context=" TargetMode="External" /><Relationship Id="rId123" Type="http://schemas.openxmlformats.org/officeDocument/2006/relationships/hyperlink" Target="https://advance.lexis.com/api/document?collection=legislation-ca&amp;id=urn:contentItem:5TBM-3RM1-F7VM-S13S-00000-00&amp;context=" TargetMode="External" /><Relationship Id="rId124" Type="http://schemas.openxmlformats.org/officeDocument/2006/relationships/hyperlink" Target="https://advance.lexis.com/api/document?collection=legislation-ca&amp;id=urn:contentItem:5F41-1FM1-JFKM-60XY-00000-00&amp;context=" TargetMode="External" /><Relationship Id="rId125" Type="http://schemas.openxmlformats.org/officeDocument/2006/relationships/hyperlink" Target="https://advance.lexis.com/api/document?collection=legislation-ca&amp;id=urn:contentItem:5VYK-W9W1-JWBS-64Y3-00000-00&amp;context=" TargetMode="External" /><Relationship Id="rId126" Type="http://schemas.openxmlformats.org/officeDocument/2006/relationships/hyperlink" Target="https://advance.lexis.com/api/document?collection=cases-ca&amp;id=urn:contentItem:5MTG-GKR1-FBV7-B2DG-00000-00&amp;context=" TargetMode="External" /><Relationship Id="rId127" Type="http://schemas.openxmlformats.org/officeDocument/2006/relationships/hyperlink" Target="https://advance.lexis.com/api/document?collection=cases-ca&amp;id=urn:contentItem:5NDB-HF11-JNJT-B10Y-00000-00&amp;context=" TargetMode="External" /><Relationship Id="rId128" Type="http://schemas.openxmlformats.org/officeDocument/2006/relationships/hyperlink" Target="https://advance.lexis.com/api/document?collection=cases-ca&amp;id=urn:contentItem:5MXP-54B1-JJD0-G4CG-00000-00&amp;context=" TargetMode="External" /><Relationship Id="rId129" Type="http://schemas.openxmlformats.org/officeDocument/2006/relationships/hyperlink" Target="https://advance.lexis.com/api/document?collection=cases-ca&amp;id=urn:contentItem:5F8T-N3V1-FC1F-M497-00000-00&amp;context=" TargetMode="External" /><Relationship Id="rId13" Type="http://schemas.openxmlformats.org/officeDocument/2006/relationships/hyperlink" Target="https://advance.lexis.com/api/document?collection=cases-ca&amp;id=urn:contentItem:5F81-WC31-F5KY-B4VS-00000-00&amp;context=" TargetMode="External" /><Relationship Id="rId130" Type="http://schemas.openxmlformats.org/officeDocument/2006/relationships/hyperlink" Target="https://advance.lexis.com/api/document?collection=cases-ca&amp;id=urn:contentItem:5F8P-T8Y1-FCSB-S04R-00000-00&amp;context=" TargetMode="External" /><Relationship Id="rId131" Type="http://schemas.openxmlformats.org/officeDocument/2006/relationships/hyperlink" Target="https://advance.lexis.com/api/document?collection=cases-ca&amp;id=urn:contentItem:5F82-1SJ1-JWXF-21T0-00000-00&amp;context=" TargetMode="External" /><Relationship Id="rId132" Type="http://schemas.openxmlformats.org/officeDocument/2006/relationships/hyperlink" Target="https://advance.lexis.com/api/document?collection=cases-ca&amp;id=urn:contentItem:5F8T-N3V1-FH4C-X247-00000-00&amp;context=" TargetMode="External" /><Relationship Id="rId133" Type="http://schemas.openxmlformats.org/officeDocument/2006/relationships/hyperlink" Target="https://advance.lexis.com/api/document?collection=cases-ca&amp;id=urn:contentItem:5F7F-5RG1-JT42-S0JY-00000-00&amp;context=" TargetMode="External" /><Relationship Id="rId134" Type="http://schemas.openxmlformats.org/officeDocument/2006/relationships/hyperlink" Target="https://advance.lexis.com/api/document?collection=cases-ca&amp;id=urn:contentItem:5F8W-M4B1-F81W-22YF-00000-00&amp;context=" TargetMode="External" /><Relationship Id="rId135" Type="http://schemas.openxmlformats.org/officeDocument/2006/relationships/hyperlink" Target="https://advance.lexis.com/api/document?collection=cases-ca&amp;id=urn:contentItem:5F8P-SF01-JTGH-B430-00000-00&amp;context=" TargetMode="External" /><Relationship Id="rId136" Type="http://schemas.openxmlformats.org/officeDocument/2006/relationships/hyperlink" Target="https://advance.lexis.com/api/document?collection=cases-ca&amp;id=urn:contentItem:5F16-9391-F528-G4B1-00000-00&amp;context=" TargetMode="External" /><Relationship Id="rId137" Type="http://schemas.openxmlformats.org/officeDocument/2006/relationships/hyperlink" Target="https://advance.lexis.com/api/document?collection=cases-ca&amp;id=urn:contentItem:5F8N-K711-F1P7-B3TC-00000-00&amp;context=" TargetMode="External" /><Relationship Id="rId138" Type="http://schemas.openxmlformats.org/officeDocument/2006/relationships/hyperlink" Target="https://advance.lexis.com/api/document?collection=cases-ca&amp;id=urn:contentItem:5F81-VJY1-JPGX-S4N1-00000-00&amp;context=" TargetMode="External" /><Relationship Id="rId139" Type="http://schemas.openxmlformats.org/officeDocument/2006/relationships/hyperlink" Target="https://advance.lexis.com/api/document?collection=cases-ca&amp;id=urn:contentItem:5F82-1SJ1-K0BB-S2F8-00000-00&amp;context=" TargetMode="External" /><Relationship Id="rId14" Type="http://schemas.openxmlformats.org/officeDocument/2006/relationships/hyperlink" Target="https://advance.lexis.com/api/document?collection=cases-ca&amp;id=urn:contentItem:5F7T-S6T1-FJTD-G1NW-00000-00&amp;context=" TargetMode="External" /><Relationship Id="rId140" Type="http://schemas.openxmlformats.org/officeDocument/2006/relationships/hyperlink" Target="https://advance.lexis.com/api/document?collection=cases-ca&amp;id=urn:contentItem:5F8P-SFV1-FGY5-M2GV-00000-00&amp;context=" TargetMode="External" /><Relationship Id="rId141" Type="http://schemas.openxmlformats.org/officeDocument/2006/relationships/hyperlink" Target="https://advance.lexis.com/api/document?collection=cases-ca&amp;id=urn:contentItem:5F8T-N3V1-FH4C-X22N-00000-00&amp;context=" TargetMode="External" /><Relationship Id="rId142" Type="http://schemas.openxmlformats.org/officeDocument/2006/relationships/hyperlink" Target="https://advance.lexis.com/api/document?collection=cases-ca&amp;id=urn:contentItem:5F8T-N3V1-JTGH-B1C7-00000-00&amp;context=" TargetMode="External" /><Relationship Id="rId143" Type="http://schemas.openxmlformats.org/officeDocument/2006/relationships/hyperlink" Target="https://advance.lexis.com/api/document?collection=cases-ca&amp;id=urn:contentItem:5F8T-N3S1-JBDT-B087-00000-00&amp;context=" TargetMode="External" /><Relationship Id="rId144" Type="http://schemas.openxmlformats.org/officeDocument/2006/relationships/hyperlink" Target="https://advance.lexis.com/api/document?collection=cases-ca&amp;id=urn:contentItem:5F81-VJX1-FD4T-B2WK-00000-00&amp;context=" TargetMode="External" /><Relationship Id="rId145" Type="http://schemas.openxmlformats.org/officeDocument/2006/relationships/hyperlink" Target="https://advance.lexis.com/api/document?collection=cases-ca&amp;id=urn:contentItem:5F82-1SF1-F1P7-B3WX-00000-00&amp;context=" TargetMode="External" /><Relationship Id="rId146" Type="http://schemas.openxmlformats.org/officeDocument/2006/relationships/hyperlink" Target="https://advance.lexis.com/api/document?collection=cases-ca&amp;id=urn:contentItem:5F7T-S741-DY89-M39J-00000-00&amp;context=" TargetMode="External" /><Relationship Id="rId147" Type="http://schemas.openxmlformats.org/officeDocument/2006/relationships/hyperlink" Target="https://advance.lexis.com/api/document?collection=cases-ca&amp;id=urn:contentItem:5F7T-S771-JTGH-B1KF-00000-00&amp;context=" TargetMode="External" /><Relationship Id="rId148" Type="http://schemas.openxmlformats.org/officeDocument/2006/relationships/hyperlink" Target="https://advance.lexis.com/api/document?collection=cases-ca&amp;id=urn:contentItem:5F82-1SF1-K054-G4BN-00000-00&amp;context=" TargetMode="External" /><Relationship Id="rId149" Type="http://schemas.openxmlformats.org/officeDocument/2006/relationships/hyperlink" Target="https://advance.lexis.com/api/document?collection=cases-ca&amp;id=urn:contentItem:5F7T-S751-FJDY-X419-00000-00&amp;context=" TargetMode="External" /><Relationship Id="rId15" Type="http://schemas.openxmlformats.org/officeDocument/2006/relationships/hyperlink" Target="https://advance.lexis.com/api/document?collection=cases-ca&amp;id=urn:contentItem:5F7T-S731-JNJT-B1YR-00000-00&amp;context=" TargetMode="External" /><Relationship Id="rId150" Type="http://schemas.openxmlformats.org/officeDocument/2006/relationships/hyperlink" Target="https://advance.lexis.com/api/document?collection=cases-ca&amp;id=urn:contentItem:5F82-1SD1-FC1F-M366-00000-00&amp;context=" TargetMode="External" /><Relationship Id="rId151" Type="http://schemas.openxmlformats.org/officeDocument/2006/relationships/hyperlink" Target="https://advance.lexis.com/api/document?collection=cases-ca&amp;id=urn:contentItem:5F8T-N3V1-FH4C-X24V-00000-00&amp;context=" TargetMode="External" /><Relationship Id="rId152" Type="http://schemas.openxmlformats.org/officeDocument/2006/relationships/hyperlink" Target="https://advance.lexis.com/api/document?collection=cases-ca&amp;id=urn:contentItem:5F7T-S7M1-JCRC-B19H-00000-00&amp;context=" TargetMode="External" /><Relationship Id="rId153" Type="http://schemas.openxmlformats.org/officeDocument/2006/relationships/hyperlink" Target="https://advance.lexis.com/api/document?collection=cases-ca&amp;id=urn:contentItem:5F7T-S7M1-F4W2-62CT-00000-00&amp;context=" TargetMode="External" /><Relationship Id="rId154" Type="http://schemas.openxmlformats.org/officeDocument/2006/relationships/hyperlink" Target="https://advance.lexis.com/api/document?collection=cases-ca&amp;id=urn:contentItem:5F7T-S7N1-F06F-24CF-00000-00&amp;context=" TargetMode="External" /><Relationship Id="rId155" Type="http://schemas.openxmlformats.org/officeDocument/2006/relationships/hyperlink" Target="https://advance.lexis.com/api/document?collection=cases-ca&amp;id=urn:contentItem:5F8T-N3V1-FC1F-M4BS-00000-00&amp;context=" TargetMode="External" /><Relationship Id="rId156" Type="http://schemas.openxmlformats.org/officeDocument/2006/relationships/hyperlink" Target="https://advance.lexis.com/api/document?collection=cases-ca&amp;id=urn:contentItem:5F8T-N3V1-FC1F-M486-00000-00&amp;context=" TargetMode="External" /><Relationship Id="rId157" Type="http://schemas.openxmlformats.org/officeDocument/2006/relationships/hyperlink" Target="https://advance.lexis.com/api/document?collection=cases-ca&amp;id=urn:contentItem:5F7T-S7K1-JNY7-X4KC-00000-00&amp;context=" TargetMode="External" /><Relationship Id="rId158" Type="http://schemas.openxmlformats.org/officeDocument/2006/relationships/hyperlink" Target="https://advance.lexis.com/api/document?collection=cases-ca&amp;id=urn:contentItem:5F7T-S751-JCJ5-24JJ-00000-00&amp;context=" TargetMode="External" /><Relationship Id="rId159" Type="http://schemas.openxmlformats.org/officeDocument/2006/relationships/hyperlink" Target="https://advance.lexis.com/api/document?collection=cases-ca&amp;id=urn:contentItem:5F7T-S7F1-DXWW-2497-00000-00&amp;context=" TargetMode="External" /><Relationship Id="rId16" Type="http://schemas.openxmlformats.org/officeDocument/2006/relationships/hyperlink" Target="https://advance.lexis.com/api/document?collection=cases-ca&amp;id=urn:contentItem:5F7T-S6W1-JJK6-S171-00000-00&amp;context=" TargetMode="External" /><Relationship Id="rId160" Type="http://schemas.openxmlformats.org/officeDocument/2006/relationships/hyperlink" Target="https://advance.lexis.com/api/document?collection=cases-ca&amp;id=urn:contentItem:5F82-1SH1-F57G-S2XY-00000-00&amp;context=" TargetMode="External" /><Relationship Id="rId161" Type="http://schemas.openxmlformats.org/officeDocument/2006/relationships/hyperlink" Target="https://advance.lexis.com/api/document?collection=cases-ca&amp;id=urn:contentItem:5F7T-S7F1-JBT7-X2RR-00000-00&amp;context=" TargetMode="External" /><Relationship Id="rId162" Type="http://schemas.openxmlformats.org/officeDocument/2006/relationships/hyperlink" Target="https://advance.lexis.com/api/document?collection=cases-ca&amp;id=urn:contentItem:5F7T-S7F1-FJTD-G3P6-00000-00&amp;context=" TargetMode="External" /><Relationship Id="rId163" Type="http://schemas.openxmlformats.org/officeDocument/2006/relationships/hyperlink" Target="https://advance.lexis.com/api/document?collection=cases-ca&amp;id=urn:contentItem:5F81-VJX1-FGY5-M3C6-00000-00&amp;context=" TargetMode="External" /><Relationship Id="rId164" Type="http://schemas.openxmlformats.org/officeDocument/2006/relationships/hyperlink" Target="https://advance.lexis.com/api/document?collection=cases-ca&amp;id=urn:contentItem:5F8P-SGB1-JKB3-X179-00000-00&amp;context=" TargetMode="External" /><Relationship Id="rId165" Type="http://schemas.openxmlformats.org/officeDocument/2006/relationships/hyperlink" Target="https://advance.lexis.com/api/document?collection=cases-ca&amp;id=urn:contentItem:5F82-1SF1-JKPJ-G280-00000-00&amp;context=" TargetMode="External" /><Relationship Id="rId166" Type="http://schemas.openxmlformats.org/officeDocument/2006/relationships/hyperlink" Target="https://advance.lexis.com/api/document?collection=cases-ca&amp;id=urn:contentItem:5F7T-S7P1-JG02-S3W9-00000-00&amp;context=" TargetMode="External" /><Relationship Id="rId167" Type="http://schemas.openxmlformats.org/officeDocument/2006/relationships/hyperlink" Target="https://advance.lexis.com/api/document?collection=cases-ca&amp;id=urn:contentItem:5GNP-DGD1-JJYN-B1W2-00000-00&amp;context=" TargetMode="External" /><Relationship Id="rId168" Type="http://schemas.openxmlformats.org/officeDocument/2006/relationships/hyperlink" Target="https://advance.lexis.com/api/document?collection=cases-ca&amp;id=urn:contentItem:5HBP-7JG1-JSRM-60R7-00000-00&amp;context=" TargetMode="External" /><Relationship Id="rId169" Type="http://schemas.openxmlformats.org/officeDocument/2006/relationships/hyperlink" Target="https://advance.lexis.com/api/document?collection=cases-ca&amp;id=urn:contentItem:5F8T-N3V1-FC1F-M46D-00000-00&amp;context=" TargetMode="External" /><Relationship Id="rId17" Type="http://schemas.openxmlformats.org/officeDocument/2006/relationships/hyperlink" Target="https://advance.lexis.com/api/document?collection=cases-ca&amp;id=urn:contentItem:5F7T-S711-JNY7-X3JM-00000-00&amp;context=" TargetMode="External" /><Relationship Id="rId170" Type="http://schemas.openxmlformats.org/officeDocument/2006/relationships/header" Target="header22.xml" /><Relationship Id="rId171" Type="http://schemas.openxmlformats.org/officeDocument/2006/relationships/header" Target="header23.xml" /><Relationship Id="rId172" Type="http://schemas.openxmlformats.org/officeDocument/2006/relationships/footer" Target="footer22.xml" /><Relationship Id="rId173" Type="http://schemas.openxmlformats.org/officeDocument/2006/relationships/footer" Target="footer23.xml" /><Relationship Id="rId174" Type="http://schemas.openxmlformats.org/officeDocument/2006/relationships/header" Target="header24.xml" /><Relationship Id="rId175" Type="http://schemas.openxmlformats.org/officeDocument/2006/relationships/footer" Target="footer24.xml" /><Relationship Id="rId176" Type="http://schemas.openxmlformats.org/officeDocument/2006/relationships/hyperlink" Target="https://advance.lexis.com/api/document?collection=cases-ca&amp;id=urn:contentItem:5F7T-S7F1-FFFC-B1YH-00000-00&amp;context=" TargetMode="External" /><Relationship Id="rId177" Type="http://schemas.openxmlformats.org/officeDocument/2006/relationships/hyperlink" Target="https://advance.lexis.com/api/document?collection=legislation-ca&amp;id=urn:contentItem:5F41-1FJ1-JKPJ-G0P5-00000-00&amp;context=" TargetMode="External" /><Relationship Id="rId178" Type="http://schemas.openxmlformats.org/officeDocument/2006/relationships/hyperlink" Target="https://advance.lexis.com/api/document?collection=cases-ca&amp;id=urn:contentItem:5F7T-S6X1-K0BB-S0D3-00000-00&amp;context=" TargetMode="External" /><Relationship Id="rId179" Type="http://schemas.openxmlformats.org/officeDocument/2006/relationships/hyperlink" Target="https://advance.lexis.com/api/document?collection=cases-ca&amp;id=urn:contentItem:5F7T-S6X1-K054-G19P-00000-00&amp;context=" TargetMode="External" /><Relationship Id="rId18" Type="http://schemas.openxmlformats.org/officeDocument/2006/relationships/hyperlink" Target="https://advance.lexis.com/api/document?collection=cases-ca&amp;id=urn:contentItem:5F7T-S7C1-JSRM-60NW-00000-00&amp;context=" TargetMode="External" /><Relationship Id="rId180" Type="http://schemas.openxmlformats.org/officeDocument/2006/relationships/hyperlink" Target="https://advance.lexis.com/api/document?collection=cases-ca&amp;id=urn:contentItem:5F8T-N3V1-JF75-M3MK-00000-00&amp;context=" TargetMode="External" /><Relationship Id="rId181" Type="http://schemas.openxmlformats.org/officeDocument/2006/relationships/hyperlink" Target="https://advance.lexis.com/api/document?collection=cases-ca&amp;id=urn:contentItem:5F7T-S741-F1H1-2199-00000-00&amp;context=" TargetMode="External" /><Relationship Id="rId182" Type="http://schemas.openxmlformats.org/officeDocument/2006/relationships/hyperlink" Target="https://advance.lexis.com/api/document?collection=cases-ca&amp;id=urn:contentItem:5F7T-S751-JBM1-M2CY-00000-00&amp;context=" TargetMode="External" /><Relationship Id="rId183" Type="http://schemas.openxmlformats.org/officeDocument/2006/relationships/hyperlink" Target="https://advance.lexis.com/api/document?collection=cases-ca&amp;id=urn:contentItem:5F7T-S761-JX8W-M2NY-00000-00&amp;context=" TargetMode="External" /><Relationship Id="rId184" Type="http://schemas.openxmlformats.org/officeDocument/2006/relationships/header" Target="header25.xml" /><Relationship Id="rId185" Type="http://schemas.openxmlformats.org/officeDocument/2006/relationships/header" Target="header26.xml" /><Relationship Id="rId186" Type="http://schemas.openxmlformats.org/officeDocument/2006/relationships/footer" Target="footer25.xml" /><Relationship Id="rId187" Type="http://schemas.openxmlformats.org/officeDocument/2006/relationships/footer" Target="footer26.xml" /><Relationship Id="rId188" Type="http://schemas.openxmlformats.org/officeDocument/2006/relationships/header" Target="header27.xml" /><Relationship Id="rId189" Type="http://schemas.openxmlformats.org/officeDocument/2006/relationships/footer" Target="footer27.xml" /><Relationship Id="rId19" Type="http://schemas.openxmlformats.org/officeDocument/2006/relationships/header" Target="header4.xml" /><Relationship Id="rId190" Type="http://schemas.openxmlformats.org/officeDocument/2006/relationships/hyperlink" Target="https://advance.lexis.com/api/document?collection=cases-ca&amp;id=urn:contentItem:5F7T-S7F1-F7VM-S41J-00000-00&amp;context=" TargetMode="External" /><Relationship Id="rId191" Type="http://schemas.openxmlformats.org/officeDocument/2006/relationships/hyperlink" Target="https://advance.lexis.com/api/document?collection=legislation-ca&amp;id=urn:contentItem:5F41-1FN1-JSXV-G1WN-00000-00&amp;context=" TargetMode="External" /><Relationship Id="rId192" Type="http://schemas.openxmlformats.org/officeDocument/2006/relationships/hyperlink" Target="https://advance.lexis.com/api/document?collection=cases-ca&amp;id=urn:contentItem:5F7T-XPW1-DXWW-20RF-00000-00&amp;context=" TargetMode="External" /><Relationship Id="rId193" Type="http://schemas.openxmlformats.org/officeDocument/2006/relationships/hyperlink" Target="https://advance.lexis.com/api/document?collection=cases-ca&amp;id=urn:contentItem:5F82-1SD1-JFKM-605S-00000-00&amp;context=" TargetMode="External" /><Relationship Id="rId194" Type="http://schemas.openxmlformats.org/officeDocument/2006/relationships/hyperlink" Target="https://advance.lexis.com/api/document?collection=cases-ca&amp;id=urn:contentItem:5F7T-S6X1-F7ND-G3DV-00000-00&amp;context=" TargetMode="External" /><Relationship Id="rId195" Type="http://schemas.openxmlformats.org/officeDocument/2006/relationships/hyperlink" Target="https://advance.lexis.com/api/document?collection=cases-ca&amp;id=urn:contentItem:5F7T-S761-F81W-21S6-00000-00&amp;context=" TargetMode="External" /><Relationship Id="rId196" Type="http://schemas.openxmlformats.org/officeDocument/2006/relationships/hyperlink" Target="https://advance.lexis.com/api/document?collection=cases-ca&amp;id=urn:contentItem:5F7T-S711-JC0G-636S-00000-00&amp;context=" TargetMode="External" /><Relationship Id="rId197" Type="http://schemas.openxmlformats.org/officeDocument/2006/relationships/hyperlink" Target="https://advance.lexis.com/api/document?collection=cases-ca&amp;id=urn:contentItem:5F7T-S7D1-JG02-S313-00000-00&amp;context=" TargetMode="External" /><Relationship Id="rId198" Type="http://schemas.openxmlformats.org/officeDocument/2006/relationships/hyperlink" Target="https://advance.lexis.com/api/document?collection=cases-ca&amp;id=urn:contentItem:5F7T-S781-DYMS-61JF-00000-00&amp;context=" TargetMode="External" /><Relationship Id="rId199" Type="http://schemas.openxmlformats.org/officeDocument/2006/relationships/hyperlink" Target="https://advance.lexis.com/api/document?collection=cases-ca&amp;id=urn:contentItem:5F7T-S7D1-JN6B-S119-00000-00&amp;context=" TargetMode="External" /><Relationship Id="rId2" Type="http://schemas.openxmlformats.org/officeDocument/2006/relationships/webSettings" Target="webSettings.xml" /><Relationship Id="rId20" Type="http://schemas.openxmlformats.org/officeDocument/2006/relationships/header" Target="header5.xml" /><Relationship Id="rId200" Type="http://schemas.openxmlformats.org/officeDocument/2006/relationships/hyperlink" Target="https://advance.lexis.com/api/document?collection=cases-ca&amp;id=urn:contentItem:5F7T-S7F1-JK4W-M1T2-00000-00&amp;context=" TargetMode="External" /><Relationship Id="rId201" Type="http://schemas.openxmlformats.org/officeDocument/2006/relationships/hyperlink" Target="https://advance.lexis.com/api/document?collection=cases-ca&amp;id=urn:contentItem:5F7T-S7D1-FFFC-B1GR-00000-00&amp;context=" TargetMode="External" /><Relationship Id="rId202" Type="http://schemas.openxmlformats.org/officeDocument/2006/relationships/hyperlink" Target="https://advance.lexis.com/api/document?collection=cases-ca&amp;id=urn:contentItem:5F7T-S771-JTGH-B14S-00000-00&amp;context=" TargetMode="External" /><Relationship Id="rId203" Type="http://schemas.openxmlformats.org/officeDocument/2006/relationships/hyperlink" Target="https://advance.lexis.com/api/document?collection=cases-ca&amp;id=urn:contentItem:5F7T-S7C1-F30T-B2GJ-00000-00&amp;context=" TargetMode="External" /><Relationship Id="rId204" Type="http://schemas.openxmlformats.org/officeDocument/2006/relationships/hyperlink" Target="https://advance.lexis.com/api/document?collection=cases-ca&amp;id=urn:contentItem:5F7T-S781-F900-G10V-00000-00&amp;context=" TargetMode="External" /><Relationship Id="rId205" Type="http://schemas.openxmlformats.org/officeDocument/2006/relationships/hyperlink" Target="https://advance.lexis.com/api/document?collection=cases-ca&amp;id=urn:contentItem:5F7T-S7C1-FCSB-S27J-00000-00&amp;context=" TargetMode="External" /><Relationship Id="rId206" Type="http://schemas.openxmlformats.org/officeDocument/2006/relationships/hyperlink" Target="https://advance.lexis.com/api/document?collection=cases-ca&amp;id=urn:contentItem:5F7T-S781-FH4C-X305-00000-00&amp;context=" TargetMode="External" /><Relationship Id="rId207" Type="http://schemas.openxmlformats.org/officeDocument/2006/relationships/hyperlink" Target="https://advance.lexis.com/api/document?collection=cases-ca&amp;id=urn:contentItem:5F7T-S7C1-JCJ5-20BM-00000-00&amp;context=" TargetMode="External" /><Relationship Id="rId208" Type="http://schemas.openxmlformats.org/officeDocument/2006/relationships/hyperlink" Target="https://advance.lexis.com/api/document?collection=cases-ca&amp;id=urn:contentItem:5F7T-S7B1-F7ND-G55T-00000-00&amp;context=" TargetMode="External" /><Relationship Id="rId209" Type="http://schemas.openxmlformats.org/officeDocument/2006/relationships/hyperlink" Target="https://advance.lexis.com/api/document?collection=cases-ca&amp;id=urn:contentItem:5F7T-S7B1-FH4C-X3RB-00000-00&amp;context=" TargetMode="External" /><Relationship Id="rId21" Type="http://schemas.openxmlformats.org/officeDocument/2006/relationships/footer" Target="footer4.xml" /><Relationship Id="rId210" Type="http://schemas.openxmlformats.org/officeDocument/2006/relationships/hyperlink" Target="https://advance.lexis.com/api/document?collection=cases-ca&amp;id=urn:contentItem:5F7T-S7C1-F7VM-S3HW-00000-00&amp;context=" TargetMode="External" /><Relationship Id="rId211" Type="http://schemas.openxmlformats.org/officeDocument/2006/relationships/hyperlink" Target="https://advance.lexis.com/api/document?collection=cases-ca&amp;id=urn:contentItem:5F7T-S781-F27X-619J-00000-00&amp;context=" TargetMode="External" /><Relationship Id="rId212" Type="http://schemas.openxmlformats.org/officeDocument/2006/relationships/hyperlink" Target="https://advance.lexis.com/api/document?collection=cases-ca&amp;id=urn:contentItem:5F7T-S7C1-F30T-B2F8-00000-00&amp;context=" TargetMode="External" /><Relationship Id="rId213" Type="http://schemas.openxmlformats.org/officeDocument/2006/relationships/hyperlink" Target="https://advance.lexis.com/api/document?collection=cases-ca&amp;id=urn:contentItem:5F7T-S701-JF75-M4N2-00000-00&amp;context=" TargetMode="External" /><Relationship Id="rId214" Type="http://schemas.openxmlformats.org/officeDocument/2006/relationships/hyperlink" Target="https://advance.lexis.com/api/document?collection=cases-ca&amp;id=urn:contentItem:5F7T-S731-FFFC-B0K2-00000-00&amp;context=" TargetMode="External" /><Relationship Id="rId215" Type="http://schemas.openxmlformats.org/officeDocument/2006/relationships/hyperlink" Target="https://advance.lexis.com/api/document?collection=cases-ca&amp;id=urn:contentItem:5F7T-S701-JBT7-X23F-00000-00&amp;context=" TargetMode="External" /><Relationship Id="rId216" Type="http://schemas.openxmlformats.org/officeDocument/2006/relationships/hyperlink" Target="https://advance.lexis.com/api/document?collection=cases-ca&amp;id=urn:contentItem:5F7T-S771-JN14-G2PR-00000-00&amp;context=" TargetMode="External" /><Relationship Id="rId217" Type="http://schemas.openxmlformats.org/officeDocument/2006/relationships/hyperlink" Target="https://advance.lexis.com/api/document?collection=cases-ca&amp;id=urn:contentItem:5F7T-S701-JJ6S-61M8-00000-00&amp;context=" TargetMode="External" /><Relationship Id="rId218" Type="http://schemas.openxmlformats.org/officeDocument/2006/relationships/hyperlink" Target="https://advance.lexis.com/api/document?collection=cases-ca&amp;id=urn:contentItem:5F7T-S6T1-FJTD-G1S3-00000-00&amp;context=" TargetMode="External" /><Relationship Id="rId219" Type="http://schemas.openxmlformats.org/officeDocument/2006/relationships/hyperlink" Target="https://advance.lexis.com/api/document?collection=cases-ca&amp;id=urn:contentItem:5F8T-N3T1-JJSF-23P9-00000-00&amp;context=" TargetMode="External" /><Relationship Id="rId22" Type="http://schemas.openxmlformats.org/officeDocument/2006/relationships/footer" Target="footer5.xml" /><Relationship Id="rId220" Type="http://schemas.openxmlformats.org/officeDocument/2006/relationships/header" Target="header28.xml" /><Relationship Id="rId221" Type="http://schemas.openxmlformats.org/officeDocument/2006/relationships/header" Target="header29.xml" /><Relationship Id="rId222" Type="http://schemas.openxmlformats.org/officeDocument/2006/relationships/footer" Target="footer28.xml" /><Relationship Id="rId223" Type="http://schemas.openxmlformats.org/officeDocument/2006/relationships/footer" Target="footer29.xml" /><Relationship Id="rId224" Type="http://schemas.openxmlformats.org/officeDocument/2006/relationships/header" Target="header30.xml" /><Relationship Id="rId225" Type="http://schemas.openxmlformats.org/officeDocument/2006/relationships/footer" Target="footer30.xml" /><Relationship Id="rId226" Type="http://schemas.openxmlformats.org/officeDocument/2006/relationships/hyperlink" Target="https://advance.lexis.com/api/document?collection=cases-ca&amp;id=urn:contentItem:5F7T-S7K1-JX3N-B364-00000-00&amp;context=" TargetMode="External" /><Relationship Id="rId227" Type="http://schemas.openxmlformats.org/officeDocument/2006/relationships/hyperlink" Target="https://advance.lexis.com/api/document?collection=legislation-ca&amp;id=urn:contentItem:5F41-1FG1-FC1F-M0TW-00000-00&amp;context=" TargetMode="External" /><Relationship Id="rId228" Type="http://schemas.openxmlformats.org/officeDocument/2006/relationships/hyperlink" Target="https://advance.lexis.com/api/document?collection=cases-ca&amp;id=urn:contentItem:5F7T-S771-F81W-22D1-00000-00&amp;context=" TargetMode="External" /><Relationship Id="rId229" Type="http://schemas.openxmlformats.org/officeDocument/2006/relationships/hyperlink" Target="https://advance.lexis.com/api/document?collection=cases-ca&amp;id=urn:contentItem:5F7T-S6X1-K0BB-S0BG-00000-00&amp;context=" TargetMode="External" /><Relationship Id="rId23" Type="http://schemas.openxmlformats.org/officeDocument/2006/relationships/header" Target="header6.xml" /><Relationship Id="rId230" Type="http://schemas.openxmlformats.org/officeDocument/2006/relationships/hyperlink" Target="https://advance.lexis.com/api/document?collection=cases-ca&amp;id=urn:contentItem:5F8T-N3T1-JJSF-23JW-00000-00&amp;context=" TargetMode="External" /><Relationship Id="rId231" Type="http://schemas.openxmlformats.org/officeDocument/2006/relationships/hyperlink" Target="https://advance.lexis.com/api/document?collection=cases-ca&amp;id=urn:contentItem:5F7T-S751-JX3N-B11C-00000-00&amp;context=" TargetMode="External" /><Relationship Id="rId232" Type="http://schemas.openxmlformats.org/officeDocument/2006/relationships/hyperlink" Target="https://advance.lexis.com/api/document?collection=cases-ca&amp;id=urn:contentItem:5F7T-S751-F361-M114-00000-00&amp;context=" TargetMode="External" /><Relationship Id="rId233" Type="http://schemas.openxmlformats.org/officeDocument/2006/relationships/hyperlink" Target="https://advance.lexis.com/api/document?collection=cases-ca&amp;id=urn:contentItem:5F7T-S7D1-DY89-M3VF-00000-00&amp;context=" TargetMode="External" /><Relationship Id="rId234" Type="http://schemas.openxmlformats.org/officeDocument/2006/relationships/hyperlink" Target="https://advance.lexis.com/api/document?collection=cases-ca&amp;id=urn:contentItem:5F8T-N3T1-JJSF-23BN-00000-00&amp;context=" TargetMode="External" /><Relationship Id="rId235" Type="http://schemas.openxmlformats.org/officeDocument/2006/relationships/hyperlink" Target="https://advance.lexis.com/api/document?collection=cases-ca&amp;id=urn:contentItem:5F16-93D1-F81W-219M-00000-00&amp;context=" TargetMode="External" /><Relationship Id="rId236" Type="http://schemas.openxmlformats.org/officeDocument/2006/relationships/hyperlink" Target="https://advance.lexis.com/api/document?collection=cases-ca&amp;id=urn:contentItem:5F8T-N3R1-JJSF-22MN-00000-00&amp;context=" TargetMode="External" /><Relationship Id="rId237" Type="http://schemas.openxmlformats.org/officeDocument/2006/relationships/hyperlink" Target="https://advance.lexis.com/api/document?collection=cases-ca&amp;id=urn:contentItem:5F7T-S7D1-DY89-M3VG-00000-00&amp;context=" TargetMode="External" /><Relationship Id="rId238" Type="http://schemas.openxmlformats.org/officeDocument/2006/relationships/hyperlink" Target="https://advance.lexis.com/api/document?collection=cases-ca&amp;id=urn:contentItem:5F7T-S7G1-JNY7-X424-00000-00&amp;context=" TargetMode="External" /><Relationship Id="rId239" Type="http://schemas.openxmlformats.org/officeDocument/2006/relationships/hyperlink" Target="https://advance.lexis.com/api/document?collection=cases-ca&amp;id=urn:contentItem:5F7T-S7K1-JSJC-X11G-00000-00&amp;context=" TargetMode="External" /><Relationship Id="rId24" Type="http://schemas.openxmlformats.org/officeDocument/2006/relationships/footer" Target="footer6.xml" /><Relationship Id="rId240" Type="http://schemas.openxmlformats.org/officeDocument/2006/relationships/hyperlink" Target="https://advance.lexis.com/api/document?collection=cases-ca&amp;id=urn:contentItem:5F7T-S781-F27X-6174-00000-00&amp;context=" TargetMode="External" /><Relationship Id="rId241" Type="http://schemas.openxmlformats.org/officeDocument/2006/relationships/hyperlink" Target="https://advance.lexis.com/api/document?collection=cases-ca&amp;id=urn:contentItem:5F81-VJV1-F8D9-M0C6-00000-00&amp;context=" TargetMode="External" /><Relationship Id="rId242" Type="http://schemas.openxmlformats.org/officeDocument/2006/relationships/hyperlink" Target="https://advance.lexis.com/api/document?collection=cases-ca&amp;id=urn:contentItem:5F7T-S761-JS5Y-B1BM-00000-00&amp;context=" TargetMode="External" /><Relationship Id="rId243" Type="http://schemas.openxmlformats.org/officeDocument/2006/relationships/hyperlink" Target="https://advance.lexis.com/api/document?collection=cases-ca&amp;id=urn:contentItem:5F7T-S7J1-JGBH-B285-00000-00&amp;context=" TargetMode="External" /><Relationship Id="rId244" Type="http://schemas.openxmlformats.org/officeDocument/2006/relationships/hyperlink" Target="https://advance.lexis.com/api/document?collection=cases-ca&amp;id=urn:contentItem:5F7T-S7J1-DXWW-24VW-00000-00&amp;context=" TargetMode="External" /><Relationship Id="rId245" Type="http://schemas.openxmlformats.org/officeDocument/2006/relationships/hyperlink" Target="https://advance.lexis.com/api/document?collection=cases-ca&amp;id=urn:contentItem:5F7T-S701-JK4W-M0N4-00000-00&amp;context=" TargetMode="External" /><Relationship Id="rId246" Type="http://schemas.openxmlformats.org/officeDocument/2006/relationships/hyperlink" Target="https://advance.lexis.com/api/document?collection=cases-ca&amp;id=urn:contentItem:5F7T-S711-JC0G-62YB-00000-00&amp;context=" TargetMode="External" /><Relationship Id="rId247" Type="http://schemas.openxmlformats.org/officeDocument/2006/relationships/hyperlink" Target="https://advance.lexis.com/api/document?collection=cases-ca&amp;id=urn:contentItem:5F8T-N3V1-FC1F-M48G-00000-00&amp;context=" TargetMode="External" /><Relationship Id="rId248" Type="http://schemas.openxmlformats.org/officeDocument/2006/relationships/hyperlink" Target="https://advance.lexis.com/api/document?collection=cases-ca&amp;id=urn:contentItem:5F7T-S701-F8KH-X1BD-00000-00&amp;context=" TargetMode="External" /><Relationship Id="rId249" Type="http://schemas.openxmlformats.org/officeDocument/2006/relationships/hyperlink" Target="https://advance.lexis.com/api/document?collection=cases-ca&amp;id=urn:contentItem:5F7T-S7J1-JNS1-M2FX-00000-00&amp;context=" TargetMode="External" /><Relationship Id="rId25" Type="http://schemas.openxmlformats.org/officeDocument/2006/relationships/hyperlink" Target="https://advance.lexis.com/api/document?collection=cases-ca&amp;id=urn:contentItem:5F7T-S7H1-F016-S46R-00000-00&amp;context=" TargetMode="External" /><Relationship Id="rId250" Type="http://schemas.openxmlformats.org/officeDocument/2006/relationships/header" Target="header31.xml" /><Relationship Id="rId251" Type="http://schemas.openxmlformats.org/officeDocument/2006/relationships/header" Target="header32.xml" /><Relationship Id="rId252" Type="http://schemas.openxmlformats.org/officeDocument/2006/relationships/footer" Target="footer31.xml" /><Relationship Id="rId253" Type="http://schemas.openxmlformats.org/officeDocument/2006/relationships/footer" Target="footer32.xml" /><Relationship Id="rId254" Type="http://schemas.openxmlformats.org/officeDocument/2006/relationships/header" Target="header33.xml" /><Relationship Id="rId255" Type="http://schemas.openxmlformats.org/officeDocument/2006/relationships/footer" Target="footer33.xml" /><Relationship Id="rId256" Type="http://schemas.openxmlformats.org/officeDocument/2006/relationships/hyperlink" Target="https://advance.lexis.com/api/document?collection=cases-ca&amp;id=urn:contentItem:5F7T-S7P1-JNJT-B2G1-00000-00&amp;context=" TargetMode="External" /><Relationship Id="rId257" Type="http://schemas.openxmlformats.org/officeDocument/2006/relationships/hyperlink" Target="https://advance.lexis.com/api/document?collection=legislation-ca&amp;id=urn:contentItem:5F41-1FJ1-F7ND-G09N-00000-00&amp;context=" TargetMode="External" /><Relationship Id="rId258" Type="http://schemas.openxmlformats.org/officeDocument/2006/relationships/hyperlink" Target="https://advance.lexis.com/api/document?collection=cases-ca&amp;id=urn:contentItem:5F7T-S7N1-JGHR-M344-00000-00&amp;context=" TargetMode="External" /><Relationship Id="rId259" Type="http://schemas.openxmlformats.org/officeDocument/2006/relationships/hyperlink" Target="https://advance.lexis.com/api/document?collection=cases-ca&amp;id=urn:contentItem:5F8T-N3V1-FC1F-M4C7-00000-00&amp;context=" TargetMode="External" /><Relationship Id="rId26" Type="http://schemas.openxmlformats.org/officeDocument/2006/relationships/hyperlink" Target="https://advance.lexis.com/api/document?collection=legislation-ca&amp;id=urn:contentItem:5VYK-4801-JCJ5-203X-00000-00&amp;context=" TargetMode="External" /><Relationship Id="rId260" Type="http://schemas.openxmlformats.org/officeDocument/2006/relationships/hyperlink" Target="https://advance.lexis.com/api/document?collection=cases-ca&amp;id=urn:contentItem:5F7T-S6W1-JJK6-S1CM-00000-00&amp;context=" TargetMode="External" /><Relationship Id="rId261" Type="http://schemas.openxmlformats.org/officeDocument/2006/relationships/hyperlink" Target="https://advance.lexis.com/api/document?collection=cases-ca&amp;id=urn:contentItem:5F81-VJV1-JG59-22H3-00000-00&amp;context=" TargetMode="External" /><Relationship Id="rId262" Type="http://schemas.openxmlformats.org/officeDocument/2006/relationships/hyperlink" Target="https://advance.lexis.com/api/document?collection=cases-ca&amp;id=urn:contentItem:5K6Y-81R1-JB7K-2176-00000-00&amp;context=" TargetMode="External" /><Relationship Id="rId263" Type="http://schemas.openxmlformats.org/officeDocument/2006/relationships/hyperlink" Target="https://advance.lexis.com/api/document?collection=cases-ca&amp;id=urn:contentItem:5F81-YGM1-JG02-S0MR-00000-00&amp;context=" TargetMode="External" /><Relationship Id="rId264" Type="http://schemas.openxmlformats.org/officeDocument/2006/relationships/hyperlink" Target="https://advance.lexis.com/api/document?collection=cases-ca&amp;id=urn:contentItem:5F8P-SDN1-JG59-238F-00000-00&amp;context=" TargetMode="External" /><Relationship Id="rId265" Type="http://schemas.openxmlformats.org/officeDocument/2006/relationships/header" Target="header34.xml" /><Relationship Id="rId266" Type="http://schemas.openxmlformats.org/officeDocument/2006/relationships/header" Target="header35.xml" /><Relationship Id="rId267" Type="http://schemas.openxmlformats.org/officeDocument/2006/relationships/footer" Target="footer34.xml" /><Relationship Id="rId268" Type="http://schemas.openxmlformats.org/officeDocument/2006/relationships/footer" Target="footer35.xml" /><Relationship Id="rId269" Type="http://schemas.openxmlformats.org/officeDocument/2006/relationships/header" Target="header36.xml" /><Relationship Id="rId27" Type="http://schemas.openxmlformats.org/officeDocument/2006/relationships/hyperlink" Target="https://advance.lexis.com/api/document?collection=cases-ca&amp;id=urn:contentItem:5F7T-S7G1-JN6B-S1JB-00000-00&amp;context=" TargetMode="External" /><Relationship Id="rId270" Type="http://schemas.openxmlformats.org/officeDocument/2006/relationships/footer" Target="footer36.xml" /><Relationship Id="rId271" Type="http://schemas.openxmlformats.org/officeDocument/2006/relationships/hyperlink" Target="https://advance.lexis.com/api/document?collection=cases-ca&amp;id=urn:contentItem:5F7T-S7K1-JKHB-62R4-00000-00&amp;context=" TargetMode="External" /><Relationship Id="rId272" Type="http://schemas.openxmlformats.org/officeDocument/2006/relationships/hyperlink" Target="https://advance.lexis.com/api/document?collection=legislation-ca&amp;id=urn:contentItem:5F41-1FK1-F2TK-2161-00000-00&amp;context=" TargetMode="External" /><Relationship Id="rId273" Type="http://schemas.openxmlformats.org/officeDocument/2006/relationships/hyperlink" Target="https://advance.lexis.com/api/document?collection=legislation-ca&amp;id=urn:contentItem:5W3Y-TSR1-FC6N-X0HD-00000-00&amp;context=" TargetMode="External" /><Relationship Id="rId274" Type="http://schemas.openxmlformats.org/officeDocument/2006/relationships/hyperlink" Target="https://advance.lexis.com/api/document?collection=legislation-ca&amp;id=urn:contentItem:5VYK-W9X1-JN6B-S1KB-00000-00&amp;context=" TargetMode="External" /><Relationship Id="rId275" Type="http://schemas.openxmlformats.org/officeDocument/2006/relationships/hyperlink" Target="https://advance.lexis.com/api/document?collection=cases-ca&amp;id=urn:contentItem:5F81-VJX1-FCK4-G1T0-00000-00&amp;context=" TargetMode="External" /><Relationship Id="rId276" Type="http://schemas.openxmlformats.org/officeDocument/2006/relationships/hyperlink" Target="https://advance.lexis.com/api/document?collection=cases-ca&amp;id=urn:contentItem:5F8P-SF51-JK4W-M4CS-00000-00&amp;context=" TargetMode="External" /><Relationship Id="rId277" Type="http://schemas.openxmlformats.org/officeDocument/2006/relationships/hyperlink" Target="https://advance.lexis.com/api/document?collection=cases-ca&amp;id=urn:contentItem:5F81-VJY1-JWBS-64NS-00000-00&amp;context=" TargetMode="External" /><Relationship Id="rId278" Type="http://schemas.openxmlformats.org/officeDocument/2006/relationships/hyperlink" Target="https://advance.lexis.com/api/document?collection=cases-ca&amp;id=urn:contentItem:5F7T-S731-JNJT-B1W0-00000-00&amp;context=" TargetMode="External" /><Relationship Id="rId279" Type="http://schemas.openxmlformats.org/officeDocument/2006/relationships/hyperlink" Target="https://advance.lexis.com/api/document?collection=cases-ca&amp;id=urn:contentItem:5F7T-S7J1-DXWW-24P3-00000-00&amp;context=" TargetMode="External" /><Relationship Id="rId28" Type="http://schemas.openxmlformats.org/officeDocument/2006/relationships/hyperlink" Target="https://advance.lexis.com/api/document?collection=cases-ca&amp;id=urn:contentItem:5F8T-N3V1-JTGH-B0YX-00000-00&amp;context=" TargetMode="External" /><Relationship Id="rId280" Type="http://schemas.openxmlformats.org/officeDocument/2006/relationships/header" Target="header37.xml" /><Relationship Id="rId281" Type="http://schemas.openxmlformats.org/officeDocument/2006/relationships/header" Target="header38.xml" /><Relationship Id="rId282" Type="http://schemas.openxmlformats.org/officeDocument/2006/relationships/footer" Target="footer37.xml" /><Relationship Id="rId283" Type="http://schemas.openxmlformats.org/officeDocument/2006/relationships/footer" Target="footer38.xml" /><Relationship Id="rId284" Type="http://schemas.openxmlformats.org/officeDocument/2006/relationships/header" Target="header39.xml" /><Relationship Id="rId285" Type="http://schemas.openxmlformats.org/officeDocument/2006/relationships/footer" Target="footer39.xml" /><Relationship Id="rId286" Type="http://schemas.openxmlformats.org/officeDocument/2006/relationships/hyperlink" Target="https://advance.lexis.com/api/document?collection=cases-ca&amp;id=urn:contentItem:5F7T-S7H1-F4GK-M31V-00000-00&amp;context=" TargetMode="External" /><Relationship Id="rId287" Type="http://schemas.openxmlformats.org/officeDocument/2006/relationships/hyperlink" Target="https://advance.lexis.com/api/document?collection=cases-ca&amp;id=urn:contentItem:5F8T-N3T1-JGHR-M1WB-00000-00&amp;context=" TargetMode="External" /><Relationship Id="rId288" Type="http://schemas.openxmlformats.org/officeDocument/2006/relationships/hyperlink" Target="https://advance.lexis.com/api/document?collection=cases-ca&amp;id=urn:contentItem:5F7T-S761-JX8W-M2XB-00000-00&amp;context=" TargetMode="External" /><Relationship Id="rId289" Type="http://schemas.openxmlformats.org/officeDocument/2006/relationships/hyperlink" Target="https://advance.lexis.com/api/document?collection=cases-ca&amp;id=urn:contentItem:5F7T-S7C1-JCJ5-20S1-00000-00&amp;context=" TargetMode="External" /><Relationship Id="rId29" Type="http://schemas.openxmlformats.org/officeDocument/2006/relationships/hyperlink" Target="https://advance.lexis.com/api/document?collection=cases-ca&amp;id=urn:contentItem:5F8P-SDG1-F4GK-M25X-00000-00&amp;context=" TargetMode="External" /><Relationship Id="rId290" Type="http://schemas.openxmlformats.org/officeDocument/2006/relationships/hyperlink" Target="https://advance.lexis.com/api/document?collection=cases-ca&amp;id=urn:contentItem:5F7T-S761-JS5Y-B1PG-00000-00&amp;context=" TargetMode="External" /><Relationship Id="rId291" Type="http://schemas.openxmlformats.org/officeDocument/2006/relationships/hyperlink" Target="https://advance.lexis.com/api/document?collection=cases-ca&amp;id=urn:contentItem:5F8T-N3T1-JGHR-M1Y2-00000-00&amp;context=" TargetMode="External" /><Relationship Id="rId292" Type="http://schemas.openxmlformats.org/officeDocument/2006/relationships/hyperlink" Target="https://advance.lexis.com/api/document?collection=cases-ca&amp;id=urn:contentItem:5F8T-N3V1-JF75-M3W7-00000-00&amp;context=" TargetMode="External" /><Relationship Id="rId293" Type="http://schemas.openxmlformats.org/officeDocument/2006/relationships/hyperlink" Target="https://advance.lexis.com/api/document?collection=cases-ca&amp;id=urn:contentItem:5F7T-S6V1-F2TK-21YN-00000-00&amp;context=" TargetMode="External" /><Relationship Id="rId294" Type="http://schemas.openxmlformats.org/officeDocument/2006/relationships/hyperlink" Target="https://advance.lexis.com/api/document?collection=cases-ca&amp;id=urn:contentItem:5F8T-N3R1-JNS1-M12J-00000-00&amp;context=" TargetMode="External" /><Relationship Id="rId295" Type="http://schemas.openxmlformats.org/officeDocument/2006/relationships/hyperlink" Target="https://advance.lexis.com/api/document?collection=cases-ca&amp;id=urn:contentItem:5F81-VJV1-F8D9-M0YJ-00000-00&amp;context=" TargetMode="External" /><Relationship Id="rId296" Type="http://schemas.openxmlformats.org/officeDocument/2006/relationships/hyperlink" Target="https://advance.lexis.com/api/document?collection=cases-ca&amp;id=urn:contentItem:5F8P-SCJ1-F27X-60GB-00000-00&amp;context=" TargetMode="External" /><Relationship Id="rId297" Type="http://schemas.openxmlformats.org/officeDocument/2006/relationships/hyperlink" Target="https://advance.lexis.com/api/document?collection=cases-ca&amp;id=urn:contentItem:5F8T-N3V1-JF75-M3KJ-00000-00&amp;context=" TargetMode="External" /><Relationship Id="rId298" Type="http://schemas.openxmlformats.org/officeDocument/2006/relationships/header" Target="header40.xml" /><Relationship Id="rId299" Type="http://schemas.openxmlformats.org/officeDocument/2006/relationships/header" Target="header41.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61-JGHR-M2JJ-00000-00&amp;context=" TargetMode="External" /><Relationship Id="rId300" Type="http://schemas.openxmlformats.org/officeDocument/2006/relationships/footer" Target="footer40.xml" /><Relationship Id="rId301" Type="http://schemas.openxmlformats.org/officeDocument/2006/relationships/footer" Target="footer41.xml" /><Relationship Id="rId302" Type="http://schemas.openxmlformats.org/officeDocument/2006/relationships/header" Target="header42.xml" /><Relationship Id="rId303" Type="http://schemas.openxmlformats.org/officeDocument/2006/relationships/footer" Target="footer42.xml" /><Relationship Id="rId304" Type="http://schemas.openxmlformats.org/officeDocument/2006/relationships/hyperlink" Target="https://advance.lexis.com/api/document?collection=cases-ca&amp;id=urn:contentItem:5F7T-S781-F06F-23RY-00000-00&amp;context=" TargetMode="External" /><Relationship Id="rId305" Type="http://schemas.openxmlformats.org/officeDocument/2006/relationships/hyperlink" Target="https://advance.lexis.com/api/document?collection=cases-ca&amp;id=urn:contentItem:5F7V-3DK1-JNY7-X2CK-00000-00&amp;context=" TargetMode="External" /><Relationship Id="rId306" Type="http://schemas.openxmlformats.org/officeDocument/2006/relationships/hyperlink" Target="https://advance.lexis.com/api/document?collection=cases-ca&amp;id=urn:contentItem:5F81-YH41-JX8W-M05J-00000-00&amp;context=" TargetMode="External" /><Relationship Id="rId307" Type="http://schemas.openxmlformats.org/officeDocument/2006/relationships/hyperlink" Target="https://advance.lexis.com/api/document?collection=cases-ca&amp;id=urn:contentItem:5F8T-N3S1-JT99-250Y-00000-00&amp;context=" TargetMode="External" /><Relationship Id="rId308" Type="http://schemas.openxmlformats.org/officeDocument/2006/relationships/hyperlink" Target="https://advance.lexis.com/api/document?collection=cases-ca&amp;id=urn:contentItem:5F7T-S751-JG02-S27W-00000-00&amp;context=" TargetMode="External" /><Relationship Id="rId309" Type="http://schemas.openxmlformats.org/officeDocument/2006/relationships/hyperlink" Target="https://advance.lexis.com/api/document?collection=cases-ca&amp;id=urn:contentItem:5F8N-K6T1-FG12-62JM-00000-00&amp;context=" TargetMode="External" /><Relationship Id="rId31" Type="http://schemas.openxmlformats.org/officeDocument/2006/relationships/hyperlink" Target="https://advance.lexis.com/api/document?collection=cases-ca&amp;id=urn:contentItem:5F7T-S781-JC5P-G1HX-00000-00&amp;context=" TargetMode="External" /><Relationship Id="rId310" Type="http://schemas.openxmlformats.org/officeDocument/2006/relationships/hyperlink" Target="https://advance.lexis.com/api/document?collection=cases-ca&amp;id=urn:contentItem:5F7T-S6Y1-JPP5-2188-00000-00&amp;context=" TargetMode="External" /><Relationship Id="rId311" Type="http://schemas.openxmlformats.org/officeDocument/2006/relationships/hyperlink" Target="https://advance.lexis.com/api/document?collection=cases-ca&amp;id=urn:contentItem:5F8P-T8W1-F4GK-M4FD-00000-00&amp;context=" TargetMode="External" /><Relationship Id="rId312" Type="http://schemas.openxmlformats.org/officeDocument/2006/relationships/hyperlink" Target="https://advance.lexis.com/api/document?collection=cases-ca&amp;id=urn:contentItem:5F7T-S761-F81W-21NR-00000-00&amp;context=" TargetMode="External" /><Relationship Id="rId313" Type="http://schemas.openxmlformats.org/officeDocument/2006/relationships/hyperlink" Target="https://advance.lexis.com/api/document?collection=cases-ca&amp;id=urn:contentItem:5F81-VJW1-K0HK-22K1-00000-00&amp;context=" TargetMode="External" /><Relationship Id="rId314" Type="http://schemas.openxmlformats.org/officeDocument/2006/relationships/hyperlink" Target="https://advance.lexis.com/api/document?collection=cases-ca&amp;id=urn:contentItem:5F16-93B1-F4GK-M3X6-00000-00&amp;context=" TargetMode="External" /><Relationship Id="rId315" Type="http://schemas.openxmlformats.org/officeDocument/2006/relationships/hyperlink" Target="https://advance.lexis.com/api/document?collection=cases-ca&amp;id=urn:contentItem:5F7T-S701-JF75-M46T-00000-00&amp;context=" TargetMode="External" /><Relationship Id="rId316" Type="http://schemas.openxmlformats.org/officeDocument/2006/relationships/hyperlink" Target="https://advance.lexis.com/api/document?collection=cases-ca&amp;id=urn:contentItem:5F8P-SD61-JX8W-M3FX-00000-00&amp;context=" TargetMode="External" /><Relationship Id="rId317" Type="http://schemas.openxmlformats.org/officeDocument/2006/relationships/hyperlink" Target="https://advance.lexis.com/api/document?collection=cases-ca&amp;id=urn:contentItem:5F8P-SCY1-JTNR-M3GT-00000-00&amp;context=" TargetMode="External" /><Relationship Id="rId318" Type="http://schemas.openxmlformats.org/officeDocument/2006/relationships/hyperlink" Target="https://advance.lexis.com/api/document?collection=cases-ca&amp;id=urn:contentItem:5F7T-S741-DXPM-S17F-00000-00&amp;context=" TargetMode="External" /><Relationship Id="rId319" Type="http://schemas.openxmlformats.org/officeDocument/2006/relationships/hyperlink" Target="https://advance.lexis.com/api/document?collection=cases-ca&amp;id=urn:contentItem:5F8T-N3V1-JFKM-602C-00000-00&amp;context=" TargetMode="External" /><Relationship Id="rId32" Type="http://schemas.openxmlformats.org/officeDocument/2006/relationships/hyperlink" Target="https://advance.lexis.com/api/document?collection=cases-ca&amp;id=urn:contentItem:5F7T-S6Y1-FJDY-X23K-00000-00&amp;context=" TargetMode="External" /><Relationship Id="rId320" Type="http://schemas.openxmlformats.org/officeDocument/2006/relationships/hyperlink" Target="https://advance.lexis.com/api/document?collection=cases-ca&amp;id=urn:contentItem:5F16-9331-JX3N-B044-00000-00&amp;context=" TargetMode="External" /><Relationship Id="rId321" Type="http://schemas.openxmlformats.org/officeDocument/2006/relationships/hyperlink" Target="https://advance.lexis.com/api/document?collection=cases-ca&amp;id=urn:contentItem:5F8T-N3R1-JBDT-B53J-00000-00&amp;context=" TargetMode="External" /><Relationship Id="rId322" Type="http://schemas.openxmlformats.org/officeDocument/2006/relationships/hyperlink" Target="https://advance.lexis.com/api/document?collection=cases-ca&amp;id=urn:contentItem:5F7T-XPW1-JJK6-S34D-00000-00&amp;context=" TargetMode="External" /><Relationship Id="rId323" Type="http://schemas.openxmlformats.org/officeDocument/2006/relationships/hyperlink" Target="https://advance.lexis.com/api/document?collection=cases-ca&amp;id=urn:contentItem:5F8T-N3V1-JFKM-607N-00000-00&amp;context=" TargetMode="External" /><Relationship Id="rId324" Type="http://schemas.openxmlformats.org/officeDocument/2006/relationships/hyperlink" Target="https://advance.lexis.com/api/document?collection=cases-ca&amp;id=urn:contentItem:5F81-VJV1-JBM1-M42B-00000-00&amp;context=" TargetMode="External" /><Relationship Id="rId325" Type="http://schemas.openxmlformats.org/officeDocument/2006/relationships/hyperlink" Target="https://advance.lexis.com/api/document?collection=cases-ca&amp;id=urn:contentItem:5F7T-S721-FG12-627H-00000-00&amp;context=" TargetMode="External" /><Relationship Id="rId326" Type="http://schemas.openxmlformats.org/officeDocument/2006/relationships/hyperlink" Target="https://advance.lexis.com/api/document?collection=cases-ca&amp;id=urn:contentItem:5F7T-S771-FG68-G0W8-00000-00&amp;context=" TargetMode="External" /><Relationship Id="rId327" Type="http://schemas.openxmlformats.org/officeDocument/2006/relationships/hyperlink" Target="https://advance.lexis.com/api/document?collection=cases-ca&amp;id=urn:contentItem:5F8T-N3T1-JFKM-655K-00000-00&amp;context=" TargetMode="External" /><Relationship Id="rId328" Type="http://schemas.openxmlformats.org/officeDocument/2006/relationships/hyperlink" Target="https://advance.lexis.com/api/document?collection=cases-ca&amp;id=urn:contentItem:5F7T-S711-JC0G-62N8-00000-00&amp;context=" TargetMode="External" /><Relationship Id="rId329" Type="http://schemas.openxmlformats.org/officeDocument/2006/relationships/hyperlink" Target="https://advance.lexis.com/api/document?collection=cases-ca&amp;id=urn:contentItem:5F16-9351-JNY7-X3N9-00000-00&amp;context=" TargetMode="External" /><Relationship Id="rId33" Type="http://schemas.openxmlformats.org/officeDocument/2006/relationships/hyperlink" Target="https://advance.lexis.com/api/document?collection=cases-ca&amp;id=urn:contentItem:5F7T-S771-JJD0-G10X-00000-00&amp;context=" TargetMode="External" /><Relationship Id="rId330" Type="http://schemas.openxmlformats.org/officeDocument/2006/relationships/hyperlink" Target="https://advance.lexis.com/api/document?collection=cases-ca&amp;id=urn:contentItem:5F8P-SCH1-FCK4-G4FW-00000-00&amp;context=" TargetMode="External" /><Relationship Id="rId331" Type="http://schemas.openxmlformats.org/officeDocument/2006/relationships/hyperlink" Target="https://advance.lexis.com/api/document?collection=cases-ca&amp;id=urn:contentItem:5F7T-S771-FG68-G0WP-00000-00&amp;context=" TargetMode="External" /><Relationship Id="rId332" Type="http://schemas.openxmlformats.org/officeDocument/2006/relationships/hyperlink" Target="https://advance.lexis.com/api/document?collection=cases-ca&amp;id=urn:contentItem:5F81-VJV1-JK4W-M50B-00000-00&amp;context=" TargetMode="External" /><Relationship Id="rId333" Type="http://schemas.openxmlformats.org/officeDocument/2006/relationships/hyperlink" Target="https://advance.lexis.com/api/document?collection=cases-ca&amp;id=urn:contentItem:5F8P-SCJ1-FGJR-23SS-00000-00&amp;context=" TargetMode="External" /><Relationship Id="rId334" Type="http://schemas.openxmlformats.org/officeDocument/2006/relationships/hyperlink" Target="https://advance.lexis.com/api/document?collection=cases-ca&amp;id=urn:contentItem:5F7T-S6W1-JF75-M2WF-00000-00&amp;context=" TargetMode="External" /><Relationship Id="rId335" Type="http://schemas.openxmlformats.org/officeDocument/2006/relationships/hyperlink" Target="https://advance.lexis.com/api/document?collection=cases-ca&amp;id=urn:contentItem:5F8T-N3R1-JJSF-231W-00000-00&amp;context=" TargetMode="External" /><Relationship Id="rId336" Type="http://schemas.openxmlformats.org/officeDocument/2006/relationships/header" Target="header43.xml" /><Relationship Id="rId337" Type="http://schemas.openxmlformats.org/officeDocument/2006/relationships/header" Target="header44.xml" /><Relationship Id="rId338" Type="http://schemas.openxmlformats.org/officeDocument/2006/relationships/footer" Target="footer43.xml" /><Relationship Id="rId339" Type="http://schemas.openxmlformats.org/officeDocument/2006/relationships/footer" Target="footer44.xml" /><Relationship Id="rId34" Type="http://schemas.openxmlformats.org/officeDocument/2006/relationships/hyperlink" Target="https://advance.lexis.com/api/document?collection=cases-ca&amp;id=urn:contentItem:5F7T-S6W1-F5T5-M1WC-00000-00&amp;context=" TargetMode="External" /><Relationship Id="rId340" Type="http://schemas.openxmlformats.org/officeDocument/2006/relationships/header" Target="header45.xml" /><Relationship Id="rId341" Type="http://schemas.openxmlformats.org/officeDocument/2006/relationships/footer" Target="footer45.xml" /><Relationship Id="rId342" Type="http://schemas.openxmlformats.org/officeDocument/2006/relationships/hyperlink" Target="https://advance.lexis.com/api/document?collection=cases-ca&amp;id=urn:contentItem:5F7T-S781-F7G6-63GP-00000-00&amp;context=" TargetMode="External" /><Relationship Id="rId343" Type="http://schemas.openxmlformats.org/officeDocument/2006/relationships/hyperlink" Target="https://advance.lexis.com/api/document?collection=cases-ca&amp;id=urn:contentItem:5F7T-S6W1-F7ND-G2MW-00000-00&amp;context=" TargetMode="External" /><Relationship Id="rId344" Type="http://schemas.openxmlformats.org/officeDocument/2006/relationships/hyperlink" Target="https://advance.lexis.com/api/document?collection=cases-ca&amp;id=urn:contentItem:5F8T-N3V1-FC1F-M44Y-00000-00&amp;context=" TargetMode="External" /><Relationship Id="rId345" Type="http://schemas.openxmlformats.org/officeDocument/2006/relationships/hyperlink" Target="https://advance.lexis.com/api/document?collection=cases-ca&amp;id=urn:contentItem:5F8T-N3R1-FJDY-X2VJ-00000-00&amp;context=" TargetMode="External" /><Relationship Id="rId346" Type="http://schemas.openxmlformats.org/officeDocument/2006/relationships/hyperlink" Target="https://advance.lexis.com/api/document?collection=cases-ca&amp;id=urn:contentItem:5F8T-N3R1-JNS1-M12X-00000-00&amp;context=" TargetMode="External" /><Relationship Id="rId347" Type="http://schemas.openxmlformats.org/officeDocument/2006/relationships/hyperlink" Target="https://advance.lexis.com/api/document?collection=cases-ca&amp;id=urn:contentItem:5F8T-N3V1-JF75-M3KC-00000-00&amp;context=" TargetMode="External" /><Relationship Id="rId348" Type="http://schemas.openxmlformats.org/officeDocument/2006/relationships/header" Target="header46.xml" /><Relationship Id="rId349" Type="http://schemas.openxmlformats.org/officeDocument/2006/relationships/header" Target="header47.xml" /><Relationship Id="rId35" Type="http://schemas.openxmlformats.org/officeDocument/2006/relationships/header" Target="header7.xml" /><Relationship Id="rId350" Type="http://schemas.openxmlformats.org/officeDocument/2006/relationships/footer" Target="footer46.xml" /><Relationship Id="rId351" Type="http://schemas.openxmlformats.org/officeDocument/2006/relationships/footer" Target="footer47.xml" /><Relationship Id="rId352" Type="http://schemas.openxmlformats.org/officeDocument/2006/relationships/header" Target="header48.xml" /><Relationship Id="rId353" Type="http://schemas.openxmlformats.org/officeDocument/2006/relationships/footer" Target="footer48.xml" /><Relationship Id="rId354" Type="http://schemas.openxmlformats.org/officeDocument/2006/relationships/hyperlink" Target="https://advance.lexis.com/api/document?collection=cases-ca&amp;id=urn:contentItem:5F7T-S7H1-JCRC-B148-00000-00&amp;context=" TargetMode="External" /><Relationship Id="rId355" Type="http://schemas.openxmlformats.org/officeDocument/2006/relationships/hyperlink" Target="https://advance.lexis.com/api/document?collection=cases-ca&amp;id=urn:contentItem:5F7T-S7G1-JBT7-X40C-00000-00&amp;context=" TargetMode="External" /><Relationship Id="rId356" Type="http://schemas.openxmlformats.org/officeDocument/2006/relationships/hyperlink" Target="https://advance.lexis.com/api/document?collection=cases-ca&amp;id=urn:contentItem:5F7T-S7F1-JK4W-M1G3-00000-00&amp;context=" TargetMode="External" /><Relationship Id="rId357" Type="http://schemas.openxmlformats.org/officeDocument/2006/relationships/hyperlink" Target="https://advance.lexis.com/api/document?collection=cases-ca&amp;id=urn:contentItem:5F7T-S7G1-JBT7-X3X9-00000-00&amp;context=" TargetMode="External" /><Relationship Id="rId358" Type="http://schemas.openxmlformats.org/officeDocument/2006/relationships/hyperlink" Target="https://advance.lexis.com/api/document?collection=cases-ca&amp;id=urn:contentItem:5F8T-N3V1-JFKM-60C2-00000-00&amp;context=" TargetMode="External" /><Relationship Id="rId359" Type="http://schemas.openxmlformats.org/officeDocument/2006/relationships/hyperlink" Target="https://advance.lexis.com/api/document?collection=cases-ca&amp;id=urn:contentItem:5F16-9371-JKHB-62WH-00000-00&amp;context=" TargetMode="External" /><Relationship Id="rId36" Type="http://schemas.openxmlformats.org/officeDocument/2006/relationships/header" Target="header8.xml" /><Relationship Id="rId360" Type="http://schemas.openxmlformats.org/officeDocument/2006/relationships/hyperlink" Target="https://advance.lexis.com/api/document?collection=cases-ca&amp;id=urn:contentItem:5F8T-N3V1-FC1F-M3WJ-00000-00&amp;context=" TargetMode="External" /><Relationship Id="rId361" Type="http://schemas.openxmlformats.org/officeDocument/2006/relationships/header" Target="header49.xml" /><Relationship Id="rId362" Type="http://schemas.openxmlformats.org/officeDocument/2006/relationships/header" Target="header50.xml" /><Relationship Id="rId363" Type="http://schemas.openxmlformats.org/officeDocument/2006/relationships/footer" Target="footer49.xml" /><Relationship Id="rId364" Type="http://schemas.openxmlformats.org/officeDocument/2006/relationships/footer" Target="footer50.xml" /><Relationship Id="rId365" Type="http://schemas.openxmlformats.org/officeDocument/2006/relationships/header" Target="header51.xml" /><Relationship Id="rId366" Type="http://schemas.openxmlformats.org/officeDocument/2006/relationships/footer" Target="footer51.xml" /><Relationship Id="rId367" Type="http://schemas.openxmlformats.org/officeDocument/2006/relationships/hyperlink" Target="https://advance.lexis.com/api/document?collection=cases-ca&amp;id=urn:contentItem:5F7T-S7N1-JC5P-G2D6-00000-00&amp;context=" TargetMode="External" /><Relationship Id="rId368" Type="http://schemas.openxmlformats.org/officeDocument/2006/relationships/hyperlink" Target="https://advance.lexis.com/api/document?collection=legislation-ca&amp;id=urn:contentItem:5F41-1FJ1-JK4W-M0JW-00000-00&amp;context=" TargetMode="External" /><Relationship Id="rId369" Type="http://schemas.openxmlformats.org/officeDocument/2006/relationships/hyperlink" Target="https://advance.lexis.com/api/document?collection=legislation-ca&amp;id=urn:contentItem:5F41-1FM1-FJM6-61S5-00000-00&amp;context=" TargetMode="External" /><Relationship Id="rId37" Type="http://schemas.openxmlformats.org/officeDocument/2006/relationships/footer" Target="footer7.xml" /><Relationship Id="rId370" Type="http://schemas.openxmlformats.org/officeDocument/2006/relationships/hyperlink" Target="https://advance.lexis.com/api/document?collection=legislation-ca&amp;id=urn:contentItem:5F41-1FK1-DY33-B0JT-00000-00&amp;context=" TargetMode="External" /><Relationship Id="rId371" Type="http://schemas.openxmlformats.org/officeDocument/2006/relationships/hyperlink" Target="https://advance.lexis.com/api/document?collection=cases-ca&amp;id=urn:contentItem:5F7T-S7M1-JCRC-B19V-00000-00&amp;context=" TargetMode="External" /><Relationship Id="rId372" Type="http://schemas.openxmlformats.org/officeDocument/2006/relationships/hyperlink" Target="https://advance.lexis.com/api/document?collection=cases-ca&amp;id=urn:contentItem:5F8P-SFN1-F2TK-23TV-00000-00&amp;context=" TargetMode="External" /><Relationship Id="rId373" Type="http://schemas.openxmlformats.org/officeDocument/2006/relationships/hyperlink" Target="https://advance.lexis.com/api/document?collection=cases-ca&amp;id=urn:contentItem:5F8P-SGC1-JG02-S2G0-00000-00&amp;context=" TargetMode="External" /><Relationship Id="rId374" Type="http://schemas.openxmlformats.org/officeDocument/2006/relationships/hyperlink" Target="https://advance.lexis.com/api/document?collection=cases-ca&amp;id=urn:contentItem:5F8P-SF71-JWR6-S456-00000-00&amp;context=" TargetMode="External" /><Relationship Id="rId375" Type="http://schemas.openxmlformats.org/officeDocument/2006/relationships/hyperlink" Target="https://advance.lexis.com/api/document?collection=cases-ca&amp;id=urn:contentItem:5F8P-SDW1-F57G-S132-00000-00&amp;context=" TargetMode="External" /><Relationship Id="rId376" Type="http://schemas.openxmlformats.org/officeDocument/2006/relationships/hyperlink" Target="https://advance.lexis.com/api/document?collection=cases-ca&amp;id=urn:contentItem:5F8T-N3V1-JTGH-B16S-00000-00&amp;context=" TargetMode="External" /><Relationship Id="rId377" Type="http://schemas.openxmlformats.org/officeDocument/2006/relationships/hyperlink" Target="https://advance.lexis.com/api/document?collection=cases-ca&amp;id=urn:contentItem:5F8P-SF41-F016-S061-00000-00&amp;context=" TargetMode="External" /><Relationship Id="rId378" Type="http://schemas.openxmlformats.org/officeDocument/2006/relationships/hyperlink" Target="https://advance.lexis.com/api/document?collection=cases-ca&amp;id=urn:contentItem:5F7T-S7N1-F06F-24SF-00000-00&amp;context=" TargetMode="External" /><Relationship Id="rId379" Type="http://schemas.openxmlformats.org/officeDocument/2006/relationships/hyperlink" Target="https://advance.lexis.com/api/document?collection=cases-ca&amp;id=urn:contentItem:5F7T-S791-JCJ5-2538-00000-00&amp;context=" TargetMode="External" /><Relationship Id="rId38" Type="http://schemas.openxmlformats.org/officeDocument/2006/relationships/footer" Target="footer8.xml" /><Relationship Id="rId380" Type="http://schemas.openxmlformats.org/officeDocument/2006/relationships/hyperlink" Target="https://advance.lexis.com/api/document?collection=cases-ca&amp;id=urn:contentItem:5F7T-S7J1-DXWW-2503-00000-00&amp;context=" TargetMode="External" /><Relationship Id="rId381" Type="http://schemas.openxmlformats.org/officeDocument/2006/relationships/hyperlink" Target="https://advance.lexis.com/api/document?collection=cases-ca&amp;id=urn:contentItem:5F7T-S6V1-JFKM-6132-00000-00&amp;context=" TargetMode="External" /><Relationship Id="rId382" Type="http://schemas.openxmlformats.org/officeDocument/2006/relationships/hyperlink" Target="https://advance.lexis.com/api/document?collection=cases-ca&amp;id=urn:contentItem:5F8N-K711-F1P7-B3J8-00000-00&amp;context=" TargetMode="External" /><Relationship Id="rId383" Type="http://schemas.openxmlformats.org/officeDocument/2006/relationships/hyperlink" Target="https://advance.lexis.com/api/document?collection=cases-ca&amp;id=urn:contentItem:5F8N-K741-K0BB-S4YV-00000-00&amp;context=" TargetMode="External" /><Relationship Id="rId384" Type="http://schemas.openxmlformats.org/officeDocument/2006/relationships/hyperlink" Target="https://advance.lexis.com/api/document?collection=cases-ca&amp;id=urn:contentItem:5F7T-S7M1-JNCK-22T8-00000-00&amp;context=" TargetMode="External" /><Relationship Id="rId385" Type="http://schemas.openxmlformats.org/officeDocument/2006/relationships/hyperlink" Target="https://advance.lexis.com/api/document?collection=cases-ca&amp;id=urn:contentItem:5F8T-N3V1-JF75-M3MF-00000-00&amp;context=" TargetMode="External" /><Relationship Id="rId386" Type="http://schemas.openxmlformats.org/officeDocument/2006/relationships/hyperlink" Target="https://advance.lexis.com/api/document?collection=cases-ca&amp;id=urn:contentItem:5F81-VJW1-FGY5-M307-00000-00&amp;context=" TargetMode="External" /><Relationship Id="rId387" Type="http://schemas.openxmlformats.org/officeDocument/2006/relationships/hyperlink" Target="https://advance.lexis.com/api/document?collection=cases-ca&amp;id=urn:contentItem:5F7T-S7J1-JNS1-M2FN-00000-00&amp;context=" TargetMode="External" /><Relationship Id="rId388" Type="http://schemas.openxmlformats.org/officeDocument/2006/relationships/hyperlink" Target="https://advance.lexis.com/api/document?collection=cases-ca&amp;id=urn:contentItem:5F7T-S7M1-JNCK-22W6-00000-00&amp;context=" TargetMode="External" /><Relationship Id="rId389" Type="http://schemas.openxmlformats.org/officeDocument/2006/relationships/hyperlink" Target="https://advance.lexis.com/api/document?collection=cases-ca&amp;id=urn:contentItem:5F8T-N3V1-FH4C-X1WM-00000-00&amp;context=" TargetMode="External" /><Relationship Id="rId39" Type="http://schemas.openxmlformats.org/officeDocument/2006/relationships/header" Target="header9.xml" /><Relationship Id="rId390" Type="http://schemas.openxmlformats.org/officeDocument/2006/relationships/hyperlink" Target="https://advance.lexis.com/api/document?collection=cases-ca&amp;id=urn:contentItem:5F7T-S7H1-F4GK-M388-00000-00&amp;context=" TargetMode="External" /><Relationship Id="rId391" Type="http://schemas.openxmlformats.org/officeDocument/2006/relationships/hyperlink" Target="https://advance.lexis.com/api/document?collection=cases-ca&amp;id=urn:contentItem:5F7T-S7F1-JK4W-M1D5-00000-00&amp;context=" TargetMode="External" /><Relationship Id="rId392" Type="http://schemas.openxmlformats.org/officeDocument/2006/relationships/hyperlink" Target="https://advance.lexis.com/api/document?collection=cases-ca&amp;id=urn:contentItem:5F7T-S7F1-FJTD-G3JN-00000-00&amp;context=" TargetMode="External" /><Relationship Id="rId393" Type="http://schemas.openxmlformats.org/officeDocument/2006/relationships/hyperlink" Target="https://advance.lexis.com/api/document?collection=cases-ca&amp;id=urn:contentItem:5F7T-S7B1-JCJ5-2037-00000-00&amp;context=" TargetMode="External" /><Relationship Id="rId394" Type="http://schemas.openxmlformats.org/officeDocument/2006/relationships/hyperlink" Target="https://advance.lexis.com/api/document?collection=cases-ca&amp;id=urn:contentItem:5F7T-S711-JC0G-6342-00000-00&amp;context=" TargetMode="External" /><Relationship Id="rId395" Type="http://schemas.openxmlformats.org/officeDocument/2006/relationships/hyperlink" Target="https://advance.lexis.com/api/document?collection=cases-ca&amp;id=urn:contentItem:5F8T-N3V1-FH4C-X1XK-00000-00&amp;context=" TargetMode="External" /><Relationship Id="rId396" Type="http://schemas.openxmlformats.org/officeDocument/2006/relationships/hyperlink" Target="https://advance.lexis.com/api/document?collection=cases-ca&amp;id=urn:contentItem:5F7T-S7J1-DXWW-24YD-00000-00&amp;context=" TargetMode="External" /><Relationship Id="rId397" Type="http://schemas.openxmlformats.org/officeDocument/2006/relationships/hyperlink" Target="https://advance.lexis.com/api/document?collection=cases-ca&amp;id=urn:contentItem:5F7T-S7K1-JNY7-X49Y-00000-00&amp;context=" TargetMode="External" /><Relationship Id="rId398" Type="http://schemas.openxmlformats.org/officeDocument/2006/relationships/hyperlink" Target="https://advance.lexis.com/api/document?collection=cases-ca&amp;id=urn:contentItem:5F7T-S7H1-K054-G2HV-00000-00&amp;context=" TargetMode="External" /><Relationship Id="rId399" Type="http://schemas.openxmlformats.org/officeDocument/2006/relationships/hyperlink" Target="https://advance.lexis.com/api/document?collection=cases-ca&amp;id=urn:contentItem:5F7T-S7M1-JFSV-G3T3-00000-00&amp;context=" TargetMode="External" /><Relationship Id="rId4" Type="http://schemas.openxmlformats.org/officeDocument/2006/relationships/header" Target="header1.xml" /><Relationship Id="rId40" Type="http://schemas.openxmlformats.org/officeDocument/2006/relationships/footer" Target="footer9.xml" /><Relationship Id="rId400" Type="http://schemas.openxmlformats.org/officeDocument/2006/relationships/hyperlink" Target="https://advance.lexis.com/api/document?collection=cases-ca&amp;id=urn:contentItem:5F7T-S791-FJTD-G2KF-00000-00&amp;context=" TargetMode="External" /><Relationship Id="rId401" Type="http://schemas.openxmlformats.org/officeDocument/2006/relationships/hyperlink" Target="https://advance.lexis.com/api/document?collection=cases-ca&amp;id=urn:contentItem:5F7T-S7C1-FGRY-B0G8-00000-00&amp;context=" TargetMode="External" /><Relationship Id="rId402" Type="http://schemas.openxmlformats.org/officeDocument/2006/relationships/hyperlink" Target="https://advance.lexis.com/api/document?collection=cases-ca&amp;id=urn:contentItem:5F7T-S7M1-JCRC-B1JB-00000-00&amp;context=" TargetMode="External" /><Relationship Id="rId403" Type="http://schemas.openxmlformats.org/officeDocument/2006/relationships/hyperlink" Target="https://advance.lexis.com/api/document?collection=cases-ca&amp;id=urn:contentItem:5F8P-SF71-F8SS-63YR-00000-00&amp;context=" TargetMode="External" /><Relationship Id="rId404" Type="http://schemas.openxmlformats.org/officeDocument/2006/relationships/hyperlink" Target="https://advance.lexis.com/api/document?collection=cases-ca&amp;id=urn:contentItem:5F8T-N3V1-JFKM-6085-00000-00&amp;context=" TargetMode="External" /><Relationship Id="rId405" Type="http://schemas.openxmlformats.org/officeDocument/2006/relationships/hyperlink" Target="https://advance.lexis.com/api/document?collection=cases-ca&amp;id=urn:contentItem:5F8T-N3T1-JFKM-655W-00000-00&amp;context=" TargetMode="External" /><Relationship Id="rId406" Type="http://schemas.openxmlformats.org/officeDocument/2006/relationships/hyperlink" Target="https://advance.lexis.com/api/document?collection=cases-ca&amp;id=urn:contentItem:5F8P-SF71-FGCG-S3FR-00000-00&amp;context=" TargetMode="External" /><Relationship Id="rId407" Type="http://schemas.openxmlformats.org/officeDocument/2006/relationships/hyperlink" Target="https://advance.lexis.com/api/document?collection=cases-ca&amp;id=urn:contentItem:5F8P-SF71-F8SS-63Y3-00000-00&amp;context=" TargetMode="External" /><Relationship Id="rId408" Type="http://schemas.openxmlformats.org/officeDocument/2006/relationships/hyperlink" Target="https://advance.lexis.com/api/document?collection=cases-ca&amp;id=urn:contentItem:5F7T-S751-JP4G-614D-00000-00&amp;context=" TargetMode="External" /><Relationship Id="rId409" Type="http://schemas.openxmlformats.org/officeDocument/2006/relationships/hyperlink" Target="https://advance.lexis.com/api/document?collection=cases-ca&amp;id=urn:contentItem:5F7T-S741-F57G-S226-00000-00&amp;context=" TargetMode="External" /><Relationship Id="rId41" Type="http://schemas.openxmlformats.org/officeDocument/2006/relationships/hyperlink" Target="https://advance.lexis.com/api/document?collection=cases-ca&amp;id=urn:contentItem:5F7T-S7D1-DY89-M42R-00000-00&amp;context=" TargetMode="External" /><Relationship Id="rId410" Type="http://schemas.openxmlformats.org/officeDocument/2006/relationships/hyperlink" Target="https://advance.lexis.com/api/document?collection=cases-ca&amp;id=urn:contentItem:5F7T-S7D1-JS5Y-B2D4-00000-00&amp;context=" TargetMode="External" /><Relationship Id="rId411" Type="http://schemas.openxmlformats.org/officeDocument/2006/relationships/hyperlink" Target="https://advance.lexis.com/api/document?collection=cases-ca&amp;id=urn:contentItem:5F8P-SD91-F30T-B4MG-00000-00&amp;context=" TargetMode="External" /><Relationship Id="rId412" Type="http://schemas.openxmlformats.org/officeDocument/2006/relationships/hyperlink" Target="https://advance.lexis.com/api/document?collection=cases-ca&amp;id=urn:contentItem:5F8P-SDS1-JCBX-S2NN-00000-00&amp;context=" TargetMode="External" /><Relationship Id="rId413" Type="http://schemas.openxmlformats.org/officeDocument/2006/relationships/hyperlink" Target="https://advance.lexis.com/api/document?collection=cases-ca&amp;id=urn:contentItem:5F7T-S7J1-JGBH-B2B7-00000-00&amp;context=" TargetMode="External" /><Relationship Id="rId414" Type="http://schemas.openxmlformats.org/officeDocument/2006/relationships/hyperlink" Target="https://advance.lexis.com/api/document?collection=cases-ca&amp;id=urn:contentItem:5F7T-S7N1-JGHR-M32G-00000-00&amp;context=" TargetMode="External" /><Relationship Id="rId415" Type="http://schemas.openxmlformats.org/officeDocument/2006/relationships/hyperlink" Target="https://advance.lexis.com/api/document?collection=cases-ca&amp;id=urn:contentItem:5F8T-N3V1-JF75-M3D0-00000-00&amp;context=" TargetMode="External" /><Relationship Id="rId416" Type="http://schemas.openxmlformats.org/officeDocument/2006/relationships/hyperlink" Target="https://advance.lexis.com/api/document?collection=cases-ca&amp;id=urn:contentItem:5F7V-3DJ1-JK4W-M3NP-00000-00&amp;context=" TargetMode="External" /><Relationship Id="rId417" Type="http://schemas.openxmlformats.org/officeDocument/2006/relationships/hyperlink" Target="https://advance.lexis.com/api/document?collection=cases-ca&amp;id=urn:contentItem:5F7T-S7J1-FGCG-S08D-00000-00&amp;context=" TargetMode="External" /><Relationship Id="rId418" Type="http://schemas.openxmlformats.org/officeDocument/2006/relationships/hyperlink" Target="https://advance.lexis.com/api/document?collection=cases-ca&amp;id=urn:contentItem:5F7T-S7D1-FCSB-S2X8-00000-00&amp;context=" TargetMode="External" /><Relationship Id="rId419" Type="http://schemas.openxmlformats.org/officeDocument/2006/relationships/hyperlink" Target="https://advance.lexis.com/api/document?collection=cases-ca&amp;id=urn:contentItem:5F7V-3DK1-JP9P-G3G3-00000-00&amp;context=" TargetMode="External" /><Relationship Id="rId42" Type="http://schemas.openxmlformats.org/officeDocument/2006/relationships/hyperlink" Target="https://advance.lexis.com/api/document?collection=legislation-ca&amp;id=urn:contentItem:5F41-1FJ1-JBDT-B066-00000-00&amp;context=" TargetMode="External" /><Relationship Id="rId420" Type="http://schemas.openxmlformats.org/officeDocument/2006/relationships/hyperlink" Target="https://advance.lexis.com/api/document?collection=cases-ca&amp;id=urn:contentItem:5F8N-K711-JWBS-631N-00000-00&amp;context=" TargetMode="External" /><Relationship Id="rId421" Type="http://schemas.openxmlformats.org/officeDocument/2006/relationships/hyperlink" Target="https://advance.lexis.com/api/document?collection=cases-ca&amp;id=urn:contentItem:5F81-VJX1-FGY5-M3BF-00000-00&amp;context=" TargetMode="External" /><Relationship Id="rId422" Type="http://schemas.openxmlformats.org/officeDocument/2006/relationships/hyperlink" Target="https://advance.lexis.com/api/document?collection=cases-ca&amp;id=urn:contentItem:5F81-VJX1-FFTT-X1XP-00000-00&amp;context=" TargetMode="External" /><Relationship Id="rId423" Type="http://schemas.openxmlformats.org/officeDocument/2006/relationships/hyperlink" Target="https://advance.lexis.com/api/document?collection=cases-ca&amp;id=urn:contentItem:5F8P-SDG1-F4GK-M1Y1-00000-00&amp;context=" TargetMode="External" /><Relationship Id="rId424" Type="http://schemas.openxmlformats.org/officeDocument/2006/relationships/hyperlink" Target="https://advance.lexis.com/api/document?collection=cases-ca&amp;id=urn:contentItem:5F8P-SDR1-JJSF-226V-00000-00&amp;context=" TargetMode="External" /><Relationship Id="rId425" Type="http://schemas.openxmlformats.org/officeDocument/2006/relationships/hyperlink" Target="https://advance.lexis.com/api/document?collection=cases-ca&amp;id=urn:contentItem:5F8P-SDN1-FC6N-X50D-00000-00&amp;context=" TargetMode="External" /><Relationship Id="rId426" Type="http://schemas.openxmlformats.org/officeDocument/2006/relationships/hyperlink" Target="https://advance.lexis.com/api/document?collection=cases-ca&amp;id=urn:contentItem:5F8P-SDM1-F5T5-M2K8-00000-00&amp;context=" TargetMode="External" /><Relationship Id="rId427" Type="http://schemas.openxmlformats.org/officeDocument/2006/relationships/hyperlink" Target="https://advance.lexis.com/api/document?collection=cases-ca&amp;id=urn:contentItem:5F8P-T8W1-F2F4-G16W-00000-00&amp;context=" TargetMode="External" /><Relationship Id="rId428" Type="http://schemas.openxmlformats.org/officeDocument/2006/relationships/hyperlink" Target="https://advance.lexis.com/api/document?collection=cases-ca&amp;id=urn:contentItem:5F81-VJX1-FCK4-G1C7-00000-00&amp;context=" TargetMode="External" /><Relationship Id="rId429" Type="http://schemas.openxmlformats.org/officeDocument/2006/relationships/hyperlink" Target="https://advance.lexis.com/api/document?collection=cases-ca&amp;id=urn:contentItem:5F7T-S771-JJD0-G15J-00000-00&amp;context=" TargetMode="External" /><Relationship Id="rId43" Type="http://schemas.openxmlformats.org/officeDocument/2006/relationships/hyperlink" Target="https://advance.lexis.com/api/document?collection=cases-ca&amp;id=urn:contentItem:5F7T-S7D1-F7ND-G0MH-00000-00&amp;context=" TargetMode="External" /><Relationship Id="rId430" Type="http://schemas.openxmlformats.org/officeDocument/2006/relationships/header" Target="header52.xml" /><Relationship Id="rId431" Type="http://schemas.openxmlformats.org/officeDocument/2006/relationships/header" Target="header53.xml" /><Relationship Id="rId432" Type="http://schemas.openxmlformats.org/officeDocument/2006/relationships/footer" Target="footer52.xml" /><Relationship Id="rId433" Type="http://schemas.openxmlformats.org/officeDocument/2006/relationships/footer" Target="footer53.xml" /><Relationship Id="rId434" Type="http://schemas.openxmlformats.org/officeDocument/2006/relationships/header" Target="header54.xml" /><Relationship Id="rId435" Type="http://schemas.openxmlformats.org/officeDocument/2006/relationships/footer" Target="footer54.xml" /><Relationship Id="rId436" Type="http://schemas.openxmlformats.org/officeDocument/2006/relationships/hyperlink" Target="https://advance.lexis.com/api/document?collection=cases-ca&amp;id=urn:contentItem:5F7T-S7M1-DYMS-626F-00000-00&amp;context=" TargetMode="External" /><Relationship Id="rId437" Type="http://schemas.openxmlformats.org/officeDocument/2006/relationships/hyperlink" Target="https://advance.lexis.com/api/document?collection=cases-ca&amp;id=urn:contentItem:5K6Y-81N1-JN14-G1N5-00000-00&amp;context=" TargetMode="External" /><Relationship Id="rId438" Type="http://schemas.openxmlformats.org/officeDocument/2006/relationships/hyperlink" Target="https://advance.lexis.com/api/document?collection=legislation-ca&amp;id=urn:contentItem:5F41-1FH1-F361-M0GM-00000-00&amp;context=" TargetMode="External" /><Relationship Id="rId439" Type="http://schemas.openxmlformats.org/officeDocument/2006/relationships/hyperlink" Target="https://advance.lexis.com/api/document?collection=cases-ca&amp;id=urn:contentItem:5F7T-S6R1-JF75-M28S-00000-00&amp;context=" TargetMode="External" /><Relationship Id="rId44" Type="http://schemas.openxmlformats.org/officeDocument/2006/relationships/hyperlink" Target="https://advance.lexis.com/api/document?collection=cases-ca&amp;id=urn:contentItem:5F8T-N3V1-JF75-M3S6-00000-00&amp;context=" TargetMode="External" /><Relationship Id="rId440" Type="http://schemas.openxmlformats.org/officeDocument/2006/relationships/hyperlink" Target="https://advance.lexis.com/api/document?collection=cases-ca&amp;id=urn:contentItem:5F7T-S711-JG02-S1F6-00000-00&amp;context=" TargetMode="External" /><Relationship Id="rId441" Type="http://schemas.openxmlformats.org/officeDocument/2006/relationships/hyperlink" Target="https://advance.lexis.com/api/document?collection=cases-ca&amp;id=urn:contentItem:5F81-YH41-JX8W-M05P-00000-00&amp;context=" TargetMode="External" /><Relationship Id="rId442" Type="http://schemas.openxmlformats.org/officeDocument/2006/relationships/hyperlink" Target="https://advance.lexis.com/api/document?collection=cases-ca&amp;id=urn:contentItem:5F7T-S7J1-DXWW-24YS-00000-00&amp;context=" TargetMode="External" /><Relationship Id="rId443" Type="http://schemas.openxmlformats.org/officeDocument/2006/relationships/hyperlink" Target="https://advance.lexis.com/api/document?collection=cases-ca&amp;id=urn:contentItem:5F7T-S711-F4W2-61WK-00000-00&amp;context=" TargetMode="External" /><Relationship Id="rId444" Type="http://schemas.openxmlformats.org/officeDocument/2006/relationships/hyperlink" Target="https://advance.lexis.com/api/document?collection=cases-ca&amp;id=urn:contentItem:5F7T-S771-F2TK-22WY-00000-00&amp;context=" TargetMode="External" /><Relationship Id="rId445" Type="http://schemas.openxmlformats.org/officeDocument/2006/relationships/hyperlink" Target="https://advance.lexis.com/api/document?collection=cases-ca&amp;id=urn:contentItem:5F7T-S751-JNS1-M1TY-00000-00&amp;context=" TargetMode="External" /><Relationship Id="rId446" Type="http://schemas.openxmlformats.org/officeDocument/2006/relationships/hyperlink" Target="https://advance.lexis.com/api/document?collection=cases-ca&amp;id=urn:contentItem:5F7T-S7K1-JNY7-X4N5-00000-00&amp;context=" TargetMode="External" /><Relationship Id="rId447" Type="http://schemas.openxmlformats.org/officeDocument/2006/relationships/hyperlink" Target="https://advance.lexis.com/api/document?collection=cases-ca&amp;id=urn:contentItem:5F7T-S6Y1-JTNR-M4SH-00000-00&amp;context=" TargetMode="External" /><Relationship Id="rId448" Type="http://schemas.openxmlformats.org/officeDocument/2006/relationships/hyperlink" Target="https://advance.lexis.com/api/document?collection=cases-ca&amp;id=urn:contentItem:5F7T-S701-JBT7-X29S-00000-00&amp;context=" TargetMode="External" /><Relationship Id="rId449" Type="http://schemas.openxmlformats.org/officeDocument/2006/relationships/hyperlink" Target="https://advance.lexis.com/api/document?collection=cases-ca&amp;id=urn:contentItem:5F7T-S7K1-JKHB-62YV-00000-00&amp;context=" TargetMode="External" /><Relationship Id="rId45" Type="http://schemas.openxmlformats.org/officeDocument/2006/relationships/hyperlink" Target="https://advance.lexis.com/api/document?collection=cases-ca&amp;id=urn:contentItem:5F7T-S771-JSJC-X0FT-00000-00&amp;context=" TargetMode="External" /><Relationship Id="rId450" Type="http://schemas.openxmlformats.org/officeDocument/2006/relationships/header" Target="header55.xml" /><Relationship Id="rId451" Type="http://schemas.openxmlformats.org/officeDocument/2006/relationships/header" Target="header56.xml" /><Relationship Id="rId452" Type="http://schemas.openxmlformats.org/officeDocument/2006/relationships/footer" Target="footer55.xml" /><Relationship Id="rId453" Type="http://schemas.openxmlformats.org/officeDocument/2006/relationships/footer" Target="footer56.xml" /><Relationship Id="rId454" Type="http://schemas.openxmlformats.org/officeDocument/2006/relationships/header" Target="header57.xml" /><Relationship Id="rId455" Type="http://schemas.openxmlformats.org/officeDocument/2006/relationships/footer" Target="footer57.xml" /><Relationship Id="rId456" Type="http://schemas.openxmlformats.org/officeDocument/2006/relationships/hyperlink" Target="https://advance.lexis.com/api/document?collection=cases-ca&amp;id=urn:contentItem:5F7T-S7D1-JXG3-X0ND-00000-00&amp;context=" TargetMode="External" /><Relationship Id="rId457" Type="http://schemas.openxmlformats.org/officeDocument/2006/relationships/hyperlink" Target="https://advance.lexis.com/api/document?collection=cases-ca&amp;id=urn:contentItem:5F7T-S6T1-F2F4-G1FF-00000-00&amp;context=" TargetMode="External" /><Relationship Id="rId458" Type="http://schemas.openxmlformats.org/officeDocument/2006/relationships/hyperlink" Target="https://advance.lexis.com/api/document?collection=cases-ca&amp;id=urn:contentItem:5F7T-S6X1-JXNB-636G-00000-00&amp;context=" TargetMode="External" /><Relationship Id="rId459" Type="http://schemas.openxmlformats.org/officeDocument/2006/relationships/hyperlink" Target="https://advance.lexis.com/api/document?collection=cases-ca&amp;id=urn:contentItem:5F7T-S6W1-F7ND-G2N1-00000-00&amp;context=" TargetMode="External" /><Relationship Id="rId46" Type="http://schemas.openxmlformats.org/officeDocument/2006/relationships/hyperlink" Target="https://advance.lexis.com/api/document?collection=cases-ca&amp;id=urn:contentItem:5F7T-S7C1-F7ND-G04C-00000-00&amp;context=" TargetMode="External" /><Relationship Id="rId460" Type="http://schemas.openxmlformats.org/officeDocument/2006/relationships/hyperlink" Target="https://advance.lexis.com/api/document?collection=cases-ca&amp;id=urn:contentItem:5F7T-S751-JP4G-613B-00000-00&amp;context=" TargetMode="External" /><Relationship Id="rId461" Type="http://schemas.openxmlformats.org/officeDocument/2006/relationships/hyperlink" Target="https://advance.lexis.com/api/document?collection=cases-ca&amp;id=urn:contentItem:5F7T-S761-JCBX-S0F1-00000-00&amp;context=" TargetMode="External" /><Relationship Id="rId462" Type="http://schemas.openxmlformats.org/officeDocument/2006/relationships/hyperlink" Target="https://advance.lexis.com/api/document?collection=cases-ca&amp;id=urn:contentItem:5F7T-S761-F7ND-G4M2-00000-00&amp;context=" TargetMode="External" /><Relationship Id="rId463" Type="http://schemas.openxmlformats.org/officeDocument/2006/relationships/hyperlink" Target="https://advance.lexis.com/api/document?collection=cases-ca&amp;id=urn:contentItem:5F7T-S761-F7ND-G4M0-00000-00&amp;context=" TargetMode="External" /><Relationship Id="rId464" Type="http://schemas.openxmlformats.org/officeDocument/2006/relationships/hyperlink" Target="https://advance.lexis.com/api/document?collection=cases-ca&amp;id=urn:contentItem:5F7T-S6T1-JJ1H-X25D-00000-00&amp;context=" TargetMode="External" /><Relationship Id="rId465" Type="http://schemas.openxmlformats.org/officeDocument/2006/relationships/hyperlink" Target="https://advance.lexis.com/api/document?collection=cases-ca&amp;id=urn:contentItem:5F7T-S731-FFFC-B0SJ-00000-00&amp;context=" TargetMode="External" /><Relationship Id="rId466" Type="http://schemas.openxmlformats.org/officeDocument/2006/relationships/hyperlink" Target="https://advance.lexis.com/api/document?collection=cases-ca&amp;id=urn:contentItem:5F7T-S7B1-F7ND-G52M-00000-00&amp;context=" TargetMode="External" /><Relationship Id="rId467" Type="http://schemas.openxmlformats.org/officeDocument/2006/relationships/hyperlink" Target="https://advance.lexis.com/api/document?collection=cases-ca&amp;id=urn:contentItem:5F7T-S721-FG12-621Y-00000-00&amp;context=" TargetMode="External" /><Relationship Id="rId468" Type="http://schemas.openxmlformats.org/officeDocument/2006/relationships/hyperlink" Target="https://advance.lexis.com/api/document?collection=cases-ca&amp;id=urn:contentItem:5F7T-S6Y1-F4GK-M1WK-00000-00&amp;context=" TargetMode="External" /><Relationship Id="rId469" Type="http://schemas.openxmlformats.org/officeDocument/2006/relationships/hyperlink" Target="https://advance.lexis.com/api/document?collection=cases-ca&amp;id=urn:contentItem:5F7T-S701-F8KH-X150-00000-00&amp;context=" TargetMode="External" /><Relationship Id="rId47" Type="http://schemas.openxmlformats.org/officeDocument/2006/relationships/header" Target="header10.xml" /><Relationship Id="rId470" Type="http://schemas.openxmlformats.org/officeDocument/2006/relationships/hyperlink" Target="https://advance.lexis.com/api/document?collection=cases-ca&amp;id=urn:contentItem:5F7T-S741-F2F4-G2B9-00000-00&amp;context=" TargetMode="External" /><Relationship Id="rId471" Type="http://schemas.openxmlformats.org/officeDocument/2006/relationships/hyperlink" Target="https://advance.lexis.com/api/document?collection=cases-ca&amp;id=urn:contentItem:5F7T-S6Y1-F81W-21DN-00000-00&amp;context=" TargetMode="External" /><Relationship Id="rId472" Type="http://schemas.openxmlformats.org/officeDocument/2006/relationships/hyperlink" Target="https://advance.lexis.com/api/document?collection=cases-ca&amp;id=urn:contentItem:5F7T-S6Y1-JTNR-M4MM-00000-00&amp;context=" TargetMode="External" /><Relationship Id="rId473" Type="http://schemas.openxmlformats.org/officeDocument/2006/relationships/hyperlink" Target="https://advance.lexis.com/api/document?collection=cases-ca&amp;id=urn:contentItem:5F8T-N3R1-FJDY-X38P-00000-00&amp;context=" TargetMode="External" /><Relationship Id="rId474" Type="http://schemas.openxmlformats.org/officeDocument/2006/relationships/hyperlink" Target="https://advance.lexis.com/api/document?collection=cases-ca&amp;id=urn:contentItem:5F7T-S771-F81W-22N4-00000-00&amp;context=" TargetMode="External" /><Relationship Id="rId475" Type="http://schemas.openxmlformats.org/officeDocument/2006/relationships/header" Target="header58.xml" /><Relationship Id="rId476" Type="http://schemas.openxmlformats.org/officeDocument/2006/relationships/header" Target="header59.xml" /><Relationship Id="rId477" Type="http://schemas.openxmlformats.org/officeDocument/2006/relationships/footer" Target="footer58.xml" /><Relationship Id="rId478" Type="http://schemas.openxmlformats.org/officeDocument/2006/relationships/footer" Target="footer59.xml" /><Relationship Id="rId479" Type="http://schemas.openxmlformats.org/officeDocument/2006/relationships/header" Target="header60.xml" /><Relationship Id="rId48" Type="http://schemas.openxmlformats.org/officeDocument/2006/relationships/header" Target="header11.xml" /><Relationship Id="rId480" Type="http://schemas.openxmlformats.org/officeDocument/2006/relationships/footer" Target="footer60.xml" /><Relationship Id="rId481" Type="http://schemas.openxmlformats.org/officeDocument/2006/relationships/hyperlink" Target="https://advance.lexis.com/api/document?collection=cases-ca&amp;id=urn:contentItem:5F7T-S7N1-JGHR-M2WH-00000-00&amp;context=" TargetMode="External" /><Relationship Id="rId482" Type="http://schemas.openxmlformats.org/officeDocument/2006/relationships/hyperlink" Target="https://advance.lexis.com/api/document?collection=cases-ca&amp;id=urn:contentItem:5K6Y-81N1-JFDC-X1H6-00000-00&amp;context=" TargetMode="External" /><Relationship Id="rId483" Type="http://schemas.openxmlformats.org/officeDocument/2006/relationships/hyperlink" Target="https://advance.lexis.com/api/document?collection=legislation-ca&amp;id=urn:contentItem:5F41-1FJ1-JBDT-B06F-00000-00&amp;context=" TargetMode="External" /><Relationship Id="rId484" Type="http://schemas.openxmlformats.org/officeDocument/2006/relationships/hyperlink" Target="https://advance.lexis.com/api/document?collection=legislation-ca&amp;id=urn:contentItem:5VYK-W9V1-JS0R-23WX-00000-00&amp;context=" TargetMode="External" /><Relationship Id="rId485" Type="http://schemas.openxmlformats.org/officeDocument/2006/relationships/hyperlink" Target="https://advance.lexis.com/api/document?collection=cases-ca&amp;id=urn:contentItem:5F7T-S7J1-FGCG-S0GV-00000-00&amp;context=" TargetMode="External" /><Relationship Id="rId486" Type="http://schemas.openxmlformats.org/officeDocument/2006/relationships/hyperlink" Target="https://advance.lexis.com/api/document?collection=cases-ca&amp;id=urn:contentItem:5F7T-S771-F361-M1HH-00000-00&amp;context=" TargetMode="External" /><Relationship Id="rId487" Type="http://schemas.openxmlformats.org/officeDocument/2006/relationships/hyperlink" Target="https://advance.lexis.com/api/document?collection=cases-ca&amp;id=urn:contentItem:5F7T-S741-F1H1-21RG-00000-00&amp;context=" TargetMode="External" /><Relationship Id="rId488" Type="http://schemas.openxmlformats.org/officeDocument/2006/relationships/hyperlink" Target="https://advance.lexis.com/api/document?collection=cases-ca&amp;id=urn:contentItem:5F7T-S721-F06F-2327-00000-00&amp;context=" TargetMode="External" /><Relationship Id="rId489" Type="http://schemas.openxmlformats.org/officeDocument/2006/relationships/hyperlink" Target="https://advance.lexis.com/api/document?collection=cases-ca&amp;id=urn:contentItem:5F7T-S7C1-F4NT-X44B-00000-00&amp;context=" TargetMode="External" /><Relationship Id="rId49" Type="http://schemas.openxmlformats.org/officeDocument/2006/relationships/footer" Target="footer10.xml" /><Relationship Id="rId490" Type="http://schemas.openxmlformats.org/officeDocument/2006/relationships/hyperlink" Target="https://advance.lexis.com/api/document?collection=cases-ca&amp;id=urn:contentItem:5F7T-S781-F06F-2425-00000-00&amp;context=" TargetMode="External" /><Relationship Id="rId491" Type="http://schemas.openxmlformats.org/officeDocument/2006/relationships/hyperlink" Target="https://advance.lexis.com/api/document?collection=cases-ca&amp;id=urn:contentItem:5F7T-S7D1-FC6N-X0GX-00000-00&amp;context=" TargetMode="External" /><Relationship Id="rId492" Type="http://schemas.openxmlformats.org/officeDocument/2006/relationships/hyperlink" Target="https://advance.lexis.com/api/document?collection=cases-ca&amp;id=urn:contentItem:5F7T-S721-F06F-235D-00000-00&amp;context=" TargetMode="External" /><Relationship Id="rId493" Type="http://schemas.openxmlformats.org/officeDocument/2006/relationships/hyperlink" Target="https://advance.lexis.com/api/document?collection=cases-ca&amp;id=urn:contentItem:5F7T-S731-JC0G-63NY-00000-00&amp;context=" TargetMode="External" /><Relationship Id="rId494" Type="http://schemas.openxmlformats.org/officeDocument/2006/relationships/hyperlink" Target="https://advance.lexis.com/api/document?collection=cases-ca&amp;id=urn:contentItem:5F7T-S761-JGHR-M2VX-00000-00&amp;context=" TargetMode="External" /><Relationship Id="rId495" Type="http://schemas.openxmlformats.org/officeDocument/2006/relationships/hyperlink" Target="https://advance.lexis.com/api/document?collection=cases-ca&amp;id=urn:contentItem:5F7T-S7F1-F7VM-S3W8-00000-00&amp;context=" TargetMode="External" /><Relationship Id="rId496" Type="http://schemas.openxmlformats.org/officeDocument/2006/relationships/hyperlink" Target="https://advance.lexis.com/api/document?collection=cases-ca&amp;id=urn:contentItem:5F7T-S701-JBT7-X22V-00000-00&amp;context=" TargetMode="External" /><Relationship Id="rId497" Type="http://schemas.openxmlformats.org/officeDocument/2006/relationships/hyperlink" Target="https://advance.lexis.com/api/document?collection=cases-ca&amp;id=urn:contentItem:5F7T-S7F1-FJTD-G3N4-00000-00&amp;context=" TargetMode="External" /><Relationship Id="rId498" Type="http://schemas.openxmlformats.org/officeDocument/2006/relationships/hyperlink" Target="https://advance.lexis.com/api/document?collection=cases-ca&amp;id=urn:contentItem:5F7T-S7K1-JKHB-62JB-00000-00&amp;context=" TargetMode="External" /><Relationship Id="rId499" Type="http://schemas.openxmlformats.org/officeDocument/2006/relationships/hyperlink" Target="https://advance.lexis.com/api/document?collection=cases-ca&amp;id=urn:contentItem:5F7T-S771-JW5H-X1Y0-00000-00&amp;context=" TargetMode="External" /><Relationship Id="rId5" Type="http://schemas.openxmlformats.org/officeDocument/2006/relationships/header" Target="header2.xml" /><Relationship Id="rId50" Type="http://schemas.openxmlformats.org/officeDocument/2006/relationships/footer" Target="footer11.xml" /><Relationship Id="rId500" Type="http://schemas.openxmlformats.org/officeDocument/2006/relationships/hyperlink" Target="https://advance.lexis.com/api/document?collection=cases-ca&amp;id=urn:contentItem:5F7T-S7M1-JFSV-G3MF-00000-00&amp;context=" TargetMode="External" /><Relationship Id="rId501" Type="http://schemas.openxmlformats.org/officeDocument/2006/relationships/header" Target="header61.xml" /><Relationship Id="rId502" Type="http://schemas.openxmlformats.org/officeDocument/2006/relationships/header" Target="header62.xml" /><Relationship Id="rId503" Type="http://schemas.openxmlformats.org/officeDocument/2006/relationships/footer" Target="footer61.xml" /><Relationship Id="rId504" Type="http://schemas.openxmlformats.org/officeDocument/2006/relationships/footer" Target="footer62.xml" /><Relationship Id="rId505" Type="http://schemas.openxmlformats.org/officeDocument/2006/relationships/header" Target="header63.xml" /><Relationship Id="rId506" Type="http://schemas.openxmlformats.org/officeDocument/2006/relationships/footer" Target="footer63.xml" /><Relationship Id="rId507" Type="http://schemas.openxmlformats.org/officeDocument/2006/relationships/hyperlink" Target="https://advance.lexis.com/api/document?collection=cases-ca&amp;id=urn:contentItem:5F7T-S7C1-JCJ5-20GK-00000-00&amp;context=" TargetMode="External" /><Relationship Id="rId508" Type="http://schemas.openxmlformats.org/officeDocument/2006/relationships/hyperlink" Target="https://advance.lexis.com/api/document?collection=legislation-ca&amp;id=urn:contentItem:5TBM-3RN1-F2TK-240T-00000-00&amp;context=" TargetMode="External" /><Relationship Id="rId509" Type="http://schemas.openxmlformats.org/officeDocument/2006/relationships/hyperlink" Target="https://advance.lexis.com/api/document?collection=legislation-ca&amp;id=urn:contentItem:5F3B-B791-JW09-M0XN-00000-00&amp;context=" TargetMode="External" /><Relationship Id="rId51" Type="http://schemas.openxmlformats.org/officeDocument/2006/relationships/header" Target="header12.xml" /><Relationship Id="rId510" Type="http://schemas.openxmlformats.org/officeDocument/2006/relationships/hyperlink" Target="https://advance.lexis.com/api/document?collection=cases-ca&amp;id=urn:contentItem:5F81-VJX1-JJYN-B4M5-00000-00&amp;context=" TargetMode="External" /><Relationship Id="rId511" Type="http://schemas.openxmlformats.org/officeDocument/2006/relationships/hyperlink" Target="https://advance.lexis.com/api/document?collection=cases-ca&amp;id=urn:contentItem:5F7T-S781-F27X-6143-00000-00&amp;context=" TargetMode="External" /><Relationship Id="rId512" Type="http://schemas.openxmlformats.org/officeDocument/2006/relationships/hyperlink" Target="https://advance.lexis.com/api/document?collection=cases-ca&amp;id=urn:contentItem:5F7T-S741-DY89-M3MH-00000-00&amp;context=" TargetMode="External" /><Relationship Id="rId513" Type="http://schemas.openxmlformats.org/officeDocument/2006/relationships/hyperlink" Target="https://advance.lexis.com/api/document?collection=cases-ca&amp;id=urn:contentItem:5F7T-S751-F361-M0R6-00000-00&amp;context=" TargetMode="External" /><Relationship Id="rId514" Type="http://schemas.openxmlformats.org/officeDocument/2006/relationships/hyperlink" Target="https://advance.lexis.com/api/document?collection=cases-ca&amp;id=urn:contentItem:5F7T-S7C1-F4NT-X3GV-00000-00&amp;context=" TargetMode="External" /><Relationship Id="rId515" Type="http://schemas.openxmlformats.org/officeDocument/2006/relationships/hyperlink" Target="https://advance.lexis.com/api/document?collection=cases-ca&amp;id=urn:contentItem:5F8P-SDG1-FJDY-X1H0-00000-00&amp;context=" TargetMode="External" /><Relationship Id="rId516" Type="http://schemas.openxmlformats.org/officeDocument/2006/relationships/hyperlink" Target="https://advance.lexis.com/api/document?collection=cases-ca&amp;id=urn:contentItem:5F7T-S751-JBM1-M2D6-00000-00&amp;context=" TargetMode="External" /><Relationship Id="rId517" Type="http://schemas.openxmlformats.org/officeDocument/2006/relationships/header" Target="header64.xml" /><Relationship Id="rId518" Type="http://schemas.openxmlformats.org/officeDocument/2006/relationships/header" Target="header65.xml" /><Relationship Id="rId519" Type="http://schemas.openxmlformats.org/officeDocument/2006/relationships/footer" Target="footer64.xml" /><Relationship Id="rId52" Type="http://schemas.openxmlformats.org/officeDocument/2006/relationships/footer" Target="footer12.xml" /><Relationship Id="rId520" Type="http://schemas.openxmlformats.org/officeDocument/2006/relationships/footer" Target="footer65.xml" /><Relationship Id="rId521" Type="http://schemas.openxmlformats.org/officeDocument/2006/relationships/header" Target="header66.xml" /><Relationship Id="rId522" Type="http://schemas.openxmlformats.org/officeDocument/2006/relationships/footer" Target="footer66.xml" /><Relationship Id="rId523" Type="http://schemas.openxmlformats.org/officeDocument/2006/relationships/hyperlink" Target="https://advance.lexis.com/api/document?collection=cases-ca&amp;id=urn:contentItem:5F7T-S7C1-JS0R-22DR-00000-00&amp;context=" TargetMode="External" /><Relationship Id="rId524" Type="http://schemas.openxmlformats.org/officeDocument/2006/relationships/hyperlink" Target="https://advance.lexis.com/api/document?collection=legislation-ca&amp;id=urn:contentItem:5F41-1FM1-FJM6-61MX-00000-00&amp;context=" TargetMode="External" /><Relationship Id="rId525" Type="http://schemas.openxmlformats.org/officeDocument/2006/relationships/hyperlink" Target="https://advance.lexis.com/api/document?collection=cases-ca&amp;id=urn:contentItem:5F7T-S771-FG68-G0SY-00000-00&amp;context=" TargetMode="External" /><Relationship Id="rId526" Type="http://schemas.openxmlformats.org/officeDocument/2006/relationships/hyperlink" Target="https://advance.lexis.com/api/document?collection=cases-ca&amp;id=urn:contentItem:5F7T-S711-F5KY-B0VX-00000-00&amp;context=" TargetMode="External" /><Relationship Id="rId527" Type="http://schemas.openxmlformats.org/officeDocument/2006/relationships/hyperlink" Target="https://advance.lexis.com/api/document?collection=cases-ca&amp;id=urn:contentItem:5F7T-S701-JGPY-X1X5-00000-00&amp;context=" TargetMode="External" /><Relationship Id="rId528" Type="http://schemas.openxmlformats.org/officeDocument/2006/relationships/hyperlink" Target="https://advance.lexis.com/api/document?collection=cases-ca&amp;id=urn:contentItem:5F7T-S6S1-JTNR-M1R7-00000-00&amp;context=" TargetMode="External" /><Relationship Id="rId529" Type="http://schemas.openxmlformats.org/officeDocument/2006/relationships/hyperlink" Target="https://advance.lexis.com/api/document?collection=cases-ca&amp;id=urn:contentItem:5F7T-S6R1-DXWW-22X0-00000-00&amp;context=" TargetMode="External" /><Relationship Id="rId53" Type="http://schemas.openxmlformats.org/officeDocument/2006/relationships/hyperlink" Target="https://advance.lexis.com/api/document?collection=cases-ca&amp;id=urn:contentItem:5F7T-S7C1-F30T-B2K0-00000-00&amp;context=" TargetMode="External" /><Relationship Id="rId530" Type="http://schemas.openxmlformats.org/officeDocument/2006/relationships/hyperlink" Target="https://advance.lexis.com/api/document?collection=cases-ca&amp;id=urn:contentItem:5F7T-S731-F60C-X107-00000-00&amp;context=" TargetMode="External" /><Relationship Id="rId531" Type="http://schemas.openxmlformats.org/officeDocument/2006/relationships/hyperlink" Target="https://advance.lexis.com/api/document?collection=cases-ca&amp;id=urn:contentItem:5F7T-S741-DXPM-S0RR-00000-00&amp;context=" TargetMode="External" /><Relationship Id="rId532" Type="http://schemas.openxmlformats.org/officeDocument/2006/relationships/hyperlink" Target="https://advance.lexis.com/api/document?collection=cases-ca&amp;id=urn:contentItem:5F7T-S6S1-F60C-X0PP-00000-00&amp;context=" TargetMode="External" /><Relationship Id="rId533" Type="http://schemas.openxmlformats.org/officeDocument/2006/relationships/hyperlink" Target="https://advance.lexis.com/api/document?collection=cases-ca&amp;id=urn:contentItem:5F7T-S711-JC0G-632H-00000-00&amp;context=" TargetMode="External" /><Relationship Id="rId534" Type="http://schemas.openxmlformats.org/officeDocument/2006/relationships/hyperlink" Target="https://advance.lexis.com/api/document?collection=cases-ca&amp;id=urn:contentItem:5F7T-S6S1-FFTT-X05R-00000-00&amp;context=" TargetMode="External" /><Relationship Id="rId535" Type="http://schemas.openxmlformats.org/officeDocument/2006/relationships/hyperlink" Target="https://advance.lexis.com/api/document?collection=cases-ca&amp;id=urn:contentItem:5F7T-S7N1-JJ1H-X2S6-00000-00&amp;context=" TargetMode="External" /><Relationship Id="rId536" Type="http://schemas.openxmlformats.org/officeDocument/2006/relationships/hyperlink" Target="https://advance.lexis.com/api/document?collection=cases-ca&amp;id=urn:contentItem:5F81-YH41-JX8W-M061-00000-00&amp;context=" TargetMode="External" /><Relationship Id="rId537" Type="http://schemas.openxmlformats.org/officeDocument/2006/relationships/hyperlink" Target="https://advance.lexis.com/api/document?collection=cases-ca&amp;id=urn:contentItem:5F8P-T8T1-JC0G-605C-00000-00&amp;context=" TargetMode="External" /><Relationship Id="rId538" Type="http://schemas.openxmlformats.org/officeDocument/2006/relationships/hyperlink" Target="https://advance.lexis.com/api/document?collection=cases-ca&amp;id=urn:contentItem:5F81-VJV1-FC6N-X2XH-00000-00&amp;context=" TargetMode="External" /><Relationship Id="rId539" Type="http://schemas.openxmlformats.org/officeDocument/2006/relationships/hyperlink" Target="https://advance.lexis.com/api/document?collection=cases-ca&amp;id=urn:contentItem:5F7T-S6X1-F7G6-624H-00000-00&amp;context=" TargetMode="External" /><Relationship Id="rId54" Type="http://schemas.openxmlformats.org/officeDocument/2006/relationships/hyperlink" Target="https://advance.lexis.com/api/document?collection=cases-ca&amp;id=urn:contentItem:5F7T-S751-JG02-S29T-00000-00&amp;context=" TargetMode="External" /><Relationship Id="rId540" Type="http://schemas.openxmlformats.org/officeDocument/2006/relationships/hyperlink" Target="https://advance.lexis.com/api/document?collection=cases-ca&amp;id=urn:contentItem:5F7T-S721-F8D9-M0VT-00000-00&amp;context=" TargetMode="External" /><Relationship Id="rId541" Type="http://schemas.openxmlformats.org/officeDocument/2006/relationships/hyperlink" Target="https://advance.lexis.com/api/document?collection=cases-ca&amp;id=urn:contentItem:5F7T-S751-JGHR-M1VJ-00000-00&amp;context=" TargetMode="External" /><Relationship Id="rId542" Type="http://schemas.openxmlformats.org/officeDocument/2006/relationships/hyperlink" Target="https://advance.lexis.com/api/document?collection=cases-ca&amp;id=urn:contentItem:5F8P-T8W1-FC1F-M3M4-00000-00&amp;context=" TargetMode="External" /><Relationship Id="rId543" Type="http://schemas.openxmlformats.org/officeDocument/2006/relationships/hyperlink" Target="https://advance.lexis.com/api/document?collection=cases-ca&amp;id=urn:contentItem:5F81-WC31-F5KY-B4V7-00000-00&amp;context=" TargetMode="External" /><Relationship Id="rId544" Type="http://schemas.openxmlformats.org/officeDocument/2006/relationships/hyperlink" Target="https://advance.lexis.com/api/document?collection=cases-ca&amp;id=urn:contentItem:5F8P-SCG1-F4NT-X16S-00000-00&amp;context=" TargetMode="External" /><Relationship Id="rId545" Type="http://schemas.openxmlformats.org/officeDocument/2006/relationships/hyperlink" Target="https://advance.lexis.com/api/document?collection=cases-ca&amp;id=urn:contentItem:5F7T-S6W1-FBFS-S15S-00000-00&amp;context=" TargetMode="External" /><Relationship Id="rId546" Type="http://schemas.openxmlformats.org/officeDocument/2006/relationships/hyperlink" Target="https://advance.lexis.com/api/document?collection=cases-ca&amp;id=urn:contentItem:5F7V-3DG1-JJ6S-64GJ-00000-00&amp;context=" TargetMode="External" /><Relationship Id="rId547" Type="http://schemas.openxmlformats.org/officeDocument/2006/relationships/hyperlink" Target="https://advance.lexis.com/api/document?collection=cases-ca&amp;id=urn:contentItem:5F7V-3DG1-JFKM-653J-00000-00&amp;context=" TargetMode="External" /><Relationship Id="rId548" Type="http://schemas.openxmlformats.org/officeDocument/2006/relationships/hyperlink" Target="https://advance.lexis.com/api/document?collection=cases-ca&amp;id=urn:contentItem:5F7T-S781-F27X-618C-00000-00&amp;context=" TargetMode="External" /><Relationship Id="rId549" Type="http://schemas.openxmlformats.org/officeDocument/2006/relationships/hyperlink" Target="https://advance.lexis.com/api/document?collection=cases-ca&amp;id=urn:contentItem:5F7T-S781-FH4C-X36V-00000-00&amp;context=" TargetMode="External" /><Relationship Id="rId55" Type="http://schemas.openxmlformats.org/officeDocument/2006/relationships/hyperlink" Target="https://advance.lexis.com/api/document?collection=cases-ca&amp;id=urn:contentItem:5F7T-S711-JB2B-S0W5-00000-00&amp;context=" TargetMode="External" /><Relationship Id="rId550" Type="http://schemas.openxmlformats.org/officeDocument/2006/relationships/hyperlink" Target="https://advance.lexis.com/api/document?collection=cases-ca&amp;id=urn:contentItem:5F81-YGM1-JG02-S15S-00000-00&amp;context=" TargetMode="External" /><Relationship Id="rId551" Type="http://schemas.openxmlformats.org/officeDocument/2006/relationships/hyperlink" Target="https://advance.lexis.com/api/document?collection=cases-ca&amp;id=urn:contentItem:5F8T-N3V1-FC1F-M488-00000-00&amp;context=" TargetMode="External" /><Relationship Id="rId552" Type="http://schemas.openxmlformats.org/officeDocument/2006/relationships/hyperlink" Target="https://advance.lexis.com/api/document?collection=cases-ca&amp;id=urn:contentItem:5F7T-S7B1-JCJ5-204G-00000-00&amp;context=" TargetMode="External" /><Relationship Id="rId553" Type="http://schemas.openxmlformats.org/officeDocument/2006/relationships/header" Target="header67.xml" /><Relationship Id="rId554" Type="http://schemas.openxmlformats.org/officeDocument/2006/relationships/header" Target="header68.xml" /><Relationship Id="rId555" Type="http://schemas.openxmlformats.org/officeDocument/2006/relationships/footer" Target="footer67.xml" /><Relationship Id="rId556" Type="http://schemas.openxmlformats.org/officeDocument/2006/relationships/footer" Target="footer68.xml" /><Relationship Id="rId557" Type="http://schemas.openxmlformats.org/officeDocument/2006/relationships/header" Target="header69.xml" /><Relationship Id="rId558" Type="http://schemas.openxmlformats.org/officeDocument/2006/relationships/footer" Target="footer69.xml" /><Relationship Id="rId559" Type="http://schemas.openxmlformats.org/officeDocument/2006/relationships/hyperlink" Target="https://advance.lexis.com/api/document?collection=cases-ca&amp;id=urn:contentItem:5F7T-S7F1-JK4W-M1R7-00000-00&amp;context=" TargetMode="External" /><Relationship Id="rId56" Type="http://schemas.openxmlformats.org/officeDocument/2006/relationships/hyperlink" Target="https://advance.lexis.com/api/document?collection=cases-ca&amp;id=urn:contentItem:5F7T-S721-F956-S1RX-00000-00&amp;context=" TargetMode="External" /><Relationship Id="rId560" Type="http://schemas.openxmlformats.org/officeDocument/2006/relationships/hyperlink" Target="https://advance.lexis.com/api/document?collection=legislation-ca&amp;id=urn:contentItem:5VYK-WB51-K054-G4Y8-00000-00&amp;context=" TargetMode="External" /><Relationship Id="rId561" Type="http://schemas.openxmlformats.org/officeDocument/2006/relationships/hyperlink" Target="https://advance.lexis.com/api/document?collection=cases-ca&amp;id=urn:contentItem:5F7T-S711-F5KY-B117-00000-00&amp;context=" TargetMode="External" /><Relationship Id="rId562" Type="http://schemas.openxmlformats.org/officeDocument/2006/relationships/hyperlink" Target="https://advance.lexis.com/api/document?collection=cases-ca&amp;id=urn:contentItem:5F7T-S7D1-JN6B-S0XD-00000-00&amp;context=" TargetMode="External" /><Relationship Id="rId563" Type="http://schemas.openxmlformats.org/officeDocument/2006/relationships/hyperlink" Target="https://advance.lexis.com/api/document?collection=cases-ca&amp;id=urn:contentItem:5F81-VJV1-DXWW-22K2-00000-00&amp;context=" TargetMode="External" /><Relationship Id="rId564" Type="http://schemas.openxmlformats.org/officeDocument/2006/relationships/hyperlink" Target="https://advance.lexis.com/api/document?collection=cases-ca&amp;id=urn:contentItem:5F7T-S7H1-JFKM-62F1-00000-00&amp;context=" TargetMode="External" /><Relationship Id="rId565" Type="http://schemas.openxmlformats.org/officeDocument/2006/relationships/hyperlink" Target="https://advance.lexis.com/api/document?collection=cases-ca&amp;id=urn:contentItem:5F7T-S6T1-FJTD-G1MT-00000-00&amp;context=" TargetMode="External" /><Relationship Id="rId566" Type="http://schemas.openxmlformats.org/officeDocument/2006/relationships/hyperlink" Target="https://advance.lexis.com/api/document?collection=cases-ca&amp;id=urn:contentItem:5F7T-S6W1-F7ND-G2SH-00000-00&amp;context=" TargetMode="External" /><Relationship Id="rId567" Type="http://schemas.openxmlformats.org/officeDocument/2006/relationships/hyperlink" Target="https://advance.lexis.com/api/document?collection=cases-ca&amp;id=urn:contentItem:5F8T-N3V1-JF75-M3FN-00000-00&amp;context=" TargetMode="External" /><Relationship Id="rId568" Type="http://schemas.openxmlformats.org/officeDocument/2006/relationships/hyperlink" Target="https://advance.lexis.com/api/document?collection=cases-ca&amp;id=urn:contentItem:5F8T-N3T1-JJSF-23F8-00000-00&amp;context=" TargetMode="External" /><Relationship Id="rId569" Type="http://schemas.openxmlformats.org/officeDocument/2006/relationships/hyperlink" Target="https://advance.lexis.com/api/document?collection=cases-ca&amp;id=urn:contentItem:5F8T-N3T1-JFKM-6519-00000-00&amp;context=" TargetMode="External" /><Relationship Id="rId57" Type="http://schemas.openxmlformats.org/officeDocument/2006/relationships/hyperlink" Target="https://advance.lexis.com/api/document?collection=cases-ca&amp;id=urn:contentItem:5F8T-N3T1-JJSF-23P8-00000-00&amp;context=" TargetMode="External" /><Relationship Id="rId570" Type="http://schemas.openxmlformats.org/officeDocument/2006/relationships/hyperlink" Target="https://advance.lexis.com/api/document?collection=cases-ca&amp;id=urn:contentItem:5F7T-S7C1-F30T-B2GP-00000-00&amp;context=" TargetMode="External" /><Relationship Id="rId571" Type="http://schemas.openxmlformats.org/officeDocument/2006/relationships/hyperlink" Target="https://advance.lexis.com/api/document?collection=cases-ca&amp;id=urn:contentItem:5F7T-S6Y1-JSC5-M312-00000-00&amp;context=" TargetMode="External" /><Relationship Id="rId572" Type="http://schemas.openxmlformats.org/officeDocument/2006/relationships/hyperlink" Target="https://advance.lexis.com/api/document?collection=cases-ca&amp;id=urn:contentItem:5F7T-S731-F60C-X161-00000-00&amp;context=" TargetMode="External" /><Relationship Id="rId573" Type="http://schemas.openxmlformats.org/officeDocument/2006/relationships/hyperlink" Target="https://advance.lexis.com/api/document?collection=cases-ca&amp;id=urn:contentItem:5F8T-N3V1-JF75-M3B4-00000-00&amp;context=" TargetMode="External" /><Relationship Id="rId574" Type="http://schemas.openxmlformats.org/officeDocument/2006/relationships/hyperlink" Target="https://advance.lexis.com/api/document?collection=cases-ca&amp;id=urn:contentItem:5F7T-S6T1-JK4W-M0D8-00000-00&amp;context=" TargetMode="External" /><Relationship Id="rId575" Type="http://schemas.openxmlformats.org/officeDocument/2006/relationships/hyperlink" Target="https://advance.lexis.com/api/document?collection=cases-ca&amp;id=urn:contentItem:5F7T-S6Y1-JPP5-2167-00000-00&amp;context=" TargetMode="External" /><Relationship Id="rId576" Type="http://schemas.openxmlformats.org/officeDocument/2006/relationships/hyperlink" Target="https://advance.lexis.com/api/document?collection=cases-ca&amp;id=urn:contentItem:5F7T-S7H1-K054-G2CX-00000-00&amp;context=" TargetMode="External" /><Relationship Id="rId577" Type="http://schemas.openxmlformats.org/officeDocument/2006/relationships/header" Target="header70.xml" /><Relationship Id="rId578" Type="http://schemas.openxmlformats.org/officeDocument/2006/relationships/header" Target="header71.xml" /><Relationship Id="rId579" Type="http://schemas.openxmlformats.org/officeDocument/2006/relationships/footer" Target="footer70.xml" /><Relationship Id="rId58" Type="http://schemas.openxmlformats.org/officeDocument/2006/relationships/hyperlink" Target="https://advance.lexis.com/api/document?collection=cases-ca&amp;id=urn:contentItem:5F8T-N3V1-FC1F-M3WB-00000-00&amp;context=" TargetMode="External" /><Relationship Id="rId580" Type="http://schemas.openxmlformats.org/officeDocument/2006/relationships/footer" Target="footer71.xml" /><Relationship Id="rId581" Type="http://schemas.openxmlformats.org/officeDocument/2006/relationships/header" Target="header72.xml" /><Relationship Id="rId582" Type="http://schemas.openxmlformats.org/officeDocument/2006/relationships/footer" Target="footer72.xml" /><Relationship Id="rId583" Type="http://schemas.openxmlformats.org/officeDocument/2006/relationships/hyperlink" Target="https://advance.lexis.com/api/document?collection=cases-ca&amp;id=urn:contentItem:5F7T-S7F1-FBN1-21G4-00000-00&amp;context=" TargetMode="External" /><Relationship Id="rId584" Type="http://schemas.openxmlformats.org/officeDocument/2006/relationships/hyperlink" Target="https://advance.lexis.com/api/document?collection=cases-ca&amp;id=urn:contentItem:5K6Y-81M1-JGPY-X22C-00000-00&amp;context=" TargetMode="External" /><Relationship Id="rId585" Type="http://schemas.openxmlformats.org/officeDocument/2006/relationships/hyperlink" Target="https://advance.lexis.com/api/document?collection=cases-ca&amp;id=urn:contentItem:5F8T-N3V1-JTGH-B0Y8-00000-00&amp;context=" TargetMode="External" /><Relationship Id="rId586" Type="http://schemas.openxmlformats.org/officeDocument/2006/relationships/hyperlink" Target="https://advance.lexis.com/api/document?collection=cases-ca&amp;id=urn:contentItem:5F8T-N3V1-JTGH-B0Y9-00000-00&amp;context=" TargetMode="External" /><Relationship Id="rId587" Type="http://schemas.openxmlformats.org/officeDocument/2006/relationships/hyperlink" Target="https://advance.lexis.com/api/document?collection=cases-ca&amp;id=urn:contentItem:5F8T-N3V1-JFKM-6052-00000-00&amp;context=" TargetMode="External" /><Relationship Id="rId588" Type="http://schemas.openxmlformats.org/officeDocument/2006/relationships/header" Target="header73.xml" /><Relationship Id="rId589" Type="http://schemas.openxmlformats.org/officeDocument/2006/relationships/header" Target="header74.xml" /><Relationship Id="rId59" Type="http://schemas.openxmlformats.org/officeDocument/2006/relationships/hyperlink" Target="https://advance.lexis.com/api/document?collection=cases-ca&amp;id=urn:contentItem:5F8T-N3V1-FC1F-M42X-00000-00&amp;context=" TargetMode="External" /><Relationship Id="rId590" Type="http://schemas.openxmlformats.org/officeDocument/2006/relationships/footer" Target="footer73.xml" /><Relationship Id="rId591" Type="http://schemas.openxmlformats.org/officeDocument/2006/relationships/footer" Target="footer74.xml" /><Relationship Id="rId592" Type="http://schemas.openxmlformats.org/officeDocument/2006/relationships/header" Target="header75.xml" /><Relationship Id="rId593" Type="http://schemas.openxmlformats.org/officeDocument/2006/relationships/footer" Target="footer75.xml" /><Relationship Id="rId594" Type="http://schemas.openxmlformats.org/officeDocument/2006/relationships/hyperlink" Target="https://advance.lexis.com/api/document?collection=cases-ca&amp;id=urn:contentItem:5F7T-S781-F900-G15V-00000-00&amp;context=" TargetMode="External" /><Relationship Id="rId595" Type="http://schemas.openxmlformats.org/officeDocument/2006/relationships/hyperlink" Target="https://advance.lexis.com/api/document?collection=cases-ca&amp;id=urn:contentItem:5F7T-S6X1-F06F-22C1-00000-00&amp;context=" TargetMode="External" /><Relationship Id="rId596" Type="http://schemas.openxmlformats.org/officeDocument/2006/relationships/hyperlink" Target="https://advance.lexis.com/api/document?collection=cases-ca&amp;id=urn:contentItem:5F7T-S741-F57G-S1FD-00000-00&amp;context=" TargetMode="External" /><Relationship Id="rId597" Type="http://schemas.openxmlformats.org/officeDocument/2006/relationships/hyperlink" Target="https://advance.lexis.com/api/document?collection=cases-ca&amp;id=urn:contentItem:5F7T-S741-F57G-S1FC-00000-00&amp;context=" TargetMode="External" /><Relationship Id="rId598" Type="http://schemas.openxmlformats.org/officeDocument/2006/relationships/hyperlink" Target="https://advance.lexis.com/api/document?collection=cases-ca&amp;id=urn:contentItem:5F7T-S771-JSJC-X09S-00000-00&amp;context=" TargetMode="External" /><Relationship Id="rId599" Type="http://schemas.openxmlformats.org/officeDocument/2006/relationships/hyperlink" Target="https://advance.lexis.com/api/document?collection=cases-ca&amp;id=urn:contentItem:5F7T-S6Y1-F65M-609X-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8T-N3V1-JF75-M3RK-00000-00&amp;context=" TargetMode="External" /><Relationship Id="rId600" Type="http://schemas.openxmlformats.org/officeDocument/2006/relationships/header" Target="header76.xml" /><Relationship Id="rId601" Type="http://schemas.openxmlformats.org/officeDocument/2006/relationships/header" Target="header77.xml" /><Relationship Id="rId602" Type="http://schemas.openxmlformats.org/officeDocument/2006/relationships/footer" Target="footer76.xml" /><Relationship Id="rId603" Type="http://schemas.openxmlformats.org/officeDocument/2006/relationships/footer" Target="footer77.xml" /><Relationship Id="rId604" Type="http://schemas.openxmlformats.org/officeDocument/2006/relationships/header" Target="header78.xml" /><Relationship Id="rId605" Type="http://schemas.openxmlformats.org/officeDocument/2006/relationships/footer" Target="footer78.xml" /><Relationship Id="rId606" Type="http://schemas.openxmlformats.org/officeDocument/2006/relationships/hyperlink" Target="https://advance.lexis.com/api/document?collection=cases-ca&amp;id=urn:contentItem:5F7T-S7M1-JPP5-22CJ-00000-00&amp;context=" TargetMode="External" /><Relationship Id="rId607" Type="http://schemas.openxmlformats.org/officeDocument/2006/relationships/hyperlink" Target="https://advance.lexis.com/api/document?collection=cases-ca&amp;id=urn:contentItem:5F7T-S7C1-F4NT-X31G-00000-00&amp;context=" TargetMode="External" /><Relationship Id="rId608" Type="http://schemas.openxmlformats.org/officeDocument/2006/relationships/header" Target="header79.xml" /><Relationship Id="rId609" Type="http://schemas.openxmlformats.org/officeDocument/2006/relationships/header" Target="header80.xml" /><Relationship Id="rId61" Type="http://schemas.openxmlformats.org/officeDocument/2006/relationships/hyperlink" Target="https://advance.lexis.com/api/document?collection=cases-ca&amp;id=urn:contentItem:5F8T-N3V1-JFKM-6070-00000-00&amp;context=" TargetMode="External" /><Relationship Id="rId610" Type="http://schemas.openxmlformats.org/officeDocument/2006/relationships/footer" Target="footer79.xml" /><Relationship Id="rId611" Type="http://schemas.openxmlformats.org/officeDocument/2006/relationships/footer" Target="footer80.xml" /><Relationship Id="rId612" Type="http://schemas.openxmlformats.org/officeDocument/2006/relationships/header" Target="header81.xml" /><Relationship Id="rId613" Type="http://schemas.openxmlformats.org/officeDocument/2006/relationships/footer" Target="footer81.xml" /><Relationship Id="rId614" Type="http://schemas.openxmlformats.org/officeDocument/2006/relationships/hyperlink" Target="https://advance.lexis.com/api/document?collection=cases-ca&amp;id=urn:contentItem:5N7M-MNT1-JFSV-G2P5-00000-00&amp;context=" TargetMode="External" /><Relationship Id="rId615" Type="http://schemas.openxmlformats.org/officeDocument/2006/relationships/hyperlink" Target="https://advance.lexis.com/api/document?collection=cases-ca&amp;id=urn:contentItem:5P57-HY21-FJTD-G275-00000-00&amp;context=" TargetMode="External" /><Relationship Id="rId616" Type="http://schemas.openxmlformats.org/officeDocument/2006/relationships/hyperlink" Target="https://advance.lexis.com/api/document?collection=legislation-ca&amp;id=urn:contentItem:5F41-1FH1-F361-M0J2-00000-00&amp;context=" TargetMode="External" /><Relationship Id="rId617" Type="http://schemas.openxmlformats.org/officeDocument/2006/relationships/hyperlink" Target="https://advance.lexis.com/api/document?collection=cases-ca&amp;id=urn:contentItem:5F7T-S6T1-FJTD-G1NJ-00000-00&amp;context=" TargetMode="External" /><Relationship Id="rId618" Type="http://schemas.openxmlformats.org/officeDocument/2006/relationships/header" Target="header82.xml" /><Relationship Id="rId619" Type="http://schemas.openxmlformats.org/officeDocument/2006/relationships/header" Target="header83.xml" /><Relationship Id="rId62" Type="http://schemas.openxmlformats.org/officeDocument/2006/relationships/hyperlink" Target="https://advance.lexis.com/api/document?collection=cases-ca&amp;id=urn:contentItem:5F8T-N3V1-FC1F-M49J-00000-00&amp;context=" TargetMode="External" /><Relationship Id="rId620" Type="http://schemas.openxmlformats.org/officeDocument/2006/relationships/footer" Target="footer82.xml" /><Relationship Id="rId621" Type="http://schemas.openxmlformats.org/officeDocument/2006/relationships/footer" Target="footer83.xml" /><Relationship Id="rId622" Type="http://schemas.openxmlformats.org/officeDocument/2006/relationships/header" Target="header84.xml" /><Relationship Id="rId623" Type="http://schemas.openxmlformats.org/officeDocument/2006/relationships/footer" Target="footer84.xml" /><Relationship Id="rId624" Type="http://schemas.openxmlformats.org/officeDocument/2006/relationships/hyperlink" Target="https://advance.lexis.com/api/document?collection=cases-ca&amp;id=urn:contentItem:5KHN-KX81-JWR6-S43J-00000-00&amp;context=" TargetMode="External" /><Relationship Id="rId625" Type="http://schemas.openxmlformats.org/officeDocument/2006/relationships/hyperlink" Target="https://advance.lexis.com/api/document?collection=cases-ca&amp;id=urn:contentItem:5M5T-MHY1-DYV0-G00K-00000-00&amp;context=" TargetMode="External" /><Relationship Id="rId626" Type="http://schemas.openxmlformats.org/officeDocument/2006/relationships/hyperlink" Target="https://advance.lexis.com/api/document?collection=legislation-ca&amp;id=urn:contentItem:5F41-1FM1-FGJR-216H-00000-00&amp;context=" TargetMode="External" /><Relationship Id="rId627" Type="http://schemas.openxmlformats.org/officeDocument/2006/relationships/hyperlink" Target="https://advance.lexis.com/api/document?collection=legislation-ca&amp;id=urn:contentItem:5FBK-KKX1-JBT7-X473-00000-00&amp;context=" TargetMode="External" /><Relationship Id="rId628" Type="http://schemas.openxmlformats.org/officeDocument/2006/relationships/hyperlink" Target="https://advance.lexis.com/api/document?collection=legislation-ca&amp;id=urn:contentItem:5F41-1FJ1-JBDT-B069-00000-00&amp;context=" TargetMode="External" /><Relationship Id="rId629" Type="http://schemas.openxmlformats.org/officeDocument/2006/relationships/hyperlink" Target="https://advance.lexis.com/api/document?collection=legislation-ca&amp;id=urn:contentItem:5VYC-10Y1-JX8W-M49Y-00000-00&amp;context=" TargetMode="External" /><Relationship Id="rId63" Type="http://schemas.openxmlformats.org/officeDocument/2006/relationships/hyperlink" Target="https://advance.lexis.com/api/document?collection=cases-ca&amp;id=urn:contentItem:5F7T-S791-FJTD-G2FC-00000-00&amp;context=" TargetMode="External" /><Relationship Id="rId630" Type="http://schemas.openxmlformats.org/officeDocument/2006/relationships/hyperlink" Target="https://advance.lexis.com/api/document?collection=cases-ca&amp;id=urn:contentItem:5F7T-S7K1-JWXF-20X0-00000-00&amp;context=" TargetMode="External" /><Relationship Id="rId631" Type="http://schemas.openxmlformats.org/officeDocument/2006/relationships/hyperlink" Target="https://advance.lexis.com/api/document?collection=cases-ca&amp;id=urn:contentItem:5F7T-S7K1-DY33-B1VJ-00000-00&amp;context=" TargetMode="External" /><Relationship Id="rId632" Type="http://schemas.openxmlformats.org/officeDocument/2006/relationships/hyperlink" Target="https://advance.lexis.com/api/document?collection=cases-ca&amp;id=urn:contentItem:5H7P-6RS1-JGBH-B26Y-00000-00&amp;context=" TargetMode="External" /><Relationship Id="rId633" Type="http://schemas.openxmlformats.org/officeDocument/2006/relationships/hyperlink" Target="https://advance.lexis.com/api/document?collection=cases-ca&amp;id=urn:contentItem:5F7T-S7P1-JP4G-61XH-00000-00&amp;context=" TargetMode="External" /><Relationship Id="rId634" Type="http://schemas.openxmlformats.org/officeDocument/2006/relationships/hyperlink" Target="https://advance.lexis.com/api/document?collection=cases-ca&amp;id=urn:contentItem:5F8T-N3V1-JF75-M3GM-00000-00&amp;context=" TargetMode="External" /><Relationship Id="rId635" Type="http://schemas.openxmlformats.org/officeDocument/2006/relationships/header" Target="header85.xml" /><Relationship Id="rId636" Type="http://schemas.openxmlformats.org/officeDocument/2006/relationships/header" Target="header86.xml" /><Relationship Id="rId637" Type="http://schemas.openxmlformats.org/officeDocument/2006/relationships/footer" Target="footer85.xml" /><Relationship Id="rId638" Type="http://schemas.openxmlformats.org/officeDocument/2006/relationships/footer" Target="footer86.xml" /><Relationship Id="rId639" Type="http://schemas.openxmlformats.org/officeDocument/2006/relationships/header" Target="header87.xml" /><Relationship Id="rId64" Type="http://schemas.openxmlformats.org/officeDocument/2006/relationships/hyperlink" Target="https://advance.lexis.com/api/document?collection=cases-ca&amp;id=urn:contentItem:5F8T-N3V1-JF75-M3GT-00000-00&amp;context=" TargetMode="External" /><Relationship Id="rId640" Type="http://schemas.openxmlformats.org/officeDocument/2006/relationships/footer" Target="footer87.xml" /><Relationship Id="rId641" Type="http://schemas.openxmlformats.org/officeDocument/2006/relationships/hyperlink" Target="https://advance.lexis.com/api/document?collection=cases-ca&amp;id=urn:contentItem:5F7T-S7J1-JYYX-62JS-00000-00&amp;context=" TargetMode="External" /><Relationship Id="rId642" Type="http://schemas.openxmlformats.org/officeDocument/2006/relationships/hyperlink" Target="https://advance.lexis.com/api/document?collection=cases-ca&amp;id=urn:contentItem:5K6Y-81M1-DXHD-G2RC-00000-00&amp;context=" TargetMode="External" /><Relationship Id="rId643" Type="http://schemas.openxmlformats.org/officeDocument/2006/relationships/hyperlink" Target="https://advance.lexis.com/api/document?collection=cases-ca&amp;id=urn:contentItem:5F7T-S7J1-JYYX-62DT-00000-00&amp;context=" TargetMode="External" /><Relationship Id="rId644" Type="http://schemas.openxmlformats.org/officeDocument/2006/relationships/hyperlink" Target="https://advance.lexis.com/api/document?collection=cases-ca&amp;id=urn:contentItem:5F7T-S7H1-F4GK-M3DN-00000-00&amp;context=" TargetMode="External" /><Relationship Id="rId645" Type="http://schemas.openxmlformats.org/officeDocument/2006/relationships/hyperlink" Target="https://advance.lexis.com/api/document?collection=cases-ca&amp;id=urn:contentItem:5F7T-S7F1-DXWW-246D-00000-00&amp;context=" TargetMode="External" /><Relationship Id="rId646" Type="http://schemas.openxmlformats.org/officeDocument/2006/relationships/hyperlink" Target="https://advance.lexis.com/api/document?collection=cases-ca&amp;id=urn:contentItem:5F7T-S721-FG12-625X-00000-00&amp;context=" TargetMode="External" /><Relationship Id="rId647" Type="http://schemas.openxmlformats.org/officeDocument/2006/relationships/hyperlink" Target="https://advance.lexis.com/api/document?collection=cases-ca&amp;id=urn:contentItem:5F7T-S6X1-F7ND-G39N-00000-00&amp;context=" TargetMode="External" /><Relationship Id="rId648" Type="http://schemas.openxmlformats.org/officeDocument/2006/relationships/hyperlink" Target="https://advance.lexis.com/api/document?collection=cases-ca&amp;id=urn:contentItem:5F7T-S6R1-F06F-223R-00000-00&amp;context=" TargetMode="External" /><Relationship Id="rId649" Type="http://schemas.openxmlformats.org/officeDocument/2006/relationships/hyperlink" Target="https://advance.lexis.com/api/document?collection=cases-ca&amp;id=urn:contentItem:5F8P-SF01-FCSB-S3N0-00000-00&amp;context=" TargetMode="External" /><Relationship Id="rId65" Type="http://schemas.openxmlformats.org/officeDocument/2006/relationships/hyperlink" Target="https://advance.lexis.com/api/document?collection=cases-ca&amp;id=urn:contentItem:5F8T-N3V1-FC1F-M469-00000-00&amp;context=" TargetMode="External" /><Relationship Id="rId650" Type="http://schemas.openxmlformats.org/officeDocument/2006/relationships/hyperlink" Target="https://advance.lexis.com/api/document?collection=cases-ca&amp;id=urn:contentItem:5F7T-S6T1-FJTD-G1BM-00000-00&amp;context=" TargetMode="External" /><Relationship Id="rId651" Type="http://schemas.openxmlformats.org/officeDocument/2006/relationships/header" Target="header88.xml" /><Relationship Id="rId652" Type="http://schemas.openxmlformats.org/officeDocument/2006/relationships/header" Target="header89.xml" /><Relationship Id="rId653" Type="http://schemas.openxmlformats.org/officeDocument/2006/relationships/footer" Target="footer88.xml" /><Relationship Id="rId654" Type="http://schemas.openxmlformats.org/officeDocument/2006/relationships/footer" Target="footer89.xml" /><Relationship Id="rId655" Type="http://schemas.openxmlformats.org/officeDocument/2006/relationships/header" Target="header90.xml" /><Relationship Id="rId656" Type="http://schemas.openxmlformats.org/officeDocument/2006/relationships/footer" Target="footer90.xml" /><Relationship Id="rId657" Type="http://schemas.openxmlformats.org/officeDocument/2006/relationships/hyperlink" Target="https://advance.lexis.com/api/document?collection=cases-ca&amp;id=urn:contentItem:5F7T-S7N1-JC5P-G1XF-00000-00&amp;context=" TargetMode="External" /><Relationship Id="rId658" Type="http://schemas.openxmlformats.org/officeDocument/2006/relationships/hyperlink" Target="https://advance.lexis.com/api/document?collection=cases-ca&amp;id=urn:contentItem:5F7T-S7H1-JFSV-G34D-00000-00&amp;context=" TargetMode="External" /><Relationship Id="rId659" Type="http://schemas.openxmlformats.org/officeDocument/2006/relationships/hyperlink" Target="https://advance.lexis.com/api/document?collection=cases-ca&amp;id=urn:contentItem:5F7T-S6Y1-JNY7-X2P3-00000-00&amp;context=" TargetMode="External" /><Relationship Id="rId66" Type="http://schemas.openxmlformats.org/officeDocument/2006/relationships/hyperlink" Target="https://advance.lexis.com/api/document?collection=cases-ca&amp;id=urn:contentItem:5F8T-N3T1-JJSF-2339-00000-00&amp;context=" TargetMode="External" /><Relationship Id="rId660" Type="http://schemas.openxmlformats.org/officeDocument/2006/relationships/hyperlink" Target="https://advance.lexis.com/api/document?collection=cases-ca&amp;id=urn:contentItem:5F7T-S711-JNS1-M0XF-00000-00&amp;context=" TargetMode="External" /><Relationship Id="rId661" Type="http://schemas.openxmlformats.org/officeDocument/2006/relationships/hyperlink" Target="https://advance.lexis.com/api/document?collection=cases-ca&amp;id=urn:contentItem:5F7T-S7N1-JWR6-S2KB-00000-00&amp;context=" TargetMode="External" /><Relationship Id="rId662" Type="http://schemas.openxmlformats.org/officeDocument/2006/relationships/header" Target="header91.xml" /><Relationship Id="rId663" Type="http://schemas.openxmlformats.org/officeDocument/2006/relationships/header" Target="header92.xml" /><Relationship Id="rId664" Type="http://schemas.openxmlformats.org/officeDocument/2006/relationships/footer" Target="footer91.xml" /><Relationship Id="rId665" Type="http://schemas.openxmlformats.org/officeDocument/2006/relationships/footer" Target="footer92.xml" /><Relationship Id="rId666" Type="http://schemas.openxmlformats.org/officeDocument/2006/relationships/header" Target="header93.xml" /><Relationship Id="rId667" Type="http://schemas.openxmlformats.org/officeDocument/2006/relationships/footer" Target="footer93.xml" /><Relationship Id="rId668" Type="http://schemas.openxmlformats.org/officeDocument/2006/relationships/hyperlink" Target="https://advance.lexis.com/api/document?collection=cases-ca&amp;id=urn:contentItem:5F7T-S7G1-JN6B-S1H1-00000-00&amp;context=" TargetMode="External" /><Relationship Id="rId669" Type="http://schemas.openxmlformats.org/officeDocument/2006/relationships/hyperlink" Target="https://advance.lexis.com/api/document?collection=cases-ca&amp;id=urn:contentItem:5F7T-S721-F57G-S1CH-00000-00&amp;context=" TargetMode="External" /><Relationship Id="rId67" Type="http://schemas.openxmlformats.org/officeDocument/2006/relationships/hyperlink" Target="https://advance.lexis.com/api/document?collection=cases-ca&amp;id=urn:contentItem:5F8T-N3T1-JFKM-652N-00000-00&amp;context=" TargetMode="External" /><Relationship Id="rId670" Type="http://schemas.openxmlformats.org/officeDocument/2006/relationships/hyperlink" Target="https://advance.lexis.com/api/document?collection=cases-ca&amp;id=urn:contentItem:5F7T-S751-JGHR-M1V2-00000-00&amp;context=" TargetMode="External" /><Relationship Id="rId671" Type="http://schemas.openxmlformats.org/officeDocument/2006/relationships/hyperlink" Target="https://advance.lexis.com/api/document?collection=cases-ca&amp;id=urn:contentItem:5F7T-S721-FG12-6248-00000-00&amp;context=" TargetMode="External" /><Relationship Id="rId672" Type="http://schemas.openxmlformats.org/officeDocument/2006/relationships/hyperlink" Target="https://advance.lexis.com/api/document?collection=cases-ca&amp;id=urn:contentItem:5F7T-S761-JS5Y-B1XS-00000-00&amp;context=" TargetMode="External" /><Relationship Id="rId673" Type="http://schemas.openxmlformats.org/officeDocument/2006/relationships/hyperlink" Target="https://advance.lexis.com/api/document?collection=cases-ca&amp;id=urn:contentItem:5F7T-S781-JC5P-G1JG-00000-00&amp;context=" TargetMode="External" /><Relationship Id="rId674" Type="http://schemas.openxmlformats.org/officeDocument/2006/relationships/hyperlink" Target="https://advance.lexis.com/api/document?collection=cases-ca&amp;id=urn:contentItem:5F7T-S761-JX8W-M330-00000-00&amp;context=" TargetMode="External" /><Relationship Id="rId675" Type="http://schemas.openxmlformats.org/officeDocument/2006/relationships/hyperlink" Target="https://advance.lexis.com/api/document?collection=cases-ca&amp;id=urn:contentItem:5F7T-S781-F06F-2410-00000-00&amp;context=" TargetMode="External" /><Relationship Id="rId676" Type="http://schemas.openxmlformats.org/officeDocument/2006/relationships/hyperlink" Target="https://advance.lexis.com/api/document?collection=cases-ca&amp;id=urn:contentItem:5F7T-S7D1-JN6B-S14F-00000-00&amp;context=" TargetMode="External" /><Relationship Id="rId677" Type="http://schemas.openxmlformats.org/officeDocument/2006/relationships/hyperlink" Target="https://advance.lexis.com/api/document?collection=cases-ca&amp;id=urn:contentItem:5F7T-S751-F361-M0YX-00000-00&amp;context=" TargetMode="External" /><Relationship Id="rId678" Type="http://schemas.openxmlformats.org/officeDocument/2006/relationships/hyperlink" Target="https://advance.lexis.com/api/document?collection=cases-ca&amp;id=urn:contentItem:5F7T-S6Y1-DY33-B06M-00000-00&amp;context=" TargetMode="External" /><Relationship Id="rId679" Type="http://schemas.openxmlformats.org/officeDocument/2006/relationships/hyperlink" Target="https://advance.lexis.com/api/document?collection=cases-ca&amp;id=urn:contentItem:5F7T-S711-F5KY-B0SN-00000-00&amp;context=" TargetMode="External" /><Relationship Id="rId68" Type="http://schemas.openxmlformats.org/officeDocument/2006/relationships/hyperlink" Target="https://advance.lexis.com/api/document?collection=cases-ca&amp;id=urn:contentItem:5F16-9361-JYYX-6336-00000-00&amp;context=" TargetMode="External" /><Relationship Id="rId680" Type="http://schemas.openxmlformats.org/officeDocument/2006/relationships/header" Target="header94.xml" /><Relationship Id="rId681" Type="http://schemas.openxmlformats.org/officeDocument/2006/relationships/header" Target="header95.xml" /><Relationship Id="rId682" Type="http://schemas.openxmlformats.org/officeDocument/2006/relationships/footer" Target="footer94.xml" /><Relationship Id="rId683" Type="http://schemas.openxmlformats.org/officeDocument/2006/relationships/footer" Target="footer95.xml" /><Relationship Id="rId684" Type="http://schemas.openxmlformats.org/officeDocument/2006/relationships/header" Target="header96.xml" /><Relationship Id="rId685" Type="http://schemas.openxmlformats.org/officeDocument/2006/relationships/footer" Target="footer96.xml" /><Relationship Id="rId686" Type="http://schemas.openxmlformats.org/officeDocument/2006/relationships/hyperlink" Target="https://advance.lexis.com/api/document?collection=cases-ca&amp;id=urn:contentItem:5F7T-S7N1-JJ1H-X2P6-00000-00&amp;context=" TargetMode="External" /><Relationship Id="rId687" Type="http://schemas.openxmlformats.org/officeDocument/2006/relationships/hyperlink" Target="https://advance.lexis.com/api/document?collection=cases-ca&amp;id=urn:contentItem:5K6Y-81N1-JN14-G226-00000-00&amp;context=" TargetMode="External" /><Relationship Id="rId688" Type="http://schemas.openxmlformats.org/officeDocument/2006/relationships/hyperlink" Target="https://advance.lexis.com/api/document?collection=cases-ca&amp;id=urn:contentItem:5F7T-S7K1-JWXF-20XW-00000-00&amp;context=" TargetMode="External" /><Relationship Id="rId689" Type="http://schemas.openxmlformats.org/officeDocument/2006/relationships/hyperlink" Target="https://advance.lexis.com/api/document?collection=cases-ca&amp;id=urn:contentItem:5F7T-S7K1-JNY7-X493-00000-00&amp;context=" TargetMode="External" /><Relationship Id="rId69" Type="http://schemas.openxmlformats.org/officeDocument/2006/relationships/hyperlink" Target="https://advance.lexis.com/api/document?collection=cases-ca&amp;id=urn:contentItem:5F7T-S7C1-JSRM-618T-00000-00&amp;context=" TargetMode="External" /><Relationship Id="rId690" Type="http://schemas.openxmlformats.org/officeDocument/2006/relationships/hyperlink" Target="https://advance.lexis.com/api/document?collection=cases-ca&amp;id=urn:contentItem:5F7T-S7N1-JWR6-S25K-00000-00&amp;context=" TargetMode="External" /><Relationship Id="rId691" Type="http://schemas.openxmlformats.org/officeDocument/2006/relationships/hyperlink" Target="https://advance.lexis.com/api/document?collection=cases-ca&amp;id=urn:contentItem:5F7T-S7G1-JWR6-S21H-00000-00&amp;context=" TargetMode="External" /><Relationship Id="rId692" Type="http://schemas.openxmlformats.org/officeDocument/2006/relationships/hyperlink" Target="https://advance.lexis.com/api/document?collection=cases-ca&amp;id=urn:contentItem:5F8T-N3P1-FC6N-X1BS-00000-00&amp;context=" TargetMode="External" /><Relationship Id="rId693" Type="http://schemas.openxmlformats.org/officeDocument/2006/relationships/hyperlink" Target="https://advance.lexis.com/api/document?collection=cases-ca&amp;id=urn:contentItem:5F16-9361-FK0M-S30C-00000-00&amp;context=" TargetMode="External" /><Relationship Id="rId694" Type="http://schemas.openxmlformats.org/officeDocument/2006/relationships/hyperlink" Target="https://advance.lexis.com/api/document?collection=cases-ca&amp;id=urn:contentItem:5F7T-S7H1-FCSB-S3DM-00000-00&amp;context=" TargetMode="External" /><Relationship Id="rId695" Type="http://schemas.openxmlformats.org/officeDocument/2006/relationships/hyperlink" Target="https://advance.lexis.com/api/document?collection=cases-ca&amp;id=urn:contentItem:5F8T-N3S1-JT99-252T-00000-00&amp;context=" TargetMode="External" /><Relationship Id="rId696" Type="http://schemas.openxmlformats.org/officeDocument/2006/relationships/header" Target="header97.xml" /><Relationship Id="rId697" Type="http://schemas.openxmlformats.org/officeDocument/2006/relationships/header" Target="header98.xml" /><Relationship Id="rId698" Type="http://schemas.openxmlformats.org/officeDocument/2006/relationships/footer" Target="footer97.xml" /><Relationship Id="rId699" Type="http://schemas.openxmlformats.org/officeDocument/2006/relationships/footer" Target="footer98.xm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B1-FH4C-X3GF-00000-00&amp;context=" TargetMode="External" /><Relationship Id="rId700" Type="http://schemas.openxmlformats.org/officeDocument/2006/relationships/header" Target="header99.xml" /><Relationship Id="rId701" Type="http://schemas.openxmlformats.org/officeDocument/2006/relationships/footer" Target="footer99.xml" /><Relationship Id="rId702" Type="http://schemas.openxmlformats.org/officeDocument/2006/relationships/hyperlink" Target="https://advance.lexis.com/api/document?collection=cases-ca&amp;id=urn:contentItem:5WG9-0MH1-JX8W-M1VJ-00000-00&amp;context=" TargetMode="External" /><Relationship Id="rId703" Type="http://schemas.openxmlformats.org/officeDocument/2006/relationships/hyperlink" Target="https://advance.lexis.com/api/document?collection=cases-ca&amp;id=urn:contentItem:5F7T-S7M1-JPP5-22J6-00000-00&amp;context=" TargetMode="External" /><Relationship Id="rId704" Type="http://schemas.openxmlformats.org/officeDocument/2006/relationships/hyperlink" Target="https://advance.lexis.com/api/document?collection=cases-ca&amp;id=urn:contentItem:5J58-W6W1-FG12-61N9-00000-00&amp;context=" TargetMode="External" /><Relationship Id="rId705" Type="http://schemas.openxmlformats.org/officeDocument/2006/relationships/hyperlink" Target="https://advance.lexis.com/api/document?collection=cases-ca&amp;id=urn:contentItem:5F7T-S741-F528-G21K-00000-00&amp;context=" TargetMode="External" /><Relationship Id="rId706" Type="http://schemas.openxmlformats.org/officeDocument/2006/relationships/hyperlink" Target="https://advance.lexis.com/api/document?collection=cases-ca&amp;id=urn:contentItem:5F7T-S771-JN14-G2DF-00000-00&amp;context=" TargetMode="External" /><Relationship Id="rId707" Type="http://schemas.openxmlformats.org/officeDocument/2006/relationships/hyperlink" Target="https://advance.lexis.com/api/document?collection=cases-ca&amp;id=urn:contentItem:5F7T-S7K1-DY33-B1PT-00000-00&amp;context=" TargetMode="External" /><Relationship Id="rId708" Type="http://schemas.openxmlformats.org/officeDocument/2006/relationships/hyperlink" Target="https://advance.lexis.com/api/document?collection=cases-ca&amp;id=urn:contentItem:5F7T-S7K1-JSJC-X15J-00000-00&amp;context=" TargetMode="External" /><Relationship Id="rId709" Type="http://schemas.openxmlformats.org/officeDocument/2006/relationships/hyperlink" Target="https://advance.lexis.com/api/document?collection=cases-ca&amp;id=urn:contentItem:5GCC-XVB1-FK0M-S4Y1-00000-00&amp;context=" TargetMode="External" /><Relationship Id="rId71" Type="http://schemas.openxmlformats.org/officeDocument/2006/relationships/hyperlink" Target="https://advance.lexis.com/api/document?collection=cases-ca&amp;id=urn:contentItem:5F8T-N3V1-JFKM-609G-00000-00&amp;context=" TargetMode="External" /><Relationship Id="rId710" Type="http://schemas.openxmlformats.org/officeDocument/2006/relationships/hyperlink" Target="https://advance.lexis.com/api/document?collection=cases-ca&amp;id=urn:contentItem:5F7T-S7D1-JXG3-X0PB-00000-00&amp;context=" TargetMode="External" /><Relationship Id="rId711" Type="http://schemas.openxmlformats.org/officeDocument/2006/relationships/hyperlink" Target="https://advance.lexis.com/api/document?collection=cases-ca&amp;id=urn:contentItem:5F7T-S7H1-F4GK-M325-00000-00&amp;context=" TargetMode="External" /><Relationship Id="rId712" Type="http://schemas.openxmlformats.org/officeDocument/2006/relationships/hyperlink" Target="https://advance.lexis.com/api/document?collection=cases-ca&amp;id=urn:contentItem:5F7T-S751-JBM1-M227-00000-00&amp;context=" TargetMode="External" /><Relationship Id="rId713" Type="http://schemas.openxmlformats.org/officeDocument/2006/relationships/hyperlink" Target="https://advance.lexis.com/api/document?collection=cases-ca&amp;id=urn:contentItem:5F7T-S7F1-FJTD-G3JF-00000-00&amp;context=" TargetMode="External" /><Relationship Id="rId714" Type="http://schemas.openxmlformats.org/officeDocument/2006/relationships/hyperlink" Target="https://advance.lexis.com/api/document?collection=cases-ca&amp;id=urn:contentItem:5F7T-S761-FGJR-22F0-00000-00&amp;context=" TargetMode="External" /><Relationship Id="rId715" Type="http://schemas.openxmlformats.org/officeDocument/2006/relationships/header" Target="header100.xml" /><Relationship Id="rId716" Type="http://schemas.openxmlformats.org/officeDocument/2006/relationships/header" Target="header101.xml" /><Relationship Id="rId717" Type="http://schemas.openxmlformats.org/officeDocument/2006/relationships/footer" Target="footer100.xml" /><Relationship Id="rId718" Type="http://schemas.openxmlformats.org/officeDocument/2006/relationships/footer" Target="footer101.xml" /><Relationship Id="rId719" Type="http://schemas.openxmlformats.org/officeDocument/2006/relationships/header" Target="header102.xml" /><Relationship Id="rId72" Type="http://schemas.openxmlformats.org/officeDocument/2006/relationships/hyperlink" Target="https://advance.lexis.com/api/document?collection=cases-ca&amp;id=urn:contentItem:5F8N-K701-JJ1H-X3FG-00000-00&amp;context=" TargetMode="External" /><Relationship Id="rId720" Type="http://schemas.openxmlformats.org/officeDocument/2006/relationships/footer" Target="footer102.xml" /><Relationship Id="rId721" Type="http://schemas.openxmlformats.org/officeDocument/2006/relationships/hyperlink" Target="https://advance.lexis.com/api/document?collection=cases-ca&amp;id=urn:contentItem:5F7T-S7N1-JC5P-G1X3-00000-00&amp;context=" TargetMode="External" /><Relationship Id="rId722" Type="http://schemas.openxmlformats.org/officeDocument/2006/relationships/hyperlink" Target="https://advance.lexis.com/api/document?collection=cases-ca&amp;id=urn:contentItem:5K6Y-81N1-JFDC-X1G8-00000-00&amp;context=" TargetMode="External" /><Relationship Id="rId723" Type="http://schemas.openxmlformats.org/officeDocument/2006/relationships/hyperlink" Target="https://advance.lexis.com/api/document?collection=legislation-ca&amp;id=urn:contentItem:5F41-1FP1-JKHB-60WM-00000-00&amp;context=" TargetMode="External" /><Relationship Id="rId724" Type="http://schemas.openxmlformats.org/officeDocument/2006/relationships/hyperlink" Target="https://advance.lexis.com/api/document?collection=legislation-ca&amp;id=urn:contentItem:5F41-1FG1-JJYN-B0DY-00000-00&amp;context=" TargetMode="External" /><Relationship Id="rId725" Type="http://schemas.openxmlformats.org/officeDocument/2006/relationships/hyperlink" Target="https://advance.lexis.com/api/document?collection=cases-ca&amp;id=urn:contentItem:5F7T-S7H1-JFSV-G38X-00000-00&amp;context=" TargetMode="External" /><Relationship Id="rId726" Type="http://schemas.openxmlformats.org/officeDocument/2006/relationships/hyperlink" Target="https://advance.lexis.com/api/document?collection=cases-ca&amp;id=urn:contentItem:5F7T-S7C1-JSRM-60TY-00000-00&amp;context=" TargetMode="External" /><Relationship Id="rId727" Type="http://schemas.openxmlformats.org/officeDocument/2006/relationships/hyperlink" Target="https://advance.lexis.com/api/document?collection=cases-ca&amp;id=urn:contentItem:5F7T-S751-JNS1-M1BR-00000-00&amp;context=" TargetMode="External" /><Relationship Id="rId728" Type="http://schemas.openxmlformats.org/officeDocument/2006/relationships/hyperlink" Target="https://advance.lexis.com/api/document?collection=cases-ca&amp;id=urn:contentItem:5F7T-S7C1-JSRM-60TS-00000-00&amp;context=" TargetMode="External" /><Relationship Id="rId729" Type="http://schemas.openxmlformats.org/officeDocument/2006/relationships/hyperlink" Target="https://advance.lexis.com/api/document?collection=cases-ca&amp;id=urn:contentItem:5F7T-S7F1-JFKM-61RR-00000-00&amp;context=" TargetMode="External" /><Relationship Id="rId73" Type="http://schemas.openxmlformats.org/officeDocument/2006/relationships/hyperlink" Target="https://advance.lexis.com/api/document?collection=cases-ca&amp;id=urn:contentItem:5F7T-S771-JN14-G2B8-00000-00&amp;context=" TargetMode="External" /><Relationship Id="rId730" Type="http://schemas.openxmlformats.org/officeDocument/2006/relationships/header" Target="header103.xml" /><Relationship Id="rId731" Type="http://schemas.openxmlformats.org/officeDocument/2006/relationships/header" Target="header104.xml" /><Relationship Id="rId732" Type="http://schemas.openxmlformats.org/officeDocument/2006/relationships/footer" Target="footer103.xml" /><Relationship Id="rId733" Type="http://schemas.openxmlformats.org/officeDocument/2006/relationships/footer" Target="footer104.xml" /><Relationship Id="rId734" Type="http://schemas.openxmlformats.org/officeDocument/2006/relationships/header" Target="header105.xml" /><Relationship Id="rId735" Type="http://schemas.openxmlformats.org/officeDocument/2006/relationships/footer" Target="footer105.xml" /><Relationship Id="rId736" Type="http://schemas.openxmlformats.org/officeDocument/2006/relationships/hyperlink" Target="https://advance.lexis.com/api/document?collection=cases-ca&amp;id=urn:contentItem:5P57-HY21-FJTD-G274-00000-00&amp;context=" TargetMode="External" /><Relationship Id="rId737" Type="http://schemas.openxmlformats.org/officeDocument/2006/relationships/hyperlink" Target="https://advance.lexis.com/api/document?collection=cases-ca&amp;id=urn:contentItem:5N7F-GP91-FGRY-B0SM-00000-00&amp;context=" TargetMode="External" /><Relationship Id="rId738" Type="http://schemas.openxmlformats.org/officeDocument/2006/relationships/hyperlink" Target="https://advance.lexis.com/api/document?collection=cases-ca&amp;id=urn:contentItem:5F7T-S751-F361-M0XJ-00000-00&amp;context=" TargetMode="External" /><Relationship Id="rId739" Type="http://schemas.openxmlformats.org/officeDocument/2006/relationships/hyperlink" Target="https://advance.lexis.com/api/document?collection=cases-ca&amp;id=urn:contentItem:5F7T-S7F1-F7VM-S41B-00000-00&amp;context=" TargetMode="External" /><Relationship Id="rId74" Type="http://schemas.openxmlformats.org/officeDocument/2006/relationships/hyperlink" Target="https://advance.lexis.com/api/document?collection=cases-ca&amp;id=urn:contentItem:5F7T-S7C1-F7ND-G048-00000-00&amp;context=" TargetMode="External" /><Relationship Id="rId740" Type="http://schemas.openxmlformats.org/officeDocument/2006/relationships/hyperlink" Target="https://advance.lexis.com/api/document?collection=cases-ca&amp;id=urn:contentItem:5F16-93C1-FFMK-M12S-00000-00&amp;context=" TargetMode="External" /><Relationship Id="rId741" Type="http://schemas.openxmlformats.org/officeDocument/2006/relationships/hyperlink" Target="https://advance.lexis.com/api/document?collection=cases-ca&amp;id=urn:contentItem:5F7T-S7G1-FCYK-20GP-00000-00&amp;context=" TargetMode="External" /><Relationship Id="rId742" Type="http://schemas.openxmlformats.org/officeDocument/2006/relationships/hyperlink" Target="https://advance.lexis.com/api/document?collection=cases-ca&amp;id=urn:contentItem:5F8T-N3T1-JGHR-M249-00000-00&amp;context=" TargetMode="External" /><Relationship Id="rId743" Type="http://schemas.openxmlformats.org/officeDocument/2006/relationships/hyperlink" Target="https://advance.lexis.com/api/document?collection=cases-ca&amp;id=urn:contentItem:5F7T-S7K1-JKHB-62WT-00000-00&amp;context=" TargetMode="External" /><Relationship Id="rId744" Type="http://schemas.openxmlformats.org/officeDocument/2006/relationships/hyperlink" Target="https://advance.lexis.com/api/document?collection=cases-ca&amp;id=urn:contentItem:5F7T-S7H1-JS5Y-B2TW-00000-00&amp;context=" TargetMode="External" /><Relationship Id="rId745" Type="http://schemas.openxmlformats.org/officeDocument/2006/relationships/hyperlink" Target="https://advance.lexis.com/api/document?collection=cases-ca&amp;id=urn:contentItem:5F7T-S701-JF75-M4DT-00000-00&amp;context=" TargetMode="External" /><Relationship Id="rId746" Type="http://schemas.openxmlformats.org/officeDocument/2006/relationships/hyperlink" Target="https://advance.lexis.com/api/document?collection=cases-ca&amp;id=urn:contentItem:5F7T-S721-F57G-S121-00000-00&amp;context=" TargetMode="External" /><Relationship Id="rId747" Type="http://schemas.openxmlformats.org/officeDocument/2006/relationships/hyperlink" Target="https://advance.lexis.com/api/document?collection=cases-ca&amp;id=urn:contentItem:5F7T-S701-JBT7-X2CT-00000-00&amp;context=" TargetMode="External" /><Relationship Id="rId748" Type="http://schemas.openxmlformats.org/officeDocument/2006/relationships/hyperlink" Target="https://advance.lexis.com/api/document?collection=cases-ca&amp;id=urn:contentItem:5F7T-S761-FGJR-22V5-00000-00&amp;context=" TargetMode="External" /><Relationship Id="rId749" Type="http://schemas.openxmlformats.org/officeDocument/2006/relationships/hyperlink" Target="https://advance.lexis.com/api/document?collection=cases-ca&amp;id=urn:contentItem:5F7T-S761-JS5Y-B1HJ-00000-00&amp;context=" TargetMode="External" /><Relationship Id="rId75" Type="http://schemas.openxmlformats.org/officeDocument/2006/relationships/hyperlink" Target="https://advance.lexis.com/api/document?collection=cases-ca&amp;id=urn:contentItem:5F8N-K711-JB7K-206G-00000-00&amp;context=" TargetMode="External" /><Relationship Id="rId750" Type="http://schemas.openxmlformats.org/officeDocument/2006/relationships/hyperlink" Target="https://advance.lexis.com/api/document?collection=cases-ca&amp;id=urn:contentItem:5F7T-S7P1-JBDT-B18B-00000-00&amp;context=" TargetMode="External" /><Relationship Id="rId751" Type="http://schemas.openxmlformats.org/officeDocument/2006/relationships/hyperlink" Target="https://advance.lexis.com/api/document?collection=cases-ca&amp;id=urn:contentItem:5F7T-S741-F2F4-G27N-00000-00&amp;context=" TargetMode="External" /><Relationship Id="rId752" Type="http://schemas.openxmlformats.org/officeDocument/2006/relationships/hyperlink" Target="https://advance.lexis.com/api/document?collection=cases-ca&amp;id=urn:contentItem:5F7T-S741-F2F4-G2H1-00000-00&amp;context=" TargetMode="External" /><Relationship Id="rId753" Type="http://schemas.openxmlformats.org/officeDocument/2006/relationships/hyperlink" Target="https://advance.lexis.com/api/document?collection=cases-ca&amp;id=urn:contentItem:5F7T-S771-JW5H-X24S-00000-00&amp;context=" TargetMode="External" /><Relationship Id="rId754" Type="http://schemas.openxmlformats.org/officeDocument/2006/relationships/hyperlink" Target="https://advance.lexis.com/api/document?collection=cases-ca&amp;id=urn:contentItem:5F7T-S7F1-F7VM-S4DV-00000-00&amp;context=" TargetMode="External" /><Relationship Id="rId755" Type="http://schemas.openxmlformats.org/officeDocument/2006/relationships/hyperlink" Target="https://advance.lexis.com/api/document?collection=cases-ca&amp;id=urn:contentItem:5F7T-S771-JWBS-61CD-00000-00&amp;context=" TargetMode="External" /><Relationship Id="rId756" Type="http://schemas.openxmlformats.org/officeDocument/2006/relationships/hyperlink" Target="https://advance.lexis.com/api/document?collection=cases-ca&amp;id=urn:contentItem:5F8P-SDF1-FJDY-X1B9-00000-00&amp;context=" TargetMode="External" /><Relationship Id="rId757" Type="http://schemas.openxmlformats.org/officeDocument/2006/relationships/header" Target="header106.xml" /><Relationship Id="rId758" Type="http://schemas.openxmlformats.org/officeDocument/2006/relationships/header" Target="header107.xml" /><Relationship Id="rId759" Type="http://schemas.openxmlformats.org/officeDocument/2006/relationships/footer" Target="footer106.xml" /><Relationship Id="rId76" Type="http://schemas.openxmlformats.org/officeDocument/2006/relationships/hyperlink" Target="https://advance.lexis.com/api/document?collection=cases-ca&amp;id=urn:contentItem:5F8T-N3T1-JJSF-2399-00000-00&amp;context=" TargetMode="External" /><Relationship Id="rId760" Type="http://schemas.openxmlformats.org/officeDocument/2006/relationships/footer" Target="footer107.xml" /><Relationship Id="rId761" Type="http://schemas.openxmlformats.org/officeDocument/2006/relationships/header" Target="header108.xml" /><Relationship Id="rId762" Type="http://schemas.openxmlformats.org/officeDocument/2006/relationships/footer" Target="footer108.xml" /><Relationship Id="rId763" Type="http://schemas.openxmlformats.org/officeDocument/2006/relationships/hyperlink" Target="https://advance.lexis.com/api/document?collection=cases-ca&amp;id=urn:contentItem:5KP4-X8R1-JW09-M423-00000-00&amp;context=" TargetMode="External" /><Relationship Id="rId764" Type="http://schemas.openxmlformats.org/officeDocument/2006/relationships/hyperlink" Target="https://advance.lexis.com/api/document?collection=cases-ca&amp;id=urn:contentItem:5F7T-S7H1-F016-S45P-00000-00&amp;context=" TargetMode="External" /><Relationship Id="rId765" Type="http://schemas.openxmlformats.org/officeDocument/2006/relationships/hyperlink" Target="https://advance.lexis.com/api/document?collection=cases-ca&amp;id=urn:contentItem:5F7T-S7H1-JCRC-B0WX-00000-00&amp;context=" TargetMode="External" /><Relationship Id="rId766" Type="http://schemas.openxmlformats.org/officeDocument/2006/relationships/hyperlink" Target="https://advance.lexis.com/api/document?collection=cases-ca&amp;id=urn:contentItem:5GCC-XVC1-F900-G4WH-00000-00&amp;context=" TargetMode="External" /><Relationship Id="rId767" Type="http://schemas.openxmlformats.org/officeDocument/2006/relationships/hyperlink" Target="https://advance.lexis.com/api/document?collection=cases-ca&amp;id=urn:contentItem:5F7T-S7G1-JPP5-21X8-00000-00&amp;context=" TargetMode="External" /><Relationship Id="rId768" Type="http://schemas.openxmlformats.org/officeDocument/2006/relationships/hyperlink" Target="https://advance.lexis.com/api/document?collection=cases-ca&amp;id=urn:contentItem:5F7T-S721-F5T5-M260-00000-00&amp;context=" TargetMode="External" /><Relationship Id="rId769" Type="http://schemas.openxmlformats.org/officeDocument/2006/relationships/hyperlink" Target="https://advance.lexis.com/api/document?collection=cases-ca&amp;id=urn:contentItem:5F7T-S731-FG12-62HF-00000-00&amp;context=" TargetMode="External" /><Relationship Id="rId77" Type="http://schemas.openxmlformats.org/officeDocument/2006/relationships/hyperlink" Target="https://advance.lexis.com/api/document?collection=cases-ca&amp;id=urn:contentItem:5F8T-N3V1-JF75-M3VR-00000-00&amp;context=" TargetMode="External" /><Relationship Id="rId770" Type="http://schemas.openxmlformats.org/officeDocument/2006/relationships/hyperlink" Target="https://advance.lexis.com/api/document?collection=cases-ca&amp;id=urn:contentItem:5F7T-S7P1-F2TK-23K1-00000-00&amp;context=" TargetMode="External" /><Relationship Id="rId771" Type="http://schemas.openxmlformats.org/officeDocument/2006/relationships/hyperlink" Target="https://advance.lexis.com/api/document?collection=cases-ca&amp;id=urn:contentItem:5F7T-S6W1-JYYX-61N3-00000-00&amp;context=" TargetMode="External" /><Relationship Id="rId772" Type="http://schemas.openxmlformats.org/officeDocument/2006/relationships/hyperlink" Target="https://advance.lexis.com/api/document?collection=cases-ca&amp;id=urn:contentItem:5F7T-S771-F81W-22H2-00000-00&amp;context=" TargetMode="External" /><Relationship Id="rId773" Type="http://schemas.openxmlformats.org/officeDocument/2006/relationships/header" Target="header109.xml" /><Relationship Id="rId774" Type="http://schemas.openxmlformats.org/officeDocument/2006/relationships/header" Target="header110.xml" /><Relationship Id="rId775" Type="http://schemas.openxmlformats.org/officeDocument/2006/relationships/footer" Target="footer109.xml" /><Relationship Id="rId776" Type="http://schemas.openxmlformats.org/officeDocument/2006/relationships/footer" Target="footer110.xml" /><Relationship Id="rId777" Type="http://schemas.openxmlformats.org/officeDocument/2006/relationships/header" Target="header111.xml" /><Relationship Id="rId778" Type="http://schemas.openxmlformats.org/officeDocument/2006/relationships/footer" Target="footer111.xml" /><Relationship Id="rId779" Type="http://schemas.openxmlformats.org/officeDocument/2006/relationships/hyperlink" Target="https://advance.lexis.com/api/document?collection=cases-ca&amp;id=urn:contentItem:5M5T-MHY1-DYV0-G002-00000-00&amp;context=" TargetMode="External" /><Relationship Id="rId78" Type="http://schemas.openxmlformats.org/officeDocument/2006/relationships/hyperlink" Target="https://advance.lexis.com/api/document?collection=cases-ca&amp;id=urn:contentItem:5F81-VJX1-FGY5-M3DK-00000-00&amp;context=" TargetMode="External" /><Relationship Id="rId780" Type="http://schemas.openxmlformats.org/officeDocument/2006/relationships/hyperlink" Target="https://advance.lexis.com/api/document?collection=cases-ca&amp;id=urn:contentItem:5KHN-KX81-JWR6-S42G-00000-00&amp;context=" TargetMode="External" /><Relationship Id="rId781" Type="http://schemas.openxmlformats.org/officeDocument/2006/relationships/hyperlink" Target="https://advance.lexis.com/api/document?collection=legislation-ca&amp;id=urn:contentItem:5F41-1FJ1-JKPJ-G0P7-00000-00&amp;context=" TargetMode="External" /><Relationship Id="rId782" Type="http://schemas.openxmlformats.org/officeDocument/2006/relationships/hyperlink" Target="https://advance.lexis.com/api/document?collection=cases-ca&amp;id=urn:contentItem:5F7T-S7N1-JC5P-G29R-00000-00&amp;context=" TargetMode="External" /><Relationship Id="rId783" Type="http://schemas.openxmlformats.org/officeDocument/2006/relationships/hyperlink" Target="https://advance.lexis.com/api/document?collection=cases-ca&amp;id=urn:contentItem:5F7T-S7K1-DY33-B1PS-00000-00&amp;context=" TargetMode="External" /><Relationship Id="rId784" Type="http://schemas.openxmlformats.org/officeDocument/2006/relationships/hyperlink" Target="https://advance.lexis.com/api/document?collection=cases-ca&amp;id=urn:contentItem:5F7T-S7H1-F4GK-M39T-00000-00&amp;context=" TargetMode="External" /><Relationship Id="rId785" Type="http://schemas.openxmlformats.org/officeDocument/2006/relationships/hyperlink" Target="https://advance.lexis.com/api/document?collection=cases-ca&amp;id=urn:contentItem:5F7T-S781-F06F-23XV-00000-00&amp;context=" TargetMode="External" /><Relationship Id="rId786" Type="http://schemas.openxmlformats.org/officeDocument/2006/relationships/hyperlink" Target="https://advance.lexis.com/api/document?collection=cases-ca&amp;id=urn:contentItem:5F7T-S7B1-JCJ5-2073-00000-00&amp;context=" TargetMode="External" /><Relationship Id="rId787" Type="http://schemas.openxmlformats.org/officeDocument/2006/relationships/hyperlink" Target="https://advance.lexis.com/api/document?collection=cases-ca&amp;id=urn:contentItem:5F7T-S6W1-JB7K-21F4-00000-00&amp;context=" TargetMode="External" /><Relationship Id="rId788" Type="http://schemas.openxmlformats.org/officeDocument/2006/relationships/hyperlink" Target="https://advance.lexis.com/api/document?collection=cases-ca&amp;id=urn:contentItem:5F7T-S6X1-JTNR-M3X3-00000-00&amp;context=" TargetMode="External" /><Relationship Id="rId789" Type="http://schemas.openxmlformats.org/officeDocument/2006/relationships/hyperlink" Target="https://advance.lexis.com/api/document?collection=cases-ca&amp;id=urn:contentItem:5F81-VJV1-JK4W-M4GH-00000-00&amp;context=" TargetMode="External" /><Relationship Id="rId79" Type="http://schemas.openxmlformats.org/officeDocument/2006/relationships/hyperlink" Target="https://advance.lexis.com/api/document?collection=cases-ca&amp;id=urn:contentItem:5F8T-N3V1-JFKM-6045-00000-00&amp;context=" TargetMode="External" /><Relationship Id="rId790" Type="http://schemas.openxmlformats.org/officeDocument/2006/relationships/hyperlink" Target="https://advance.lexis.com/api/document?collection=cases-ca&amp;id=urn:contentItem:5F7T-S771-JSJC-X060-00000-00&amp;context=" TargetMode="External" /><Relationship Id="rId791" Type="http://schemas.openxmlformats.org/officeDocument/2006/relationships/hyperlink" Target="https://advance.lexis.com/api/document?collection=cases-ca&amp;id=urn:contentItem:5F7T-S7D1-FC6N-X0VK-00000-00&amp;context=" TargetMode="External" /><Relationship Id="rId792" Type="http://schemas.openxmlformats.org/officeDocument/2006/relationships/hyperlink" Target="https://advance.lexis.com/api/document?collection=cases-ca&amp;id=urn:contentItem:5JSS-9XD1-F4W2-62Y9-00000-00&amp;context=" TargetMode="External" /><Relationship Id="rId793" Type="http://schemas.openxmlformats.org/officeDocument/2006/relationships/hyperlink" Target="https://advance.lexis.com/api/document?collection=cases-ca&amp;id=urn:contentItem:5GF9-8HG1-FCYK-20XG-00000-00&amp;context=" TargetMode="External" /><Relationship Id="rId794" Type="http://schemas.openxmlformats.org/officeDocument/2006/relationships/hyperlink" Target="https://advance.lexis.com/api/document?collection=cases-ca&amp;id=urn:contentItem:5F7T-S7D1-FCSB-S2WC-00000-00&amp;context=" TargetMode="External" /><Relationship Id="rId795" Type="http://schemas.openxmlformats.org/officeDocument/2006/relationships/hyperlink" Target="https://advance.lexis.com/api/document?collection=cases-ca&amp;id=urn:contentItem:5F7T-S7P1-F2TK-23C8-00000-00&amp;context=" TargetMode="External" /><Relationship Id="rId796" Type="http://schemas.openxmlformats.org/officeDocument/2006/relationships/hyperlink" Target="https://advance.lexis.com/api/document?collection=cases-ca&amp;id=urn:contentItem:5F7T-S771-JN14-G27W-00000-00&amp;context=" TargetMode="External" /><Relationship Id="rId797" Type="http://schemas.openxmlformats.org/officeDocument/2006/relationships/hyperlink" Target="https://advance.lexis.com/api/document?collection=cases-ca&amp;id=urn:contentItem:5F7T-S781-DYMS-61BM-00000-00&amp;context=" TargetMode="External" /><Relationship Id="rId798" Type="http://schemas.openxmlformats.org/officeDocument/2006/relationships/hyperlink" Target="https://advance.lexis.com/api/document?collection=cases-ca&amp;id=urn:contentItem:5F7T-S7K1-JKHB-6305-00000-00&amp;context=" TargetMode="External" /><Relationship Id="rId799" Type="http://schemas.openxmlformats.org/officeDocument/2006/relationships/hyperlink" Target="https://advance.lexis.com/api/document?collection=cases-ca&amp;id=urn:contentItem:5F7T-S7M1-JJK6-S1NF-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C1-JSRM-60TP-00000-00&amp;context=" TargetMode="External" /><Relationship Id="rId800" Type="http://schemas.openxmlformats.org/officeDocument/2006/relationships/hyperlink" Target="https://advance.lexis.com/api/document?collection=cases-ca&amp;id=urn:contentItem:5F7T-S7G1-FCYK-20FM-00000-00&amp;context=" TargetMode="External" /><Relationship Id="rId801" Type="http://schemas.openxmlformats.org/officeDocument/2006/relationships/hyperlink" Target="https://advance.lexis.com/api/document?collection=cases-ca&amp;id=urn:contentItem:5F7T-S7J1-JGBH-B2DR-00000-00&amp;context=" TargetMode="External" /><Relationship Id="rId802" Type="http://schemas.openxmlformats.org/officeDocument/2006/relationships/hyperlink" Target="https://advance.lexis.com/api/document?collection=cases-ca&amp;id=urn:contentItem:5F7T-S781-F06F-23X6-00000-00&amp;context=" TargetMode="External" /><Relationship Id="rId803" Type="http://schemas.openxmlformats.org/officeDocument/2006/relationships/hyperlink" Target="https://advance.lexis.com/api/document?collection=cases-ca&amp;id=urn:contentItem:5F7T-S7N1-JGHR-M38N-00000-00&amp;context=" TargetMode="External" /><Relationship Id="rId804" Type="http://schemas.openxmlformats.org/officeDocument/2006/relationships/hyperlink" Target="https://advance.lexis.com/api/document?collection=cases-ca&amp;id=urn:contentItem:5F7T-S7M1-JPP5-22TG-00000-00&amp;context=" TargetMode="External" /><Relationship Id="rId805" Type="http://schemas.openxmlformats.org/officeDocument/2006/relationships/hyperlink" Target="https://advance.lexis.com/api/document?collection=cases-ca&amp;id=urn:contentItem:5F7T-S7M1-F4W2-6236-00000-00&amp;context=" TargetMode="External" /><Relationship Id="rId806" Type="http://schemas.openxmlformats.org/officeDocument/2006/relationships/hyperlink" Target="https://advance.lexis.com/api/document?collection=cases-ca&amp;id=urn:contentItem:5GCC-XVB1-JSXV-G03N-00000-00&amp;context=" TargetMode="External" /><Relationship Id="rId807" Type="http://schemas.openxmlformats.org/officeDocument/2006/relationships/hyperlink" Target="https://advance.lexis.com/api/document?collection=cases-ca&amp;id=urn:contentItem:5F7T-S761-JCBX-S0DN-00000-00&amp;context=" TargetMode="External" /><Relationship Id="rId808" Type="http://schemas.openxmlformats.org/officeDocument/2006/relationships/hyperlink" Target="https://advance.lexis.com/api/document?collection=cases-ca&amp;id=urn:contentItem:5F7T-S6T1-JT99-214C-00000-00&amp;context=" TargetMode="External" /><Relationship Id="rId809" Type="http://schemas.openxmlformats.org/officeDocument/2006/relationships/hyperlink" Target="https://advance.lexis.com/api/document?collection=cases-ca&amp;id=urn:contentItem:5F7T-S7P1-JG02-S41Y-00000-00&amp;context=" TargetMode="External" /><Relationship Id="rId81" Type="http://schemas.openxmlformats.org/officeDocument/2006/relationships/header" Target="header13.xml" /><Relationship Id="rId810" Type="http://schemas.openxmlformats.org/officeDocument/2006/relationships/header" Target="header112.xml" /><Relationship Id="rId811" Type="http://schemas.openxmlformats.org/officeDocument/2006/relationships/header" Target="header113.xml" /><Relationship Id="rId812" Type="http://schemas.openxmlformats.org/officeDocument/2006/relationships/footer" Target="footer112.xml" /><Relationship Id="rId813" Type="http://schemas.openxmlformats.org/officeDocument/2006/relationships/footer" Target="footer113.xml" /><Relationship Id="rId814" Type="http://schemas.openxmlformats.org/officeDocument/2006/relationships/header" Target="header114.xml" /><Relationship Id="rId815" Type="http://schemas.openxmlformats.org/officeDocument/2006/relationships/footer" Target="footer114.xml" /><Relationship Id="rId816" Type="http://schemas.openxmlformats.org/officeDocument/2006/relationships/hyperlink" Target="https://advance.lexis.com/api/document?collection=cases-ca&amp;id=urn:contentItem:5F7T-S781-JC5P-G1PD-00000-00&amp;context=" TargetMode="External" /><Relationship Id="rId817" Type="http://schemas.openxmlformats.org/officeDocument/2006/relationships/hyperlink" Target="https://advance.lexis.com/api/document?collection=cases-ca&amp;id=urn:contentItem:5F8T-N3V1-JF75-M3SS-00000-00&amp;context=" TargetMode="External" /><Relationship Id="rId818" Type="http://schemas.openxmlformats.org/officeDocument/2006/relationships/hyperlink" Target="https://advance.lexis.com/api/document?collection=cases-ca&amp;id=urn:contentItem:5F7T-S731-JC0G-63MB-00000-00&amp;context=" TargetMode="External" /><Relationship Id="rId819" Type="http://schemas.openxmlformats.org/officeDocument/2006/relationships/hyperlink" Target="https://advance.lexis.com/api/document?collection=cases-ca&amp;id=urn:contentItem:5F81-VJX1-F5KY-B41C-00000-00&amp;context=" TargetMode="External" /><Relationship Id="rId82" Type="http://schemas.openxmlformats.org/officeDocument/2006/relationships/header" Target="header14.xml" /><Relationship Id="rId820" Type="http://schemas.openxmlformats.org/officeDocument/2006/relationships/header" Target="header115.xml" /><Relationship Id="rId821" Type="http://schemas.openxmlformats.org/officeDocument/2006/relationships/header" Target="header116.xml" /><Relationship Id="rId822" Type="http://schemas.openxmlformats.org/officeDocument/2006/relationships/footer" Target="footer115.xml" /><Relationship Id="rId823" Type="http://schemas.openxmlformats.org/officeDocument/2006/relationships/footer" Target="footer116.xml" /><Relationship Id="rId824" Type="http://schemas.openxmlformats.org/officeDocument/2006/relationships/header" Target="header117.xml" /><Relationship Id="rId825" Type="http://schemas.openxmlformats.org/officeDocument/2006/relationships/footer" Target="footer117.xml" /><Relationship Id="rId826" Type="http://schemas.openxmlformats.org/officeDocument/2006/relationships/hyperlink" Target="https://advance.lexis.com/api/document?collection=cases-ca&amp;id=urn:contentItem:5F7T-S7P1-JSJC-X1M3-00000-00&amp;context=" TargetMode="External" /><Relationship Id="rId827" Type="http://schemas.openxmlformats.org/officeDocument/2006/relationships/hyperlink" Target="https://advance.lexis.com/api/document?collection=legislation-ca&amp;id=urn:contentItem:5F41-1FH1-F361-M0F5-00000-00&amp;context=" TargetMode="External" /><Relationship Id="rId828" Type="http://schemas.openxmlformats.org/officeDocument/2006/relationships/hyperlink" Target="https://advance.lexis.com/api/document?collection=cases-ca&amp;id=urn:contentItem:5F7T-S7N1-JWR6-S2JD-00000-00&amp;context=" TargetMode="External" /><Relationship Id="rId829" Type="http://schemas.openxmlformats.org/officeDocument/2006/relationships/hyperlink" Target="https://advance.lexis.com/api/document?collection=cases-ca&amp;id=urn:contentItem:5F7T-S741-DY89-M3BS-00000-00&amp;context=" TargetMode="External" /><Relationship Id="rId83" Type="http://schemas.openxmlformats.org/officeDocument/2006/relationships/footer" Target="footer13.xml" /><Relationship Id="rId830" Type="http://schemas.openxmlformats.org/officeDocument/2006/relationships/hyperlink" Target="https://advance.lexis.com/api/document?collection=cases-ca&amp;id=urn:contentItem:5F7T-S7M1-JNCK-22H0-00000-00&amp;context=" TargetMode="External" /><Relationship Id="rId831" Type="http://schemas.openxmlformats.org/officeDocument/2006/relationships/header" Target="header118.xml" /><Relationship Id="rId832" Type="http://schemas.openxmlformats.org/officeDocument/2006/relationships/header" Target="header119.xml" /><Relationship Id="rId833" Type="http://schemas.openxmlformats.org/officeDocument/2006/relationships/footer" Target="footer118.xml" /><Relationship Id="rId834" Type="http://schemas.openxmlformats.org/officeDocument/2006/relationships/footer" Target="footer119.xml" /><Relationship Id="rId835" Type="http://schemas.openxmlformats.org/officeDocument/2006/relationships/header" Target="header120.xml" /><Relationship Id="rId836" Type="http://schemas.openxmlformats.org/officeDocument/2006/relationships/footer" Target="footer120.xml" /><Relationship Id="rId837" Type="http://schemas.openxmlformats.org/officeDocument/2006/relationships/hyperlink" Target="https://advance.lexis.com/api/document?collection=cases-ca&amp;id=urn:contentItem:5K6Y-81T1-JYYX-61WR-00000-00&amp;context=" TargetMode="External" /><Relationship Id="rId838" Type="http://schemas.openxmlformats.org/officeDocument/2006/relationships/hyperlink" Target="https://advance.lexis.com/api/document?collection=cases-ca&amp;id=urn:contentItem:5GWF-M0T1-F8KH-X2FW-00000-00&amp;context=" TargetMode="External" /><Relationship Id="rId839" Type="http://schemas.openxmlformats.org/officeDocument/2006/relationships/hyperlink" Target="https://advance.lexis.com/api/document?collection=cases-ca&amp;id=urn:contentItem:5F7T-S7P1-JBDT-B196-00000-00&amp;context=" TargetMode="External" /><Relationship Id="rId84" Type="http://schemas.openxmlformats.org/officeDocument/2006/relationships/footer" Target="footer14.xml" /><Relationship Id="rId840" Type="http://schemas.openxmlformats.org/officeDocument/2006/relationships/hyperlink" Target="https://advance.lexis.com/api/document?collection=cases-ca&amp;id=urn:contentItem:5F7T-S6Y1-JP9P-G1F0-00000-00&amp;context=" TargetMode="External" /><Relationship Id="rId841" Type="http://schemas.openxmlformats.org/officeDocument/2006/relationships/hyperlink" Target="https://advance.lexis.com/api/document?collection=cases-ca&amp;id=urn:contentItem:5F7T-S6Y1-JF75-M3S4-00000-00&amp;context=" TargetMode="External" /><Relationship Id="rId842" Type="http://schemas.openxmlformats.org/officeDocument/2006/relationships/header" Target="header121.xml" /><Relationship Id="rId843" Type="http://schemas.openxmlformats.org/officeDocument/2006/relationships/header" Target="header122.xml" /><Relationship Id="rId844" Type="http://schemas.openxmlformats.org/officeDocument/2006/relationships/footer" Target="footer121.xml" /><Relationship Id="rId845" Type="http://schemas.openxmlformats.org/officeDocument/2006/relationships/footer" Target="footer122.xml" /><Relationship Id="rId846" Type="http://schemas.openxmlformats.org/officeDocument/2006/relationships/header" Target="header123.xml" /><Relationship Id="rId847" Type="http://schemas.openxmlformats.org/officeDocument/2006/relationships/footer" Target="footer123.xml" /><Relationship Id="rId848" Type="http://schemas.openxmlformats.org/officeDocument/2006/relationships/hyperlink" Target="https://advance.lexis.com/api/document?collection=cases-ca&amp;id=urn:contentItem:5VSW-6T41-F956-S1DD-00000-00&amp;context=" TargetMode="External" /><Relationship Id="rId849" Type="http://schemas.openxmlformats.org/officeDocument/2006/relationships/hyperlink" Target="https://advance.lexis.com/api/document?collection=cases-ca&amp;id=urn:contentItem:5J7V-J841-JBDT-B3F6-00000-00&amp;context=" TargetMode="External" /><Relationship Id="rId85" Type="http://schemas.openxmlformats.org/officeDocument/2006/relationships/header" Target="header15.xml" /><Relationship Id="rId850" Type="http://schemas.openxmlformats.org/officeDocument/2006/relationships/hyperlink" Target="https://advance.lexis.com/api/document?collection=cases-ca&amp;id=urn:contentItem:5NV8-V0X1-F2MB-S05X-00000-00&amp;context=" TargetMode="External" /><Relationship Id="rId851" Type="http://schemas.openxmlformats.org/officeDocument/2006/relationships/hyperlink" Target="https://advance.lexis.com/api/document?collection=cases-ca&amp;id=urn:contentItem:5T9R-46S1-JGHR-M539-00000-00&amp;context=" TargetMode="External" /><Relationship Id="rId852" Type="http://schemas.openxmlformats.org/officeDocument/2006/relationships/hyperlink" Target="https://advance.lexis.com/api/document?collection=cases-ca&amp;id=urn:contentItem:5F8T-N3V1-FC1F-M428-00000-00&amp;context=" TargetMode="External" /><Relationship Id="rId853" Type="http://schemas.openxmlformats.org/officeDocument/2006/relationships/hyperlink" Target="https://advance.lexis.com/api/document?collection=cases-ca&amp;id=urn:contentItem:5F7T-S7D1-FC6N-X0YM-00000-00&amp;context=" TargetMode="External" /><Relationship Id="rId854" Type="http://schemas.openxmlformats.org/officeDocument/2006/relationships/hyperlink" Target="https://advance.lexis.com/api/document?collection=cases-ca&amp;id=urn:contentItem:5N1F-TXX1-DXPM-S4C0-00000-00&amp;context=" TargetMode="External" /><Relationship Id="rId855" Type="http://schemas.openxmlformats.org/officeDocument/2006/relationships/hyperlink" Target="https://advance.lexis.com/api/document?collection=cases-ca&amp;id=urn:contentItem:5F7T-S7G1-JPP5-2239-00000-00&amp;context=" TargetMode="External" /><Relationship Id="rId856" Type="http://schemas.openxmlformats.org/officeDocument/2006/relationships/header" Target="header124.xml" /><Relationship Id="rId857" Type="http://schemas.openxmlformats.org/officeDocument/2006/relationships/header" Target="header125.xml" /><Relationship Id="rId858" Type="http://schemas.openxmlformats.org/officeDocument/2006/relationships/footer" Target="footer124.xml" /><Relationship Id="rId859" Type="http://schemas.openxmlformats.org/officeDocument/2006/relationships/footer" Target="footer125.xml" /><Relationship Id="rId86" Type="http://schemas.openxmlformats.org/officeDocument/2006/relationships/footer" Target="footer15.xml" /><Relationship Id="rId860" Type="http://schemas.openxmlformats.org/officeDocument/2006/relationships/header" Target="header126.xml" /><Relationship Id="rId861" Type="http://schemas.openxmlformats.org/officeDocument/2006/relationships/footer" Target="footer126.xml" /><Relationship Id="rId862" Type="http://schemas.openxmlformats.org/officeDocument/2006/relationships/hyperlink" Target="https://advance.lexis.com/api/document?collection=cases-ca&amp;id=urn:contentItem:5S1X-8C71-JCBX-S1BC-00000-00&amp;context=" TargetMode="External" /><Relationship Id="rId863" Type="http://schemas.openxmlformats.org/officeDocument/2006/relationships/hyperlink" Target="https://advance.lexis.com/api/document?collection=legislation-ca&amp;id=urn:contentItem:5F41-1FK1-F2TK-2152-00000-00&amp;context=" TargetMode="External" /><Relationship Id="rId864" Type="http://schemas.openxmlformats.org/officeDocument/2006/relationships/hyperlink" Target="https://advance.lexis.com/api/document?collection=cases-ca&amp;id=urn:contentItem:5GM0-J411-JJYN-B3XS-00000-00&amp;context=" TargetMode="External" /><Relationship Id="rId865" Type="http://schemas.openxmlformats.org/officeDocument/2006/relationships/hyperlink" Target="https://advance.lexis.com/api/document?collection=cases-ca&amp;id=urn:contentItem:5KBJ-4H81-FJM6-639D-00000-00&amp;context=" TargetMode="External" /><Relationship Id="rId866" Type="http://schemas.openxmlformats.org/officeDocument/2006/relationships/hyperlink" Target="https://advance.lexis.com/api/document?collection=cases-ca&amp;id=urn:contentItem:5MXP-54B1-JJD0-G4BP-00000-00&amp;context=" TargetMode="External" /><Relationship Id="rId867" Type="http://schemas.openxmlformats.org/officeDocument/2006/relationships/hyperlink" Target="https://advance.lexis.com/api/document?collection=cases-ca&amp;id=urn:contentItem:5F7T-S711-F4W2-61JR-00000-00&amp;context=" TargetMode="External" /><Relationship Id="rId868" Type="http://schemas.openxmlformats.org/officeDocument/2006/relationships/hyperlink" Target="https://advance.lexis.com/api/document?collection=cases-ca&amp;id=urn:contentItem:5F7T-S7D1-DY89-M420-00000-00&amp;context=" TargetMode="External" /><Relationship Id="rId869" Type="http://schemas.openxmlformats.org/officeDocument/2006/relationships/hyperlink" Target="https://advance.lexis.com/api/document?collection=cases-ca&amp;id=urn:contentItem:5F7T-S7K1-JWXF-20WB-00000-00&amp;context=" TargetMode="External" /><Relationship Id="rId87" Type="http://schemas.openxmlformats.org/officeDocument/2006/relationships/hyperlink" Target="https://advance.lexis.com/api/document?collection=cases-ca&amp;id=urn:contentItem:5F7T-S7D1-JN6B-S0XJ-00000-00&amp;context=" TargetMode="External" /><Relationship Id="rId870" Type="http://schemas.openxmlformats.org/officeDocument/2006/relationships/hyperlink" Target="https://advance.lexis.com/api/document?collection=cases-ca&amp;id=urn:contentItem:5F7T-S7F1-JBT7-X2NX-00000-00&amp;context=" TargetMode="External" /><Relationship Id="rId871" Type="http://schemas.openxmlformats.org/officeDocument/2006/relationships/hyperlink" Target="https://advance.lexis.com/api/document?collection=cases-ca&amp;id=urn:contentItem:5F7T-S7C1-F4NT-X38R-00000-00&amp;context=" TargetMode="External" /><Relationship Id="rId872" Type="http://schemas.openxmlformats.org/officeDocument/2006/relationships/hyperlink" Target="https://advance.lexis.com/api/document?collection=cases-ca&amp;id=urn:contentItem:5JY7-RCM1-DXHD-G2SD-00000-00&amp;context=" TargetMode="External" /><Relationship Id="rId873" Type="http://schemas.openxmlformats.org/officeDocument/2006/relationships/hyperlink" Target="https://advance.lexis.com/api/document?collection=cases-ca&amp;id=urn:contentItem:5GCC-XVB1-FK0M-S552-00000-00&amp;context=" TargetMode="External" /><Relationship Id="rId874" Type="http://schemas.openxmlformats.org/officeDocument/2006/relationships/hyperlink" Target="https://advance.lexis.com/api/document?collection=cases-ca&amp;id=urn:contentItem:5F7T-S7M1-DYMS-627Y-00000-00&amp;context=" TargetMode="External" /><Relationship Id="rId875" Type="http://schemas.openxmlformats.org/officeDocument/2006/relationships/hyperlink" Target="https://advance.lexis.com/api/document?collection=cases-ca&amp;id=urn:contentItem:5F8P-SFD1-FG12-61H7-00000-00&amp;context=" TargetMode="External" /><Relationship Id="rId876" Type="http://schemas.openxmlformats.org/officeDocument/2006/relationships/hyperlink" Target="https://advance.lexis.com/api/document?collection=cases-ca&amp;id=urn:contentItem:5F7T-S7H1-FCSB-S3RC-00000-00&amp;context=" TargetMode="External" /><Relationship Id="rId877" Type="http://schemas.openxmlformats.org/officeDocument/2006/relationships/hyperlink" Target="https://advance.lexis.com/api/document?collection=cases-ca&amp;id=urn:contentItem:5F81-VJX1-FCK4-G1VJ-00000-00&amp;context=" TargetMode="External" /><Relationship Id="rId878" Type="http://schemas.openxmlformats.org/officeDocument/2006/relationships/hyperlink" Target="https://advance.lexis.com/api/document?collection=legislation-ca&amp;id=urn:contentItem:5W07-7G31-DY33-B016-00000-00&amp;context=" TargetMode="External" /><Relationship Id="rId879" Type="http://schemas.openxmlformats.org/officeDocument/2006/relationships/hyperlink" Target="https://advance.lexis.com/api/document?collection=cases-ca&amp;id=urn:contentItem:5F7T-S7M1-JPP5-22CR-00000-00&amp;context=" TargetMode="External" /><Relationship Id="rId88" Type="http://schemas.openxmlformats.org/officeDocument/2006/relationships/hyperlink" Target="https://advance.lexis.com/api/document?collection=legislation-ca&amp;id=urn:contentItem:5VYK-47Y1-F06F-21ND-00000-00&amp;context=" TargetMode="External" /><Relationship Id="rId880" Type="http://schemas.openxmlformats.org/officeDocument/2006/relationships/hyperlink" Target="https://advance.lexis.com/api/document?collection=cases-ca&amp;id=urn:contentItem:5F7T-S761-F7ND-G4CX-00000-00&amp;context=" TargetMode="External" /><Relationship Id="rId881" Type="http://schemas.openxmlformats.org/officeDocument/2006/relationships/hyperlink" Target="https://advance.lexis.com/api/document?collection=cases-ca&amp;id=urn:contentItem:5F7T-S7F1-JBT7-X2WK-00000-00&amp;context=" TargetMode="External" /><Relationship Id="rId882" Type="http://schemas.openxmlformats.org/officeDocument/2006/relationships/hyperlink" Target="https://advance.lexis.com/api/document?collection=cases-ca&amp;id=urn:contentItem:5M8J-J731-JJSF-20SY-00000-00&amp;context=" TargetMode="External" /><Relationship Id="rId883" Type="http://schemas.openxmlformats.org/officeDocument/2006/relationships/hyperlink" Target="https://advance.lexis.com/api/document?collection=cases-ca&amp;id=urn:contentItem:5GRD-0501-JSRM-61CM-00000-00&amp;context=" TargetMode="External" /><Relationship Id="rId884" Type="http://schemas.openxmlformats.org/officeDocument/2006/relationships/hyperlink" Target="https://advance.lexis.com/api/document?collection=cases-ca&amp;id=urn:contentItem:5GCC-XVB1-FK0M-S4V6-00000-00&amp;context=" TargetMode="External" /><Relationship Id="rId885" Type="http://schemas.openxmlformats.org/officeDocument/2006/relationships/header" Target="header127.xml" /><Relationship Id="rId886" Type="http://schemas.openxmlformats.org/officeDocument/2006/relationships/header" Target="header128.xml" /><Relationship Id="rId887" Type="http://schemas.openxmlformats.org/officeDocument/2006/relationships/footer" Target="footer127.xml" /><Relationship Id="rId888" Type="http://schemas.openxmlformats.org/officeDocument/2006/relationships/footer" Target="footer128.xml" /><Relationship Id="rId889" Type="http://schemas.openxmlformats.org/officeDocument/2006/relationships/header" Target="header129.xml" /><Relationship Id="rId89" Type="http://schemas.openxmlformats.org/officeDocument/2006/relationships/hyperlink" Target="https://advance.lexis.com/api/document?collection=legislation-ca&amp;id=urn:contentItem:5F41-1FH1-JSRM-60KK-00000-00&amp;context=" TargetMode="External" /><Relationship Id="rId890" Type="http://schemas.openxmlformats.org/officeDocument/2006/relationships/footer" Target="footer129.xml" /><Relationship Id="rId891" Type="http://schemas.openxmlformats.org/officeDocument/2006/relationships/hyperlink" Target="https://advance.lexis.com/api/document?collection=cases-ca&amp;id=urn:contentItem:5F7T-S7P1-JG02-S4F4-00000-00&amp;context=" TargetMode="External" /><Relationship Id="rId892" Type="http://schemas.openxmlformats.org/officeDocument/2006/relationships/hyperlink" Target="https://advance.lexis.com/api/document?collection=cases-ca&amp;id=urn:contentItem:5F7T-S7C1-FCSB-S22K-00000-00&amp;context=" TargetMode="External" /><Relationship Id="rId893" Type="http://schemas.openxmlformats.org/officeDocument/2006/relationships/hyperlink" Target="https://advance.lexis.com/api/document?collection=cases-ca&amp;id=urn:contentItem:5F7T-S7F1-JBT7-X2R8-00000-00&amp;context=" TargetMode="External" /><Relationship Id="rId894" Type="http://schemas.openxmlformats.org/officeDocument/2006/relationships/hyperlink" Target="https://advance.lexis.com/api/document?collection=cases-ca&amp;id=urn:contentItem:5F7T-S6V1-JFKM-60TN-00000-00&amp;context=" TargetMode="External" /><Relationship Id="rId895" Type="http://schemas.openxmlformats.org/officeDocument/2006/relationships/hyperlink" Target="https://advance.lexis.com/api/document?collection=cases-ca&amp;id=urn:contentItem:5F7T-S7K1-JWXF-2178-00000-00&amp;context=" TargetMode="External" /><Relationship Id="rId896" Type="http://schemas.openxmlformats.org/officeDocument/2006/relationships/hyperlink" Target="https://advance.lexis.com/api/document?collection=cases-ca&amp;id=urn:contentItem:5F7T-S7M1-JJK6-S1VH-00000-00&amp;context=" TargetMode="External" /><Relationship Id="rId897" Type="http://schemas.openxmlformats.org/officeDocument/2006/relationships/hyperlink" Target="https://advance.lexis.com/api/document?collection=cases-ca&amp;id=urn:contentItem:5F7T-S7N1-JGHR-M2WR-00000-00&amp;context=" TargetMode="External" /><Relationship Id="rId898" Type="http://schemas.openxmlformats.org/officeDocument/2006/relationships/hyperlink" Target="https://advance.lexis.com/api/document?collection=cases-ca&amp;id=urn:contentItem:5F8T-N3V1-JTGH-B1CS-00000-00&amp;context=" TargetMode="External" /><Relationship Id="rId899" Type="http://schemas.openxmlformats.org/officeDocument/2006/relationships/hyperlink" Target="https://advance.lexis.com/api/document?collection=cases-ca&amp;id=urn:contentItem:5F7T-S6Y1-JTNR-M4PK-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legislation-ca&amp;id=urn:contentItem:5F41-1FJ1-JPGX-S0S6-00000-00&amp;context=" TargetMode="External" /><Relationship Id="rId900" Type="http://schemas.openxmlformats.org/officeDocument/2006/relationships/hyperlink" Target="https://advance.lexis.com/api/document?collection=cases-ca&amp;id=urn:contentItem:5F8T-N3T1-JJSF-236M-00000-00&amp;context=" TargetMode="External" /><Relationship Id="rId901" Type="http://schemas.openxmlformats.org/officeDocument/2006/relationships/hyperlink" Target="https://advance.lexis.com/api/document?collection=cases-ca&amp;id=urn:contentItem:5F7T-S721-F5T5-M2KM-00000-00&amp;context=" TargetMode="External" /><Relationship Id="rId902" Type="http://schemas.openxmlformats.org/officeDocument/2006/relationships/hyperlink" Target="https://advance.lexis.com/api/document?collection=cases-ca&amp;id=urn:contentItem:5F7T-S7F1-FFFC-B25Y-00000-00&amp;context=" TargetMode="External" /><Relationship Id="rId903" Type="http://schemas.openxmlformats.org/officeDocument/2006/relationships/hyperlink" Target="https://advance.lexis.com/api/document?collection=cases-ca&amp;id=urn:contentItem:5F7T-S771-JW5H-X1TN-00000-00&amp;context=" TargetMode="External" /><Relationship Id="rId904" Type="http://schemas.openxmlformats.org/officeDocument/2006/relationships/hyperlink" Target="https://advance.lexis.com/api/document?collection=cases-ca&amp;id=urn:contentItem:5F7T-S781-F900-G0P8-00000-00&amp;context=" TargetMode="External" /><Relationship Id="rId905" Type="http://schemas.openxmlformats.org/officeDocument/2006/relationships/hyperlink" Target="https://advance.lexis.com/api/document?collection=cases-ca&amp;id=urn:contentItem:5F8T-N3V1-FC1F-M3WX-00000-00&amp;context=" TargetMode="External" /><Relationship Id="rId906" Type="http://schemas.openxmlformats.org/officeDocument/2006/relationships/hyperlink" Target="https://advance.lexis.com/api/document?collection=cases-ca&amp;id=urn:contentItem:5F8T-N3V1-JTGH-B1H4-00000-00&amp;context=" TargetMode="External" /><Relationship Id="rId907" Type="http://schemas.openxmlformats.org/officeDocument/2006/relationships/hyperlink" Target="https://advance.lexis.com/api/document?collection=cases-ca&amp;id=urn:contentItem:5F8T-N3V1-JTGH-B1C2-00000-00&amp;context=" TargetMode="External" /><Relationship Id="rId908" Type="http://schemas.openxmlformats.org/officeDocument/2006/relationships/hyperlink" Target="https://advance.lexis.com/api/document?collection=cases-ca&amp;id=urn:contentItem:5F7T-S7D1-DY89-M45W-00000-00&amp;context=" TargetMode="External" /><Relationship Id="rId909" Type="http://schemas.openxmlformats.org/officeDocument/2006/relationships/hyperlink" Target="https://advance.lexis.com/api/document?collection=cases-ca&amp;id=urn:contentItem:5F7T-S7H1-JFKM-62CF-00000-00&amp;context=" TargetMode="External" /><Relationship Id="rId91" Type="http://schemas.openxmlformats.org/officeDocument/2006/relationships/hyperlink" Target="https://advance.lexis.com/api/document?collection=cases-ca&amp;id=urn:contentItem:5F8T-N3T1-JJSF-239W-00000-00&amp;context=" TargetMode="External" /><Relationship Id="rId910" Type="http://schemas.openxmlformats.org/officeDocument/2006/relationships/hyperlink" Target="https://advance.lexis.com/api/document?collection=cases-ca&amp;id=urn:contentItem:5F7T-S711-F4GK-M2VJ-00000-00&amp;context=" TargetMode="External" /><Relationship Id="rId911" Type="http://schemas.openxmlformats.org/officeDocument/2006/relationships/hyperlink" Target="https://advance.lexis.com/api/document?collection=cases-ca&amp;id=urn:contentItem:5F7T-S731-F1WF-M2F6-00000-00&amp;context=" TargetMode="External" /><Relationship Id="rId912" Type="http://schemas.openxmlformats.org/officeDocument/2006/relationships/hyperlink" Target="https://advance.lexis.com/api/document?collection=cases-ca&amp;id=urn:contentItem:5F8T-N3S1-JT99-24PY-00000-00&amp;context=" TargetMode="External" /><Relationship Id="rId913" Type="http://schemas.openxmlformats.org/officeDocument/2006/relationships/header" Target="header130.xml" /><Relationship Id="rId914" Type="http://schemas.openxmlformats.org/officeDocument/2006/relationships/header" Target="header131.xml" /><Relationship Id="rId915" Type="http://schemas.openxmlformats.org/officeDocument/2006/relationships/footer" Target="footer130.xml" /><Relationship Id="rId916" Type="http://schemas.openxmlformats.org/officeDocument/2006/relationships/footer" Target="footer131.xml" /><Relationship Id="rId917" Type="http://schemas.openxmlformats.org/officeDocument/2006/relationships/header" Target="header132.xml" /><Relationship Id="rId918" Type="http://schemas.openxmlformats.org/officeDocument/2006/relationships/footer" Target="footer132.xml" /><Relationship Id="rId919" Type="http://schemas.openxmlformats.org/officeDocument/2006/relationships/hyperlink" Target="https://advance.lexis.com/api/document?collection=cases-ca&amp;id=urn:contentItem:5F7T-S7J1-JGBH-B20X-00000-00&amp;context=" TargetMode="External" /><Relationship Id="rId92" Type="http://schemas.openxmlformats.org/officeDocument/2006/relationships/hyperlink" Target="https://advance.lexis.com/api/document?collection=cases-ca&amp;id=urn:contentItem:5F7T-S721-FD4T-B0MF-00000-00&amp;context=" TargetMode="External" /><Relationship Id="rId920" Type="http://schemas.openxmlformats.org/officeDocument/2006/relationships/hyperlink" Target="https://advance.lexis.com/api/document?collection=cases-ca&amp;id=urn:contentItem:5F7T-S6Y1-JTNR-M4B7-00000-00&amp;context=" TargetMode="External" /><Relationship Id="rId921" Type="http://schemas.openxmlformats.org/officeDocument/2006/relationships/hyperlink" Target="https://advance.lexis.com/api/document?collection=cases-ca&amp;id=urn:contentItem:5F7T-S711-JC0G-62MG-00000-00&amp;context=" TargetMode="External" /><Relationship Id="rId922" Type="http://schemas.openxmlformats.org/officeDocument/2006/relationships/hyperlink" Target="https://advance.lexis.com/api/document?collection=cases-ca&amp;id=urn:contentItem:5F7T-S741-DY89-M3MJ-00000-00&amp;context=" TargetMode="External" /><Relationship Id="rId923" Type="http://schemas.openxmlformats.org/officeDocument/2006/relationships/hyperlink" Target="https://advance.lexis.com/api/document?collection=cases-ca&amp;id=urn:contentItem:5F7T-S761-JCBX-S0RT-00000-00&amp;context=" TargetMode="External" /><Relationship Id="rId924" Type="http://schemas.openxmlformats.org/officeDocument/2006/relationships/hyperlink" Target="https://advance.lexis.com/api/document?collection=cases-ca&amp;id=urn:contentItem:5F7T-S7D1-JS5Y-B2KR-00000-00&amp;context=" TargetMode="External" /><Relationship Id="rId925" Type="http://schemas.openxmlformats.org/officeDocument/2006/relationships/hyperlink" Target="https://advance.lexis.com/api/document?collection=cases-ca&amp;id=urn:contentItem:5F7T-S771-JTGH-B1HN-00000-00&amp;context=" TargetMode="External" /><Relationship Id="rId926" Type="http://schemas.openxmlformats.org/officeDocument/2006/relationships/hyperlink" Target="https://advance.lexis.com/api/document?collection=cases-ca&amp;id=urn:contentItem:5F7T-S6X1-F7ND-G3MD-00000-00&amp;context=" TargetMode="External" /><Relationship Id="rId927" Type="http://schemas.openxmlformats.org/officeDocument/2006/relationships/hyperlink" Target="https://advance.lexis.com/api/document?collection=cases-ca&amp;id=urn:contentItem:5F7T-S701-JJYN-B2CY-00000-00&amp;context=" TargetMode="External" /><Relationship Id="rId928" Type="http://schemas.openxmlformats.org/officeDocument/2006/relationships/hyperlink" Target="https://advance.lexis.com/api/document?collection=cases-ca&amp;id=urn:contentItem:5F7T-S7C1-JCJ5-20HF-00000-00&amp;context=" TargetMode="External" /><Relationship Id="rId929" Type="http://schemas.openxmlformats.org/officeDocument/2006/relationships/hyperlink" Target="https://advance.lexis.com/api/document?collection=cases-ca&amp;id=urn:contentItem:5F7T-S771-JN14-G2VD-00000-00&amp;context=" TargetMode="External" /><Relationship Id="rId93" Type="http://schemas.openxmlformats.org/officeDocument/2006/relationships/hyperlink" Target="https://advance.lexis.com/api/document?collection=cases-ca&amp;id=urn:contentItem:5F7T-S7B1-F7ND-G526-00000-00&amp;context=" TargetMode="External" /><Relationship Id="rId930" Type="http://schemas.openxmlformats.org/officeDocument/2006/relationships/hyperlink" Target="https://advance.lexis.com/api/document?collection=cases-ca&amp;id=urn:contentItem:5F81-VJS1-FFFC-B2S5-00000-00&amp;context=" TargetMode="External" /><Relationship Id="rId931" Type="http://schemas.openxmlformats.org/officeDocument/2006/relationships/hyperlink" Target="https://advance.lexis.com/api/document?collection=cases-ca&amp;id=urn:contentItem:5F7V-3DD1-JFKM-641P-00000-00&amp;context=" TargetMode="External" /><Relationship Id="rId932" Type="http://schemas.openxmlformats.org/officeDocument/2006/relationships/hyperlink" Target="https://advance.lexis.com/api/document?collection=cases-ca&amp;id=urn:contentItem:5F7V-3DD1-JFKM-6455-00000-00&amp;context=" TargetMode="External" /><Relationship Id="rId933" Type="http://schemas.openxmlformats.org/officeDocument/2006/relationships/hyperlink" Target="https://advance.lexis.com/api/document?collection=cases-ca&amp;id=urn:contentItem:5F8P-SC91-JJ1H-X55X-00000-00&amp;context=" TargetMode="External" /><Relationship Id="rId934" Type="http://schemas.openxmlformats.org/officeDocument/2006/relationships/hyperlink" Target="https://advance.lexis.com/api/document?collection=cases-ca&amp;id=urn:contentItem:5F8P-SCG1-JC0G-653B-00000-00&amp;context=" TargetMode="External" /><Relationship Id="rId935" Type="http://schemas.openxmlformats.org/officeDocument/2006/relationships/hyperlink" Target="https://advance.lexis.com/api/document?collection=cases-ca&amp;id=urn:contentItem:5F81-VJT1-JF75-M0VN-00000-00&amp;context=" TargetMode="External" /><Relationship Id="rId936" Type="http://schemas.openxmlformats.org/officeDocument/2006/relationships/hyperlink" Target="https://advance.lexis.com/api/document?collection=cases-ca&amp;id=urn:contentItem:5F81-VJS1-JBDT-B377-00000-00&amp;context=" TargetMode="External" /><Relationship Id="rId937" Type="http://schemas.openxmlformats.org/officeDocument/2006/relationships/hyperlink" Target="https://advance.lexis.com/api/document?collection=cases-ca&amp;id=urn:contentItem:5F81-VJW1-JGPY-X4H8-00000-00&amp;context=" TargetMode="External" /><Relationship Id="rId938" Type="http://schemas.openxmlformats.org/officeDocument/2006/relationships/header" Target="header133.xml" /><Relationship Id="rId939" Type="http://schemas.openxmlformats.org/officeDocument/2006/relationships/header" Target="header134.xml" /><Relationship Id="rId94" Type="http://schemas.openxmlformats.org/officeDocument/2006/relationships/hyperlink" Target="https://advance.lexis.com/api/document?collection=cases-ca&amp;id=urn:contentItem:5F7T-S6W1-JYYX-61TX-00000-00&amp;context=" TargetMode="External" /><Relationship Id="rId940" Type="http://schemas.openxmlformats.org/officeDocument/2006/relationships/footer" Target="footer133.xml" /><Relationship Id="rId941" Type="http://schemas.openxmlformats.org/officeDocument/2006/relationships/footer" Target="footer134.xml" /><Relationship Id="rId942" Type="http://schemas.openxmlformats.org/officeDocument/2006/relationships/header" Target="header135.xml" /><Relationship Id="rId943" Type="http://schemas.openxmlformats.org/officeDocument/2006/relationships/footer" Target="footer135.xml" /><Relationship Id="rId944" Type="http://schemas.openxmlformats.org/officeDocument/2006/relationships/hyperlink" Target="https://advance.lexis.com/api/document?collection=cases-ca&amp;id=urn:contentItem:5R0X-83K1-JSXV-G0KP-00000-00&amp;context=" TargetMode="External" /><Relationship Id="rId945" Type="http://schemas.openxmlformats.org/officeDocument/2006/relationships/hyperlink" Target="https://advance.lexis.com/api/document?collection=legislation-ca&amp;id=urn:contentItem:5F41-1FK1-JT99-20CN-00000-00&amp;context=" TargetMode="External" /><Relationship Id="rId946" Type="http://schemas.openxmlformats.org/officeDocument/2006/relationships/hyperlink" Target="https://advance.lexis.com/api/document?collection=cases-ca&amp;id=urn:contentItem:5F7T-S781-F27X-61BF-00000-00&amp;context=" TargetMode="External" /><Relationship Id="rId947" Type="http://schemas.openxmlformats.org/officeDocument/2006/relationships/hyperlink" Target="https://advance.lexis.com/api/document?collection=cases-ca&amp;id=urn:contentItem:5PDP-7WW1-DYFH-X553-00000-00&amp;context=" TargetMode="External" /><Relationship Id="rId948" Type="http://schemas.openxmlformats.org/officeDocument/2006/relationships/hyperlink" Target="https://advance.lexis.com/api/document?collection=cases-ca&amp;id=urn:contentItem:5F8T-N3T1-JJSF-236R-00000-00&amp;context=" TargetMode="External" /><Relationship Id="rId949" Type="http://schemas.openxmlformats.org/officeDocument/2006/relationships/hyperlink" Target="https://advance.lexis.com/api/document?collection=cases-ca&amp;id=urn:contentItem:5F8T-N3V1-JF75-M3CF-00000-00&amp;context=" TargetMode="External" /><Relationship Id="rId95" Type="http://schemas.openxmlformats.org/officeDocument/2006/relationships/hyperlink" Target="https://advance.lexis.com/api/document?collection=cases-ca&amp;id=urn:contentItem:5F7T-S711-JNY7-X30K-00000-00&amp;context=" TargetMode="External" /><Relationship Id="rId950" Type="http://schemas.openxmlformats.org/officeDocument/2006/relationships/hyperlink" Target="https://advance.lexis.com/api/document?collection=cases-ca&amp;id=urn:contentItem:5G77-HXG1-FCK4-G3XK-00000-00&amp;context=" TargetMode="External" /><Relationship Id="rId951" Type="http://schemas.openxmlformats.org/officeDocument/2006/relationships/hyperlink" Target="https://advance.lexis.com/api/document?collection=cases-ca&amp;id=urn:contentItem:5F8T-N3V1-JTGH-B16R-00000-00&amp;context=" TargetMode="External" /><Relationship Id="rId952" Type="http://schemas.openxmlformats.org/officeDocument/2006/relationships/hyperlink" Target="https://advance.lexis.com/api/document?collection=cases-ca&amp;id=urn:contentItem:5F8T-N3T1-JFKM-652M-00000-00&amp;context=" TargetMode="External" /><Relationship Id="rId953" Type="http://schemas.openxmlformats.org/officeDocument/2006/relationships/hyperlink" Target="https://advance.lexis.com/api/document?collection=cases-ca&amp;id=urn:contentItem:5F8T-N3V1-FC1F-M44F-00000-00&amp;context=" TargetMode="External" /><Relationship Id="rId954" Type="http://schemas.openxmlformats.org/officeDocument/2006/relationships/hyperlink" Target="https://advance.lexis.com/api/document?collection=cases-ca&amp;id=urn:contentItem:5F7T-S771-JSJC-X025-00000-00&amp;context=" TargetMode="External" /><Relationship Id="rId955" Type="http://schemas.openxmlformats.org/officeDocument/2006/relationships/hyperlink" Target="https://advance.lexis.com/api/document?collection=cases-ca&amp;id=urn:contentItem:5F7T-S791-FJTD-G2RB-00000-00&amp;context=" TargetMode="External" /><Relationship Id="rId956" Type="http://schemas.openxmlformats.org/officeDocument/2006/relationships/hyperlink" Target="https://advance.lexis.com/api/document?collection=cases-ca&amp;id=urn:contentItem:5F7T-S7H1-JFSV-G361-00000-00&amp;context=" TargetMode="External" /><Relationship Id="rId957" Type="http://schemas.openxmlformats.org/officeDocument/2006/relationships/hyperlink" Target="https://advance.lexis.com/api/document?collection=cases-ca&amp;id=urn:contentItem:5P57-9BJ1-FCSB-S449-00000-00&amp;context=" TargetMode="External" /><Relationship Id="rId958" Type="http://schemas.openxmlformats.org/officeDocument/2006/relationships/hyperlink" Target="https://advance.lexis.com/api/document?collection=cases-ca&amp;id=urn:contentItem:5F8T-N3V1-JTGH-B11D-00000-00&amp;context=" TargetMode="External" /><Relationship Id="rId959" Type="http://schemas.openxmlformats.org/officeDocument/2006/relationships/hyperlink" Target="https://advance.lexis.com/api/document?collection=cases-ca&amp;id=urn:contentItem:5F8T-N3V1-JTGH-B123-00000-00&amp;context=" TargetMode="External" /><Relationship Id="rId96" Type="http://schemas.openxmlformats.org/officeDocument/2006/relationships/header" Target="header16.xml" /><Relationship Id="rId960" Type="http://schemas.openxmlformats.org/officeDocument/2006/relationships/hyperlink" Target="https://advance.lexis.com/api/document?collection=cases-ca&amp;id=urn:contentItem:5F8T-N3R1-JNS1-M18G-00000-00&amp;context=" TargetMode="External" /><Relationship Id="rId961" Type="http://schemas.openxmlformats.org/officeDocument/2006/relationships/hyperlink" Target="https://advance.lexis.com/api/document?collection=cases-ca&amp;id=urn:contentItem:5F7T-S7F1-DXWW-24DB-00000-00&amp;context=" TargetMode="External" /><Relationship Id="rId962" Type="http://schemas.openxmlformats.org/officeDocument/2006/relationships/hyperlink" Target="https://advance.lexis.com/api/document?collection=cases-ca&amp;id=urn:contentItem:5P27-KGG1-JW09-M3PK-00000-00&amp;context=" TargetMode="External" /><Relationship Id="rId963" Type="http://schemas.openxmlformats.org/officeDocument/2006/relationships/hyperlink" Target="https://advance.lexis.com/api/document?collection=cases-ca&amp;id=urn:contentItem:5F7T-S7J1-JYYX-62KN-00000-00&amp;context=" TargetMode="External" /><Relationship Id="rId964" Type="http://schemas.openxmlformats.org/officeDocument/2006/relationships/hyperlink" Target="https://advance.lexis.com/api/document?collection=cases-ca&amp;id=urn:contentItem:5F7T-S6Y1-F4GK-M211-00000-00&amp;context=" TargetMode="External" /><Relationship Id="rId965" Type="http://schemas.openxmlformats.org/officeDocument/2006/relationships/hyperlink" Target="https://advance.lexis.com/api/document?collection=cases-ca&amp;id=urn:contentItem:5F7T-S781-F06F-241P-00000-00&amp;context=" TargetMode="External" /><Relationship Id="rId966" Type="http://schemas.openxmlformats.org/officeDocument/2006/relationships/hyperlink" Target="https://advance.lexis.com/api/document?collection=cases-ca&amp;id=urn:contentItem:5F7T-S7B1-F7ND-G4XF-00000-00&amp;context=" TargetMode="External" /><Relationship Id="rId967" Type="http://schemas.openxmlformats.org/officeDocument/2006/relationships/hyperlink" Target="https://advance.lexis.com/api/document?collection=cases-ca&amp;id=urn:contentItem:5F8T-N3V1-FH4C-X20M-00000-00&amp;context=" TargetMode="External" /><Relationship Id="rId968" Type="http://schemas.openxmlformats.org/officeDocument/2006/relationships/hyperlink" Target="https://advance.lexis.com/api/document?collection=cases-ca&amp;id=urn:contentItem:5F16-9351-F2MB-S0GP-00000-00&amp;context=" TargetMode="External" /><Relationship Id="rId969" Type="http://schemas.openxmlformats.org/officeDocument/2006/relationships/hyperlink" Target="https://advance.lexis.com/api/document?collection=cases-ca&amp;id=urn:contentItem:5N7D-XXD1-F5DR-2393-00000-00&amp;context=" TargetMode="External" /><Relationship Id="rId97" Type="http://schemas.openxmlformats.org/officeDocument/2006/relationships/header" Target="header17.xml" /><Relationship Id="rId970" Type="http://schemas.openxmlformats.org/officeDocument/2006/relationships/hyperlink" Target="https://advance.lexis.com/api/document?collection=cases-ca&amp;id=urn:contentItem:5F81-VJY1-JPGX-S4WK-00000-00&amp;context=" TargetMode="External" /><Relationship Id="rId971" Type="http://schemas.openxmlformats.org/officeDocument/2006/relationships/hyperlink" Target="https://advance.lexis.com/api/document?collection=cases-ca&amp;id=urn:contentItem:5F8T-N3V1-JTGH-B19J-00000-00&amp;context=" TargetMode="External" /><Relationship Id="rId972" Type="http://schemas.openxmlformats.org/officeDocument/2006/relationships/hyperlink" Target="https://advance.lexis.com/api/document?collection=cases-ca&amp;id=urn:contentItem:5F7T-S6Y1-F65M-60F9-00000-00&amp;context=" TargetMode="External" /><Relationship Id="rId973" Type="http://schemas.openxmlformats.org/officeDocument/2006/relationships/hyperlink" Target="https://advance.lexis.com/api/document?collection=cases-ca&amp;id=urn:contentItem:5F7T-S701-JK4W-M11T-00000-00&amp;context=" TargetMode="External" /><Relationship Id="rId974" Type="http://schemas.openxmlformats.org/officeDocument/2006/relationships/hyperlink" Target="https://advance.lexis.com/api/document?collection=cases-ca&amp;id=urn:contentItem:5KX9-G921-JF1Y-B000-00000-00&amp;context=" TargetMode="External" /><Relationship Id="rId975" Type="http://schemas.openxmlformats.org/officeDocument/2006/relationships/hyperlink" Target="https://advance.lexis.com/api/document?collection=cases-ca&amp;id=urn:contentItem:5F7T-S7P1-JNJT-B2DD-00000-00&amp;context=" TargetMode="External" /><Relationship Id="rId976" Type="http://schemas.openxmlformats.org/officeDocument/2006/relationships/hyperlink" Target="https://advance.lexis.com/api/document?collection=cases-ca&amp;id=urn:contentItem:5F8T-N3V1-JTGH-B19N-00000-00&amp;context=" TargetMode="External" /><Relationship Id="rId977" Type="http://schemas.openxmlformats.org/officeDocument/2006/relationships/hyperlink" Target="https://advance.lexis.com/api/document?collection=cases-ca&amp;id=urn:contentItem:5F7T-S7M1-JJK6-S22X-00000-00&amp;context=" TargetMode="External" /><Relationship Id="rId978" Type="http://schemas.openxmlformats.org/officeDocument/2006/relationships/header" Target="header136.xml" /><Relationship Id="rId979" Type="http://schemas.openxmlformats.org/officeDocument/2006/relationships/header" Target="header137.xml" /><Relationship Id="rId98" Type="http://schemas.openxmlformats.org/officeDocument/2006/relationships/footer" Target="footer16.xml" /><Relationship Id="rId980" Type="http://schemas.openxmlformats.org/officeDocument/2006/relationships/footer" Target="footer136.xml" /><Relationship Id="rId981" Type="http://schemas.openxmlformats.org/officeDocument/2006/relationships/footer" Target="footer137.xml" /><Relationship Id="rId982" Type="http://schemas.openxmlformats.org/officeDocument/2006/relationships/header" Target="header138.xml" /><Relationship Id="rId983" Type="http://schemas.openxmlformats.org/officeDocument/2006/relationships/footer" Target="footer138.xml" /><Relationship Id="rId984" Type="http://schemas.openxmlformats.org/officeDocument/2006/relationships/hyperlink" Target="https://advance.lexis.com/api/document?collection=cases-ca&amp;id=urn:contentItem:5N7F-GP91-FGRY-B0SV-00000-00&amp;context=" TargetMode="External" /><Relationship Id="rId985" Type="http://schemas.openxmlformats.org/officeDocument/2006/relationships/hyperlink" Target="https://advance.lexis.com/api/document?collection=cases-ca&amp;id=urn:contentItem:5F8T-N3V1-JTGH-B1D3-00000-00&amp;context=" TargetMode="External" /><Relationship Id="rId986" Type="http://schemas.openxmlformats.org/officeDocument/2006/relationships/hyperlink" Target="https://advance.lexis.com/api/document?collection=cases-ca&amp;id=urn:contentItem:5F7T-S7K1-JX3N-B2V4-00000-00&amp;context=" TargetMode="External" /><Relationship Id="rId987" Type="http://schemas.openxmlformats.org/officeDocument/2006/relationships/hyperlink" Target="https://advance.lexis.com/api/document?collection=cases-ca&amp;id=urn:contentItem:5F8T-N3P1-F7ND-G14C-00000-00&amp;context=" TargetMode="External" /><Relationship Id="rId988" Type="http://schemas.openxmlformats.org/officeDocument/2006/relationships/hyperlink" Target="https://advance.lexis.com/api/document?collection=cases-ca&amp;id=urn:contentItem:5F81-YGW1-DYFH-X025-00000-00&amp;context=" TargetMode="External" /><Relationship Id="rId989" Type="http://schemas.openxmlformats.org/officeDocument/2006/relationships/hyperlink" Target="https://advance.lexis.com/api/document?collection=cases-ca&amp;id=urn:contentItem:5F8P-SC71-JK4W-M2MK-00000-00&amp;context=" TargetMode="External" /><Relationship Id="rId99" Type="http://schemas.openxmlformats.org/officeDocument/2006/relationships/footer" Target="footer17.xml" /><Relationship Id="rId990" Type="http://schemas.openxmlformats.org/officeDocument/2006/relationships/hyperlink" Target="https://advance.lexis.com/api/document?collection=cases-ca&amp;id=urn:contentItem:5F8T-N3V1-JF75-M3WX-00000-00&amp;context=" TargetMode="External" /><Relationship Id="rId991" Type="http://schemas.openxmlformats.org/officeDocument/2006/relationships/hyperlink" Target="https://advance.lexis.com/api/document?collection=cases-ca&amp;id=urn:contentItem:5F7T-S7N1-F57G-S2PF-00000-00&amp;context=" TargetMode="External" /><Relationship Id="rId992" Type="http://schemas.openxmlformats.org/officeDocument/2006/relationships/hyperlink" Target="https://advance.lexis.com/api/document?collection=cases-ca&amp;id=urn:contentItem:5F8T-N3S1-JBDT-B06N-00000-00&amp;context=" TargetMode="External" /><Relationship Id="rId993" Type="http://schemas.openxmlformats.org/officeDocument/2006/relationships/hyperlink" Target="https://advance.lexis.com/api/document?collection=cases-ca&amp;id=urn:contentItem:5F8T-N3R1-JJSF-22KH-00000-00&amp;context=" TargetMode="External" /><Relationship Id="rId994" Type="http://schemas.openxmlformats.org/officeDocument/2006/relationships/hyperlink" Target="https://advance.lexis.com/api/document?collection=cases-ca&amp;id=urn:contentItem:5F7T-S7F1-JX3N-B1B6-00000-00&amp;context=" TargetMode="External" /><Relationship Id="rId995" Type="http://schemas.openxmlformats.org/officeDocument/2006/relationships/hyperlink" Target="https://advance.lexis.com/api/document?collection=cases-ca&amp;id=urn:contentItem:5F7T-S7F1-FBN1-21GX-00000-00&amp;context=" TargetMode="External" /><Relationship Id="rId996" Type="http://schemas.openxmlformats.org/officeDocument/2006/relationships/hyperlink" Target="https://advance.lexis.com/api/document?collection=cases-ca&amp;id=urn:contentItem:5F8T-N3V1-JTGH-B192-00000-00&amp;context=" TargetMode="External" /><Relationship Id="rId997" Type="http://schemas.openxmlformats.org/officeDocument/2006/relationships/hyperlink" Target="https://advance.lexis.com/api/document?collection=cases-ca&amp;id=urn:contentItem:5F7T-S7N1-DXWW-2081-00000-00&amp;context=" TargetMode="External" /><Relationship Id="rId998" Type="http://schemas.openxmlformats.org/officeDocument/2006/relationships/hyperlink" Target="https://advance.lexis.com/api/document?collection=cases-ca&amp;id=urn:contentItem:5F7T-S7P1-JNJT-B2T7-00000-00&amp;context=" TargetMode="External" /><Relationship Id="rId999" Type="http://schemas.openxmlformats.org/officeDocument/2006/relationships/hyperlink" Target="https://advance.lexis.com/api/document?collection=cases-ca&amp;id=urn:contentItem:5F7T-S7H1-JCRC-B120-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Evans v. Keill, [2018] B.C.J. No. 3274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115043141</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